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47A" w:rsidRPr="00A3247A" w:rsidRDefault="00A3247A" w:rsidP="00A3247A">
      <w:pPr>
        <w:ind w:right="27"/>
        <w:rPr>
          <w:sz w:val="18"/>
          <w:szCs w:val="18"/>
        </w:rPr>
      </w:pPr>
      <w:r w:rsidRPr="00A3247A">
        <w:rPr>
          <w:noProof/>
          <w:sz w:val="20"/>
          <w:lang w:eastAsia="en-AU"/>
        </w:rPr>
        <w:drawing>
          <wp:inline distT="0" distB="0" distL="0" distR="0" wp14:anchorId="44A71153" wp14:editId="585071F8">
            <wp:extent cx="3969385" cy="99504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969385" cy="995045"/>
                    </a:xfrm>
                    <a:prstGeom prst="rect">
                      <a:avLst/>
                    </a:prstGeom>
                    <a:noFill/>
                    <a:ln w="9525">
                      <a:noFill/>
                      <a:miter lim="800000"/>
                      <a:headEnd/>
                      <a:tailEnd/>
                    </a:ln>
                  </pic:spPr>
                </pic:pic>
              </a:graphicData>
            </a:graphic>
          </wp:inline>
        </w:drawing>
      </w:r>
    </w:p>
    <w:p w:rsidR="00A3247A" w:rsidRPr="00A3247A" w:rsidRDefault="00A3247A" w:rsidP="00A3247A">
      <w:pPr>
        <w:spacing w:before="240" w:line="240" w:lineRule="auto"/>
        <w:rPr>
          <w:rFonts w:eastAsia="Times New Roman" w:cs="Times New Roman"/>
          <w:sz w:val="24"/>
          <w:lang w:eastAsia="en-AU"/>
        </w:rPr>
      </w:pPr>
    </w:p>
    <w:p w:rsidR="00A3247A" w:rsidRPr="00A3247A" w:rsidRDefault="00A3247A" w:rsidP="00A3247A">
      <w:pPr>
        <w:spacing w:before="240" w:line="240" w:lineRule="auto"/>
        <w:rPr>
          <w:rFonts w:eastAsia="Times New Roman" w:cs="Times New Roman"/>
          <w:sz w:val="24"/>
          <w:lang w:eastAsia="en-AU"/>
        </w:rPr>
      </w:pPr>
    </w:p>
    <w:p w:rsidR="00A3247A" w:rsidRPr="00A3247A" w:rsidRDefault="00A3247A" w:rsidP="00A3247A">
      <w:pPr>
        <w:spacing w:before="240" w:line="240" w:lineRule="auto"/>
        <w:rPr>
          <w:rFonts w:eastAsia="Times New Roman" w:cs="Times New Roman"/>
          <w:sz w:val="24"/>
          <w:lang w:eastAsia="en-AU"/>
        </w:rPr>
      </w:pPr>
    </w:p>
    <w:p w:rsidR="00A3247A" w:rsidRPr="00A3247A" w:rsidRDefault="00A3247A" w:rsidP="00A3247A">
      <w:pPr>
        <w:spacing w:before="240" w:line="240" w:lineRule="auto"/>
        <w:rPr>
          <w:rFonts w:eastAsia="Times New Roman" w:cs="Times New Roman"/>
          <w:sz w:val="24"/>
          <w:lang w:eastAsia="en-AU"/>
        </w:rPr>
      </w:pPr>
    </w:p>
    <w:p w:rsidR="00A3247A" w:rsidRPr="00A3247A" w:rsidRDefault="00A3247A" w:rsidP="00A3247A">
      <w:pPr>
        <w:spacing w:before="240" w:line="240" w:lineRule="auto"/>
        <w:rPr>
          <w:rFonts w:eastAsia="Times New Roman" w:cs="Times New Roman"/>
          <w:sz w:val="24"/>
          <w:lang w:eastAsia="en-AU"/>
        </w:rPr>
      </w:pPr>
    </w:p>
    <w:p w:rsidR="00A3247A" w:rsidRPr="00A3247A" w:rsidRDefault="00A3247A" w:rsidP="00A3247A">
      <w:pPr>
        <w:keepNext/>
        <w:spacing w:before="240" w:after="60" w:line="240" w:lineRule="auto"/>
        <w:jc w:val="center"/>
        <w:outlineLvl w:val="0"/>
        <w:rPr>
          <w:rFonts w:ascii="Arial" w:eastAsia="Times New Roman" w:hAnsi="Arial" w:cs="Times New Roman"/>
          <w:b/>
          <w:kern w:val="28"/>
          <w:sz w:val="36"/>
          <w:lang w:eastAsia="en-AU"/>
        </w:rPr>
      </w:pPr>
      <w:r w:rsidRPr="00A3247A">
        <w:rPr>
          <w:rFonts w:ascii="Arial" w:eastAsia="Times New Roman" w:hAnsi="Arial" w:cs="Times New Roman"/>
          <w:b/>
          <w:kern w:val="28"/>
          <w:sz w:val="36"/>
          <w:lang w:eastAsia="en-AU"/>
        </w:rPr>
        <w:t>Office of Parlia</w:t>
      </w:r>
      <w:bookmarkStart w:id="0" w:name="_GoBack"/>
      <w:bookmarkEnd w:id="0"/>
      <w:r w:rsidRPr="00A3247A">
        <w:rPr>
          <w:rFonts w:ascii="Arial" w:eastAsia="Times New Roman" w:hAnsi="Arial" w:cs="Times New Roman"/>
          <w:b/>
          <w:kern w:val="28"/>
          <w:sz w:val="36"/>
          <w:lang w:eastAsia="en-AU"/>
        </w:rPr>
        <w:t>mentary Counsel’s</w:t>
      </w:r>
    </w:p>
    <w:p w:rsidR="00A3247A" w:rsidRDefault="00A3247A" w:rsidP="00A3247A">
      <w:pPr>
        <w:keepNext/>
        <w:spacing w:before="240" w:after="60" w:line="240" w:lineRule="auto"/>
        <w:jc w:val="center"/>
        <w:outlineLvl w:val="0"/>
        <w:rPr>
          <w:rFonts w:ascii="Arial" w:eastAsia="Times New Roman" w:hAnsi="Arial" w:cs="Times New Roman"/>
          <w:b/>
          <w:kern w:val="28"/>
          <w:sz w:val="36"/>
          <w:lang w:eastAsia="en-AU"/>
        </w:rPr>
      </w:pPr>
      <w:r>
        <w:rPr>
          <w:rFonts w:ascii="Arial" w:eastAsia="Times New Roman" w:hAnsi="Arial" w:cs="Times New Roman"/>
          <w:b/>
          <w:kern w:val="28"/>
          <w:sz w:val="36"/>
          <w:lang w:eastAsia="en-AU"/>
        </w:rPr>
        <w:t xml:space="preserve">Corporate </w:t>
      </w:r>
      <w:r w:rsidRPr="00A3247A">
        <w:rPr>
          <w:rFonts w:ascii="Arial" w:eastAsia="Times New Roman" w:hAnsi="Arial" w:cs="Times New Roman"/>
          <w:b/>
          <w:kern w:val="28"/>
          <w:sz w:val="36"/>
          <w:lang w:eastAsia="en-AU"/>
        </w:rPr>
        <w:t>Plan</w:t>
      </w:r>
      <w:r w:rsidR="006F567C">
        <w:rPr>
          <w:rFonts w:ascii="Arial" w:eastAsia="Times New Roman" w:hAnsi="Arial" w:cs="Times New Roman"/>
          <w:b/>
          <w:kern w:val="28"/>
          <w:sz w:val="36"/>
          <w:lang w:eastAsia="en-AU"/>
        </w:rPr>
        <w:t xml:space="preserve"> 201</w:t>
      </w:r>
      <w:r w:rsidR="0015237B">
        <w:rPr>
          <w:rFonts w:ascii="Arial" w:eastAsia="Times New Roman" w:hAnsi="Arial" w:cs="Times New Roman"/>
          <w:b/>
          <w:kern w:val="28"/>
          <w:sz w:val="36"/>
          <w:lang w:eastAsia="en-AU"/>
        </w:rPr>
        <w:t>7</w:t>
      </w:r>
      <w:r w:rsidR="006F567C">
        <w:rPr>
          <w:rFonts w:ascii="Arial" w:eastAsia="Times New Roman" w:hAnsi="Arial" w:cs="Times New Roman"/>
          <w:b/>
          <w:kern w:val="28"/>
          <w:sz w:val="36"/>
          <w:lang w:eastAsia="en-AU"/>
        </w:rPr>
        <w:t>-1</w:t>
      </w:r>
      <w:r w:rsidR="0015237B">
        <w:rPr>
          <w:rFonts w:ascii="Arial" w:eastAsia="Times New Roman" w:hAnsi="Arial" w:cs="Times New Roman"/>
          <w:b/>
          <w:kern w:val="28"/>
          <w:sz w:val="36"/>
          <w:lang w:eastAsia="en-AU"/>
        </w:rPr>
        <w:t>8</w:t>
      </w:r>
    </w:p>
    <w:p w:rsidR="00A3247A" w:rsidRDefault="00A3247A">
      <w:pPr>
        <w:spacing w:line="240" w:lineRule="auto"/>
        <w:rPr>
          <w:rFonts w:ascii="Arial" w:eastAsia="Times New Roman" w:hAnsi="Arial" w:cs="Times New Roman"/>
          <w:b/>
          <w:kern w:val="28"/>
          <w:sz w:val="36"/>
          <w:lang w:eastAsia="en-AU"/>
        </w:rPr>
      </w:pPr>
      <w:r>
        <w:rPr>
          <w:rFonts w:ascii="Arial" w:eastAsia="Times New Roman" w:hAnsi="Arial" w:cs="Times New Roman"/>
          <w:b/>
          <w:kern w:val="28"/>
          <w:sz w:val="36"/>
          <w:lang w:eastAsia="en-AU"/>
        </w:rPr>
        <w:br w:type="page"/>
      </w:r>
    </w:p>
    <w:p w:rsidR="00A3247A" w:rsidRPr="00A3247A" w:rsidRDefault="00A3247A" w:rsidP="00A3247A">
      <w:pPr>
        <w:keepNext/>
        <w:spacing w:before="240" w:after="60" w:line="240" w:lineRule="auto"/>
        <w:outlineLvl w:val="2"/>
        <w:rPr>
          <w:rFonts w:ascii="Arial" w:eastAsia="Times New Roman" w:hAnsi="Arial" w:cs="Times New Roman"/>
          <w:b/>
          <w:i/>
          <w:kern w:val="28"/>
          <w:sz w:val="26"/>
          <w:lang w:eastAsia="en-AU"/>
        </w:rPr>
      </w:pPr>
      <w:bookmarkStart w:id="1" w:name="_Toc425345085"/>
      <w:r w:rsidRPr="00A3247A">
        <w:rPr>
          <w:rFonts w:ascii="Arial" w:eastAsia="Times New Roman" w:hAnsi="Arial" w:cs="Times New Roman"/>
          <w:b/>
          <w:i/>
          <w:kern w:val="28"/>
          <w:sz w:val="26"/>
          <w:lang w:eastAsia="en-AU"/>
        </w:rPr>
        <w:lastRenderedPageBreak/>
        <w:t>Introduction</w:t>
      </w:r>
      <w:bookmarkEnd w:id="1"/>
    </w:p>
    <w:p w:rsidR="00A3247A" w:rsidRPr="00A3247A" w:rsidRDefault="00A3247A" w:rsidP="00A3247A">
      <w:pPr>
        <w:numPr>
          <w:ilvl w:val="0"/>
          <w:numId w:val="14"/>
        </w:numPr>
        <w:spacing w:before="240" w:line="240" w:lineRule="auto"/>
        <w:rPr>
          <w:rFonts w:eastAsia="Times New Roman" w:cs="Times New Roman"/>
          <w:sz w:val="24"/>
          <w:lang w:eastAsia="en-AU"/>
        </w:rPr>
      </w:pPr>
      <w:r w:rsidRPr="00A3247A">
        <w:rPr>
          <w:rFonts w:eastAsia="Times New Roman" w:cs="Times New Roman"/>
          <w:sz w:val="24"/>
          <w:lang w:eastAsia="en-AU"/>
        </w:rPr>
        <w:t>The Office of Parliamentary Counsel’s Corporate Plan 201</w:t>
      </w:r>
      <w:r w:rsidR="0015237B">
        <w:rPr>
          <w:rFonts w:eastAsia="Times New Roman" w:cs="Times New Roman"/>
          <w:sz w:val="24"/>
          <w:lang w:eastAsia="en-AU"/>
        </w:rPr>
        <w:t>7</w:t>
      </w:r>
      <w:r w:rsidR="006F567C">
        <w:rPr>
          <w:rFonts w:eastAsia="Times New Roman" w:cs="Times New Roman"/>
          <w:sz w:val="24"/>
          <w:lang w:eastAsia="en-AU"/>
        </w:rPr>
        <w:t>-1</w:t>
      </w:r>
      <w:r w:rsidR="0015237B">
        <w:rPr>
          <w:rFonts w:eastAsia="Times New Roman" w:cs="Times New Roman"/>
          <w:sz w:val="24"/>
          <w:lang w:eastAsia="en-AU"/>
        </w:rPr>
        <w:t>8</w:t>
      </w:r>
      <w:r w:rsidRPr="00A3247A">
        <w:rPr>
          <w:rFonts w:eastAsia="Times New Roman" w:cs="Times New Roman"/>
          <w:sz w:val="24"/>
          <w:lang w:eastAsia="en-AU"/>
        </w:rPr>
        <w:t xml:space="preserve"> (</w:t>
      </w:r>
      <w:r w:rsidRPr="00A3247A">
        <w:rPr>
          <w:rFonts w:eastAsia="Times New Roman" w:cs="Times New Roman"/>
          <w:b/>
          <w:i/>
          <w:sz w:val="24"/>
          <w:lang w:eastAsia="en-AU"/>
        </w:rPr>
        <w:t>Plan</w:t>
      </w:r>
      <w:r w:rsidRPr="00A3247A">
        <w:rPr>
          <w:rFonts w:eastAsia="Times New Roman" w:cs="Times New Roman"/>
          <w:sz w:val="24"/>
          <w:lang w:eastAsia="en-AU"/>
        </w:rPr>
        <w:t>), which covers the periods 201</w:t>
      </w:r>
      <w:r w:rsidR="0015237B">
        <w:rPr>
          <w:rFonts w:eastAsia="Times New Roman" w:cs="Times New Roman"/>
          <w:sz w:val="24"/>
          <w:lang w:eastAsia="en-AU"/>
        </w:rPr>
        <w:t>7</w:t>
      </w:r>
      <w:r w:rsidR="006F567C">
        <w:rPr>
          <w:rFonts w:eastAsia="Times New Roman" w:cs="Times New Roman"/>
          <w:sz w:val="24"/>
          <w:lang w:eastAsia="en-AU"/>
        </w:rPr>
        <w:t>-1</w:t>
      </w:r>
      <w:r w:rsidR="0015237B">
        <w:rPr>
          <w:rFonts w:eastAsia="Times New Roman" w:cs="Times New Roman"/>
          <w:sz w:val="24"/>
          <w:lang w:eastAsia="en-AU"/>
        </w:rPr>
        <w:t>8</w:t>
      </w:r>
      <w:r w:rsidRPr="00A3247A">
        <w:rPr>
          <w:rFonts w:eastAsia="Times New Roman" w:cs="Times New Roman"/>
          <w:sz w:val="24"/>
          <w:lang w:eastAsia="en-AU"/>
        </w:rPr>
        <w:t xml:space="preserve"> through 20</w:t>
      </w:r>
      <w:r w:rsidR="0015237B">
        <w:rPr>
          <w:rFonts w:eastAsia="Times New Roman" w:cs="Times New Roman"/>
          <w:sz w:val="24"/>
          <w:lang w:eastAsia="en-AU"/>
        </w:rPr>
        <w:t>20</w:t>
      </w:r>
      <w:r w:rsidRPr="00A3247A">
        <w:rPr>
          <w:rFonts w:eastAsia="Times New Roman" w:cs="Times New Roman"/>
          <w:sz w:val="24"/>
          <w:lang w:eastAsia="en-AU"/>
        </w:rPr>
        <w:t>-</w:t>
      </w:r>
      <w:r w:rsidR="0015237B">
        <w:rPr>
          <w:rFonts w:eastAsia="Times New Roman" w:cs="Times New Roman"/>
          <w:sz w:val="24"/>
          <w:lang w:eastAsia="en-AU"/>
        </w:rPr>
        <w:t>21</w:t>
      </w:r>
      <w:r w:rsidRPr="00A3247A">
        <w:rPr>
          <w:rFonts w:eastAsia="Times New Roman" w:cs="Times New Roman"/>
          <w:sz w:val="24"/>
          <w:lang w:eastAsia="en-AU"/>
        </w:rPr>
        <w:t xml:space="preserve">, has been prepared under paragraph 35(1)(b) of the </w:t>
      </w:r>
      <w:r w:rsidRPr="00A3247A">
        <w:rPr>
          <w:rFonts w:eastAsia="Times New Roman" w:cs="Times New Roman"/>
          <w:i/>
          <w:sz w:val="24"/>
          <w:lang w:eastAsia="en-AU"/>
        </w:rPr>
        <w:t>Public Governance, Performance and Accountability Act 2013</w:t>
      </w:r>
      <w:r w:rsidRPr="00A3247A">
        <w:rPr>
          <w:rFonts w:eastAsia="Times New Roman" w:cs="Times New Roman"/>
          <w:sz w:val="24"/>
          <w:lang w:eastAsia="en-AU"/>
        </w:rPr>
        <w:t xml:space="preserve"> (</w:t>
      </w:r>
      <w:r w:rsidRPr="00A3247A">
        <w:rPr>
          <w:rFonts w:eastAsia="Times New Roman" w:cs="Times New Roman"/>
          <w:b/>
          <w:i/>
          <w:sz w:val="24"/>
          <w:lang w:eastAsia="en-AU"/>
        </w:rPr>
        <w:t>PGPA Act</w:t>
      </w:r>
      <w:r w:rsidRPr="00A3247A">
        <w:rPr>
          <w:rFonts w:eastAsia="Times New Roman" w:cs="Times New Roman"/>
          <w:sz w:val="24"/>
          <w:lang w:eastAsia="en-AU"/>
        </w:rPr>
        <w:t>).</w:t>
      </w:r>
    </w:p>
    <w:p w:rsidR="00A3247A" w:rsidRPr="00A3247A" w:rsidRDefault="00A3247A" w:rsidP="00A3247A">
      <w:pPr>
        <w:numPr>
          <w:ilvl w:val="0"/>
          <w:numId w:val="14"/>
        </w:numPr>
        <w:spacing w:before="240" w:line="240" w:lineRule="auto"/>
        <w:rPr>
          <w:rFonts w:eastAsia="Times New Roman" w:cs="Times New Roman"/>
          <w:sz w:val="24"/>
          <w:lang w:eastAsia="en-AU"/>
        </w:rPr>
      </w:pPr>
      <w:r w:rsidRPr="00A3247A">
        <w:rPr>
          <w:rFonts w:eastAsia="Times New Roman" w:cs="Times New Roman"/>
          <w:sz w:val="24"/>
          <w:lang w:eastAsia="en-AU"/>
        </w:rPr>
        <w:t>This Plan sets out the Office of Parliamentary Counsel’s (</w:t>
      </w:r>
      <w:r w:rsidRPr="00A3247A">
        <w:rPr>
          <w:rFonts w:eastAsia="Times New Roman" w:cs="Times New Roman"/>
          <w:b/>
          <w:i/>
          <w:sz w:val="24"/>
          <w:lang w:eastAsia="en-AU"/>
        </w:rPr>
        <w:t>OPC’s</w:t>
      </w:r>
      <w:r w:rsidRPr="00A3247A">
        <w:rPr>
          <w:rFonts w:eastAsia="Times New Roman" w:cs="Times New Roman"/>
          <w:sz w:val="24"/>
          <w:lang w:eastAsia="en-AU"/>
        </w:rPr>
        <w:t>) purpose, the strategic activities we will undertake to achieve our purpose and measurable targets for the achievement of these activities over the period of the Plan.</w:t>
      </w:r>
    </w:p>
    <w:p w:rsidR="00A3247A" w:rsidRPr="00A3247A" w:rsidRDefault="00A3247A" w:rsidP="00A3247A">
      <w:pPr>
        <w:numPr>
          <w:ilvl w:val="0"/>
          <w:numId w:val="14"/>
        </w:numPr>
        <w:spacing w:before="240" w:line="240" w:lineRule="auto"/>
        <w:rPr>
          <w:rFonts w:eastAsia="Times New Roman" w:cs="Times New Roman"/>
          <w:sz w:val="24"/>
          <w:lang w:eastAsia="en-AU"/>
        </w:rPr>
      </w:pPr>
      <w:r w:rsidRPr="00A3247A">
        <w:rPr>
          <w:rFonts w:eastAsia="Times New Roman" w:cs="Times New Roman"/>
          <w:sz w:val="24"/>
          <w:lang w:eastAsia="en-AU"/>
        </w:rPr>
        <w:t>OPC will report progress on the Plan through the annual performance statements in the Annual Report, as required by subsection 38(1) of the PGPA Act.</w:t>
      </w:r>
    </w:p>
    <w:p w:rsidR="00B54C71" w:rsidRPr="00A3247A" w:rsidRDefault="00B54C71" w:rsidP="00B54C71">
      <w:pPr>
        <w:keepNext/>
        <w:spacing w:before="240" w:after="60" w:line="240" w:lineRule="auto"/>
        <w:outlineLvl w:val="2"/>
        <w:rPr>
          <w:rFonts w:ascii="Arial" w:eastAsia="Times New Roman" w:hAnsi="Arial" w:cs="Times New Roman"/>
          <w:b/>
          <w:i/>
          <w:kern w:val="28"/>
          <w:sz w:val="26"/>
          <w:lang w:eastAsia="en-AU"/>
        </w:rPr>
      </w:pPr>
      <w:bookmarkStart w:id="2" w:name="_Toc425345086"/>
      <w:bookmarkStart w:id="3" w:name="_Toc425345087"/>
      <w:r w:rsidRPr="00A3247A">
        <w:rPr>
          <w:rFonts w:ascii="Arial" w:eastAsia="Times New Roman" w:hAnsi="Arial" w:cs="Times New Roman"/>
          <w:b/>
          <w:i/>
          <w:kern w:val="28"/>
          <w:sz w:val="26"/>
          <w:lang w:eastAsia="en-AU"/>
        </w:rPr>
        <w:t>Purpose</w:t>
      </w:r>
      <w:bookmarkEnd w:id="2"/>
    </w:p>
    <w:p w:rsidR="00B54C71" w:rsidRPr="00A3247A" w:rsidRDefault="00B54C71" w:rsidP="00B54C71">
      <w:pPr>
        <w:numPr>
          <w:ilvl w:val="0"/>
          <w:numId w:val="13"/>
        </w:numPr>
        <w:spacing w:before="240" w:line="240" w:lineRule="auto"/>
        <w:rPr>
          <w:rFonts w:eastAsia="Times New Roman" w:cs="Times New Roman"/>
          <w:sz w:val="24"/>
          <w:lang w:eastAsia="en-AU"/>
        </w:rPr>
      </w:pPr>
      <w:r w:rsidRPr="00A3247A">
        <w:rPr>
          <w:rFonts w:eastAsia="Times New Roman" w:cs="Times New Roman"/>
          <w:sz w:val="24"/>
          <w:lang w:eastAsia="en-AU"/>
        </w:rPr>
        <w:t xml:space="preserve">OPC’s </w:t>
      </w:r>
      <w:r>
        <w:rPr>
          <w:rFonts w:eastAsia="Times New Roman" w:cs="Times New Roman"/>
          <w:sz w:val="24"/>
          <w:lang w:eastAsia="en-AU"/>
        </w:rPr>
        <w:t>purpose</w:t>
      </w:r>
      <w:r w:rsidRPr="00A3247A">
        <w:rPr>
          <w:rFonts w:eastAsia="Times New Roman" w:cs="Times New Roman"/>
          <w:sz w:val="24"/>
          <w:lang w:eastAsia="en-AU"/>
        </w:rPr>
        <w:t xml:space="preserve"> is to:</w:t>
      </w:r>
    </w:p>
    <w:p w:rsidR="00B54C71" w:rsidRPr="00A3247A" w:rsidRDefault="00B54C71" w:rsidP="00B54C71">
      <w:pPr>
        <w:numPr>
          <w:ilvl w:val="2"/>
          <w:numId w:val="13"/>
        </w:numPr>
        <w:tabs>
          <w:tab w:val="left" w:pos="2160"/>
        </w:tabs>
        <w:spacing w:before="240" w:line="240" w:lineRule="auto"/>
        <w:rPr>
          <w:rFonts w:eastAsia="Times New Roman" w:cs="Times New Roman"/>
          <w:sz w:val="24"/>
          <w:lang w:eastAsia="en-AU"/>
        </w:rPr>
      </w:pPr>
      <w:r w:rsidRPr="00A3247A">
        <w:rPr>
          <w:rFonts w:eastAsia="Times New Roman" w:cs="Times New Roman"/>
          <w:sz w:val="24"/>
          <w:lang w:eastAsia="en-AU"/>
        </w:rPr>
        <w:t>enable the government to carry out its legislative program through the drafting of all Bills, all legislative instruments to be made or approved by the Governor-General (Federal Executive Council (</w:t>
      </w:r>
      <w:r w:rsidRPr="00A3247A">
        <w:rPr>
          <w:rFonts w:eastAsia="Times New Roman" w:cs="Times New Roman"/>
          <w:b/>
          <w:i/>
          <w:sz w:val="24"/>
          <w:lang w:eastAsia="en-AU"/>
        </w:rPr>
        <w:t>ExCo</w:t>
      </w:r>
      <w:r w:rsidRPr="00A3247A">
        <w:rPr>
          <w:rFonts w:eastAsia="Times New Roman" w:cs="Times New Roman"/>
          <w:sz w:val="24"/>
          <w:lang w:eastAsia="en-AU"/>
        </w:rPr>
        <w:t>) instruments) and a range of other instruments; and</w:t>
      </w:r>
    </w:p>
    <w:p w:rsidR="00B54C71" w:rsidRPr="00A3247A" w:rsidRDefault="00B54C71" w:rsidP="00B54C71">
      <w:pPr>
        <w:numPr>
          <w:ilvl w:val="2"/>
          <w:numId w:val="13"/>
        </w:numPr>
        <w:tabs>
          <w:tab w:val="left" w:pos="2160"/>
        </w:tabs>
        <w:spacing w:before="240" w:line="240" w:lineRule="auto"/>
        <w:rPr>
          <w:rFonts w:eastAsia="Times New Roman" w:cs="Times New Roman"/>
          <w:sz w:val="24"/>
          <w:lang w:eastAsia="en-AU"/>
        </w:rPr>
      </w:pPr>
      <w:r w:rsidRPr="00A3247A">
        <w:rPr>
          <w:rFonts w:eastAsia="Times New Roman" w:cs="Times New Roman"/>
          <w:sz w:val="24"/>
          <w:lang w:eastAsia="en-AU"/>
        </w:rPr>
        <w:t xml:space="preserve">ensure Commonwealth laws and instruments are freely available and accessible to everyone by publishing those laws and instruments on the </w:t>
      </w:r>
      <w:r>
        <w:rPr>
          <w:rFonts w:eastAsia="Times New Roman" w:cs="Times New Roman"/>
          <w:sz w:val="24"/>
          <w:lang w:eastAsia="en-AU"/>
        </w:rPr>
        <w:t>Federal Register of Legislation</w:t>
      </w:r>
      <w:r w:rsidRPr="00A3247A">
        <w:rPr>
          <w:rFonts w:eastAsia="Times New Roman" w:cs="Times New Roman"/>
          <w:sz w:val="24"/>
          <w:lang w:eastAsia="en-AU"/>
        </w:rPr>
        <w:t xml:space="preserve"> website.</w:t>
      </w:r>
    </w:p>
    <w:p w:rsidR="00B54C71" w:rsidRDefault="00B54C71" w:rsidP="00B54C71">
      <w:pPr>
        <w:numPr>
          <w:ilvl w:val="0"/>
          <w:numId w:val="13"/>
        </w:numPr>
        <w:spacing w:before="240" w:line="240" w:lineRule="auto"/>
        <w:rPr>
          <w:rFonts w:eastAsia="Times New Roman" w:cs="Times New Roman"/>
          <w:sz w:val="24"/>
          <w:lang w:eastAsia="en-AU"/>
        </w:rPr>
      </w:pPr>
      <w:r>
        <w:rPr>
          <w:rFonts w:eastAsia="Times New Roman" w:cs="Times New Roman"/>
          <w:sz w:val="24"/>
          <w:lang w:eastAsia="en-AU"/>
        </w:rPr>
        <w:t xml:space="preserve">OPC’s purpose is derived from our enabling legislation and our outcome under the appropriation Acts. </w:t>
      </w:r>
    </w:p>
    <w:p w:rsidR="00B54C71" w:rsidRPr="00A3247A" w:rsidRDefault="00B54C71" w:rsidP="00B54C71">
      <w:pPr>
        <w:numPr>
          <w:ilvl w:val="0"/>
          <w:numId w:val="13"/>
        </w:numPr>
        <w:spacing w:before="240" w:line="240" w:lineRule="auto"/>
        <w:rPr>
          <w:rFonts w:eastAsia="Times New Roman" w:cs="Times New Roman"/>
          <w:sz w:val="24"/>
          <w:lang w:eastAsia="en-AU"/>
        </w:rPr>
      </w:pPr>
      <w:r w:rsidRPr="00A3247A">
        <w:rPr>
          <w:rFonts w:eastAsia="Times New Roman" w:cs="Times New Roman"/>
          <w:sz w:val="24"/>
          <w:lang w:eastAsia="en-AU"/>
        </w:rPr>
        <w:t xml:space="preserve">OPC was established by the </w:t>
      </w:r>
      <w:r w:rsidRPr="00A3247A">
        <w:rPr>
          <w:rFonts w:eastAsia="Times New Roman" w:cs="Times New Roman"/>
          <w:i/>
          <w:sz w:val="24"/>
          <w:lang w:eastAsia="en-AU"/>
        </w:rPr>
        <w:t>Parliamentary Counsel Act 1970</w:t>
      </w:r>
      <w:r w:rsidRPr="00A3247A">
        <w:rPr>
          <w:rFonts w:eastAsia="Times New Roman" w:cs="Times New Roman"/>
          <w:sz w:val="24"/>
          <w:lang w:eastAsia="en-AU"/>
        </w:rPr>
        <w:t>. OPC is the Commonwealth’s principal provider of professional legislative drafting and publishing services.</w:t>
      </w:r>
    </w:p>
    <w:p w:rsidR="00B54C71" w:rsidRPr="00A3247A" w:rsidRDefault="00B54C71" w:rsidP="00B54C71">
      <w:pPr>
        <w:numPr>
          <w:ilvl w:val="0"/>
          <w:numId w:val="13"/>
        </w:numPr>
        <w:spacing w:before="240" w:line="240" w:lineRule="auto"/>
        <w:rPr>
          <w:rFonts w:eastAsia="Times New Roman" w:cs="Times New Roman"/>
          <w:sz w:val="24"/>
          <w:lang w:eastAsia="en-AU"/>
        </w:rPr>
      </w:pPr>
      <w:r w:rsidRPr="00A3247A">
        <w:rPr>
          <w:rFonts w:eastAsia="Times New Roman" w:cs="Times New Roman"/>
          <w:sz w:val="24"/>
          <w:lang w:eastAsia="en-AU"/>
        </w:rPr>
        <w:t xml:space="preserve">OPC delivers drafting and advisory services for Bills and subordinate legislation, prepares compilations of laws as amended and publishes laws and instruments on behalf of more than 70 Commonwealth entities. OPC also provides comprehensive, free access to Commonwealth legislation and related material through the </w:t>
      </w:r>
      <w:r>
        <w:rPr>
          <w:rFonts w:eastAsia="Times New Roman" w:cs="Times New Roman"/>
          <w:sz w:val="24"/>
          <w:lang w:eastAsia="en-AU"/>
        </w:rPr>
        <w:t>Federal Register of Legislation (</w:t>
      </w:r>
      <w:r>
        <w:rPr>
          <w:rFonts w:eastAsia="Times New Roman" w:cs="Times New Roman"/>
          <w:b/>
          <w:i/>
          <w:sz w:val="24"/>
          <w:lang w:eastAsia="en-AU"/>
        </w:rPr>
        <w:t>the Legislation Register</w:t>
      </w:r>
      <w:r>
        <w:rPr>
          <w:rFonts w:eastAsia="Times New Roman" w:cs="Times New Roman"/>
          <w:sz w:val="24"/>
          <w:lang w:eastAsia="en-AU"/>
        </w:rPr>
        <w:t>)</w:t>
      </w:r>
      <w:r w:rsidRPr="00A3247A">
        <w:rPr>
          <w:rFonts w:eastAsia="Times New Roman" w:cs="Times New Roman"/>
          <w:sz w:val="24"/>
          <w:lang w:eastAsia="en-AU"/>
        </w:rPr>
        <w:t xml:space="preserve"> website.</w:t>
      </w:r>
    </w:p>
    <w:p w:rsidR="00B54C71" w:rsidRPr="00A3247A" w:rsidRDefault="00B54C71" w:rsidP="00B54C71">
      <w:pPr>
        <w:numPr>
          <w:ilvl w:val="0"/>
          <w:numId w:val="13"/>
        </w:numPr>
        <w:spacing w:before="240" w:line="240" w:lineRule="auto"/>
        <w:rPr>
          <w:rFonts w:eastAsia="Times New Roman" w:cs="Times New Roman"/>
          <w:sz w:val="24"/>
          <w:lang w:eastAsia="en-AU"/>
        </w:rPr>
      </w:pPr>
      <w:r w:rsidRPr="00A3247A">
        <w:rPr>
          <w:rFonts w:eastAsia="Times New Roman" w:cs="Times New Roman"/>
          <w:sz w:val="24"/>
          <w:lang w:eastAsia="en-AU"/>
        </w:rPr>
        <w:t>OPC’s outcome is: “A body of Commonwealth laws and instruments that give effect to intended policy, and that are coherent, readable and readily accessible, through the drafting and publication of those laws and instruments”.</w:t>
      </w:r>
    </w:p>
    <w:p w:rsidR="00A3247A" w:rsidRPr="00A3247A" w:rsidRDefault="00A3247A" w:rsidP="00A3247A">
      <w:pPr>
        <w:keepNext/>
        <w:spacing w:before="240" w:after="60" w:line="240" w:lineRule="auto"/>
        <w:outlineLvl w:val="2"/>
        <w:rPr>
          <w:rFonts w:ascii="Arial" w:eastAsia="Times New Roman" w:hAnsi="Arial" w:cs="Times New Roman"/>
          <w:b/>
          <w:i/>
          <w:kern w:val="28"/>
          <w:sz w:val="26"/>
          <w:lang w:eastAsia="en-AU"/>
        </w:rPr>
      </w:pPr>
      <w:r w:rsidRPr="00A3247A">
        <w:rPr>
          <w:rFonts w:ascii="Arial" w:eastAsia="Times New Roman" w:hAnsi="Arial" w:cs="Times New Roman"/>
          <w:b/>
          <w:i/>
          <w:kern w:val="28"/>
          <w:sz w:val="26"/>
          <w:lang w:eastAsia="en-AU"/>
        </w:rPr>
        <w:t>Environment</w:t>
      </w:r>
      <w:bookmarkEnd w:id="3"/>
    </w:p>
    <w:p w:rsidR="00A3247A" w:rsidRPr="00A3247A" w:rsidRDefault="00A3247A" w:rsidP="00A3247A">
      <w:pPr>
        <w:numPr>
          <w:ilvl w:val="0"/>
          <w:numId w:val="13"/>
        </w:numPr>
        <w:spacing w:before="240" w:line="240" w:lineRule="auto"/>
        <w:rPr>
          <w:rFonts w:eastAsia="Times New Roman" w:cs="Times New Roman"/>
          <w:sz w:val="24"/>
          <w:lang w:eastAsia="en-AU"/>
        </w:rPr>
      </w:pPr>
      <w:r w:rsidRPr="00A3247A">
        <w:rPr>
          <w:rFonts w:eastAsia="Times New Roman" w:cs="Times New Roman"/>
          <w:sz w:val="24"/>
          <w:lang w:eastAsia="en-AU"/>
        </w:rPr>
        <w:t>OPC’s drafting work is regulated by the Legal Services Directions. All Bill and regulation drafting is tied to OPC and budget funded. OPC also drafts other legislative instruments for government clients on a fee for service basis.</w:t>
      </w:r>
    </w:p>
    <w:p w:rsidR="00A3247A" w:rsidRPr="00A3247A" w:rsidRDefault="00A3247A" w:rsidP="00A3247A">
      <w:pPr>
        <w:numPr>
          <w:ilvl w:val="0"/>
          <w:numId w:val="13"/>
        </w:numPr>
        <w:spacing w:before="240" w:line="240" w:lineRule="auto"/>
        <w:rPr>
          <w:rFonts w:eastAsia="Times New Roman" w:cs="Times New Roman"/>
          <w:sz w:val="24"/>
          <w:lang w:eastAsia="en-AU"/>
        </w:rPr>
      </w:pPr>
      <w:r w:rsidRPr="00A3247A">
        <w:rPr>
          <w:rFonts w:eastAsia="Times New Roman" w:cs="Times New Roman"/>
          <w:sz w:val="24"/>
          <w:lang w:eastAsia="en-AU"/>
        </w:rPr>
        <w:t>OPC’s drafting work is done by highly skilled lawyers working in small team arrangements.</w:t>
      </w:r>
    </w:p>
    <w:p w:rsidR="00A3247A" w:rsidRPr="00A3247A" w:rsidRDefault="00A3247A" w:rsidP="00A3247A">
      <w:pPr>
        <w:numPr>
          <w:ilvl w:val="0"/>
          <w:numId w:val="13"/>
        </w:numPr>
        <w:spacing w:before="240" w:line="240" w:lineRule="auto"/>
        <w:rPr>
          <w:rFonts w:eastAsia="Times New Roman" w:cs="Times New Roman"/>
          <w:sz w:val="24"/>
          <w:lang w:eastAsia="en-AU"/>
        </w:rPr>
      </w:pPr>
      <w:r w:rsidRPr="00A3247A">
        <w:rPr>
          <w:rFonts w:eastAsia="Times New Roman" w:cs="Times New Roman"/>
          <w:sz w:val="24"/>
          <w:lang w:eastAsia="en-AU"/>
        </w:rPr>
        <w:lastRenderedPageBreak/>
        <w:t>It is critical to OPC’s ability to meet short term demands, and for the long term functioning of the Office for OPC to recruit, train and retain highly skilled staff.</w:t>
      </w:r>
    </w:p>
    <w:p w:rsidR="00A3247A" w:rsidRPr="00A3247A" w:rsidRDefault="00A3247A" w:rsidP="00A3247A">
      <w:pPr>
        <w:numPr>
          <w:ilvl w:val="0"/>
          <w:numId w:val="13"/>
        </w:numPr>
        <w:spacing w:before="240" w:line="240" w:lineRule="auto"/>
        <w:rPr>
          <w:rFonts w:eastAsia="Times New Roman" w:cs="Times New Roman"/>
          <w:sz w:val="24"/>
          <w:lang w:eastAsia="en-AU"/>
        </w:rPr>
      </w:pPr>
      <w:r w:rsidRPr="00A3247A">
        <w:rPr>
          <w:rFonts w:eastAsia="Times New Roman" w:cs="Times New Roman"/>
          <w:sz w:val="24"/>
          <w:lang w:eastAsia="en-AU"/>
        </w:rPr>
        <w:t xml:space="preserve">OPC is a small, specialised agency that is focused solely on legislative drafting and publishing. This enables OPC to perform </w:t>
      </w:r>
      <w:r w:rsidR="0081411E">
        <w:rPr>
          <w:rFonts w:eastAsia="Times New Roman" w:cs="Times New Roman"/>
          <w:sz w:val="24"/>
          <w:lang w:eastAsia="en-AU"/>
        </w:rPr>
        <w:t>our</w:t>
      </w:r>
      <w:r w:rsidRPr="00A3247A">
        <w:rPr>
          <w:rFonts w:eastAsia="Times New Roman" w:cs="Times New Roman"/>
          <w:sz w:val="24"/>
          <w:lang w:eastAsia="en-AU"/>
        </w:rPr>
        <w:t xml:space="preserve"> functions in a way that delivers high quality products extremely efficiently.</w:t>
      </w:r>
    </w:p>
    <w:p w:rsidR="00A3247A" w:rsidRPr="00A3247A" w:rsidRDefault="00A3247A" w:rsidP="00A3247A">
      <w:pPr>
        <w:numPr>
          <w:ilvl w:val="0"/>
          <w:numId w:val="13"/>
        </w:numPr>
        <w:spacing w:before="240" w:line="240" w:lineRule="auto"/>
        <w:rPr>
          <w:rFonts w:eastAsia="Times New Roman" w:cs="Times New Roman"/>
          <w:sz w:val="24"/>
          <w:lang w:eastAsia="en-AU"/>
        </w:rPr>
      </w:pPr>
      <w:r w:rsidRPr="00A3247A">
        <w:rPr>
          <w:rFonts w:eastAsia="Times New Roman" w:cs="Times New Roman"/>
          <w:sz w:val="24"/>
          <w:lang w:eastAsia="en-AU"/>
        </w:rPr>
        <w:t>OPC’s principal responsibility in relation to drafting is to deliver the government’s legislation program for Bills and regulations. While doing this OPC is also working on expanding the volume of its fee for service work.</w:t>
      </w:r>
    </w:p>
    <w:p w:rsidR="00A3247A" w:rsidRPr="00A3247A" w:rsidRDefault="00A3247A" w:rsidP="00A3247A">
      <w:pPr>
        <w:numPr>
          <w:ilvl w:val="0"/>
          <w:numId w:val="13"/>
        </w:numPr>
        <w:spacing w:before="240" w:line="240" w:lineRule="auto"/>
        <w:rPr>
          <w:rFonts w:eastAsia="Times New Roman" w:cs="Times New Roman"/>
          <w:sz w:val="24"/>
          <w:lang w:eastAsia="en-AU"/>
        </w:rPr>
      </w:pPr>
      <w:r w:rsidRPr="00A3247A">
        <w:rPr>
          <w:rFonts w:eastAsia="Times New Roman" w:cs="Times New Roman"/>
          <w:sz w:val="24"/>
          <w:lang w:eastAsia="en-AU"/>
        </w:rPr>
        <w:t>First Parliamentary Counsel (</w:t>
      </w:r>
      <w:r w:rsidRPr="00A3247A">
        <w:rPr>
          <w:rFonts w:eastAsia="Times New Roman" w:cs="Times New Roman"/>
          <w:b/>
          <w:i/>
          <w:sz w:val="24"/>
          <w:lang w:eastAsia="en-AU"/>
        </w:rPr>
        <w:t>FPC</w:t>
      </w:r>
      <w:r w:rsidRPr="00A3247A">
        <w:rPr>
          <w:rFonts w:eastAsia="Times New Roman" w:cs="Times New Roman"/>
          <w:sz w:val="24"/>
          <w:lang w:eastAsia="en-AU"/>
        </w:rPr>
        <w:t xml:space="preserve">) also has an obligation under the </w:t>
      </w:r>
      <w:r w:rsidR="007E4FAD">
        <w:rPr>
          <w:rFonts w:eastAsia="Times New Roman" w:cs="Times New Roman"/>
          <w:i/>
          <w:sz w:val="24"/>
          <w:lang w:eastAsia="en-AU"/>
        </w:rPr>
        <w:t>Legislation A</w:t>
      </w:r>
      <w:r w:rsidRPr="00A3247A">
        <w:rPr>
          <w:rFonts w:eastAsia="Times New Roman" w:cs="Times New Roman"/>
          <w:i/>
          <w:sz w:val="24"/>
          <w:lang w:eastAsia="en-AU"/>
        </w:rPr>
        <w:t>ct 2003</w:t>
      </w:r>
      <w:r w:rsidRPr="00A3247A">
        <w:rPr>
          <w:rFonts w:eastAsia="Times New Roman" w:cs="Times New Roman"/>
          <w:sz w:val="24"/>
          <w:lang w:eastAsia="en-AU"/>
        </w:rPr>
        <w:t xml:space="preserve"> to encourage high standards in the drafting of legislative instruments. FPC must cause steps to be taken to promote the legal effectiveness, clarity, and intelligibility to anticipated users of legislative instruments. FPC is working on a number of initiatives to achieve this.</w:t>
      </w:r>
    </w:p>
    <w:p w:rsidR="00A3247A" w:rsidRPr="00A3247A" w:rsidRDefault="00A3247A" w:rsidP="00A3247A">
      <w:pPr>
        <w:numPr>
          <w:ilvl w:val="0"/>
          <w:numId w:val="13"/>
        </w:numPr>
        <w:spacing w:before="240" w:line="240" w:lineRule="auto"/>
        <w:rPr>
          <w:rFonts w:eastAsia="Times New Roman" w:cs="Times New Roman"/>
          <w:sz w:val="24"/>
          <w:lang w:eastAsia="en-AU"/>
        </w:rPr>
      </w:pPr>
      <w:r w:rsidRPr="00A3247A">
        <w:rPr>
          <w:rFonts w:eastAsia="Times New Roman" w:cs="Times New Roman"/>
          <w:sz w:val="24"/>
          <w:lang w:eastAsia="en-AU"/>
        </w:rPr>
        <w:t>OPC’s Publications Group delivers legislative publishing services to</w:t>
      </w:r>
      <w:r w:rsidR="006F567C">
        <w:rPr>
          <w:rFonts w:eastAsia="Times New Roman" w:cs="Times New Roman"/>
          <w:sz w:val="24"/>
          <w:lang w:eastAsia="en-AU"/>
        </w:rPr>
        <w:t>,</w:t>
      </w:r>
      <w:r w:rsidRPr="00A3247A">
        <w:rPr>
          <w:rFonts w:eastAsia="Times New Roman" w:cs="Times New Roman"/>
          <w:sz w:val="24"/>
          <w:lang w:eastAsia="en-AU"/>
        </w:rPr>
        <w:t xml:space="preserve"> and on behalf of</w:t>
      </w:r>
      <w:r w:rsidR="006F567C">
        <w:rPr>
          <w:rFonts w:eastAsia="Times New Roman" w:cs="Times New Roman"/>
          <w:sz w:val="24"/>
          <w:lang w:eastAsia="en-AU"/>
        </w:rPr>
        <w:t>,</w:t>
      </w:r>
      <w:r w:rsidRPr="00A3247A">
        <w:rPr>
          <w:rFonts w:eastAsia="Times New Roman" w:cs="Times New Roman"/>
          <w:sz w:val="24"/>
          <w:lang w:eastAsia="en-AU"/>
        </w:rPr>
        <w:t xml:space="preserve"> the whole of the Australian Government through </w:t>
      </w:r>
      <w:r w:rsidR="006F567C">
        <w:rPr>
          <w:rFonts w:eastAsia="Times New Roman" w:cs="Times New Roman"/>
          <w:sz w:val="24"/>
          <w:lang w:eastAsia="en-AU"/>
        </w:rPr>
        <w:t xml:space="preserve">the </w:t>
      </w:r>
      <w:r w:rsidR="007736E7">
        <w:rPr>
          <w:rFonts w:eastAsia="Times New Roman" w:cs="Times New Roman"/>
          <w:sz w:val="24"/>
          <w:lang w:eastAsia="en-AU"/>
        </w:rPr>
        <w:t xml:space="preserve">Legislation </w:t>
      </w:r>
      <w:r w:rsidR="006F567C">
        <w:rPr>
          <w:rFonts w:eastAsia="Times New Roman" w:cs="Times New Roman"/>
          <w:sz w:val="24"/>
          <w:lang w:eastAsia="en-AU"/>
        </w:rPr>
        <w:t>Register</w:t>
      </w:r>
      <w:r w:rsidRPr="00A3247A">
        <w:rPr>
          <w:rFonts w:eastAsia="Times New Roman" w:cs="Times New Roman"/>
          <w:sz w:val="24"/>
          <w:lang w:eastAsia="en-AU"/>
        </w:rPr>
        <w:t xml:space="preserve"> to meet OPC’s obligations under the </w:t>
      </w:r>
      <w:r w:rsidR="007736E7">
        <w:rPr>
          <w:rFonts w:eastAsia="Times New Roman" w:cs="Times New Roman"/>
          <w:i/>
          <w:sz w:val="24"/>
          <w:lang w:eastAsia="en-AU"/>
        </w:rPr>
        <w:t>Legislation A</w:t>
      </w:r>
      <w:r w:rsidRPr="00A3247A">
        <w:rPr>
          <w:rFonts w:eastAsia="Times New Roman" w:cs="Times New Roman"/>
          <w:i/>
          <w:sz w:val="24"/>
          <w:lang w:eastAsia="en-AU"/>
        </w:rPr>
        <w:t>ct 2003</w:t>
      </w:r>
      <w:r w:rsidR="007736E7">
        <w:rPr>
          <w:rFonts w:eastAsia="Times New Roman" w:cs="Times New Roman"/>
          <w:sz w:val="24"/>
          <w:lang w:eastAsia="en-AU"/>
        </w:rPr>
        <w:t>.</w:t>
      </w:r>
    </w:p>
    <w:p w:rsidR="00A3247A" w:rsidRPr="00A3247A" w:rsidRDefault="007736E7" w:rsidP="00A3247A">
      <w:pPr>
        <w:numPr>
          <w:ilvl w:val="0"/>
          <w:numId w:val="13"/>
        </w:numPr>
        <w:spacing w:before="240" w:line="240" w:lineRule="auto"/>
        <w:rPr>
          <w:rFonts w:eastAsia="Times New Roman" w:cs="Times New Roman"/>
          <w:sz w:val="24"/>
          <w:lang w:eastAsia="en-AU"/>
        </w:rPr>
      </w:pPr>
      <w:r>
        <w:rPr>
          <w:rFonts w:eastAsia="Times New Roman" w:cs="Times New Roman"/>
          <w:sz w:val="24"/>
          <w:lang w:eastAsia="en-AU"/>
        </w:rPr>
        <w:t>The Legislation Register</w:t>
      </w:r>
      <w:r w:rsidR="00A3247A" w:rsidRPr="00A3247A">
        <w:rPr>
          <w:rFonts w:eastAsia="Times New Roman" w:cs="Times New Roman"/>
          <w:sz w:val="24"/>
          <w:lang w:eastAsia="en-AU"/>
        </w:rPr>
        <w:t xml:space="preserve"> is the whole-of-government legislative publishing and management information system. </w:t>
      </w:r>
      <w:r>
        <w:rPr>
          <w:rFonts w:eastAsia="Times New Roman" w:cs="Times New Roman"/>
          <w:sz w:val="24"/>
          <w:lang w:eastAsia="en-AU"/>
        </w:rPr>
        <w:t>The Legislation Register</w:t>
      </w:r>
      <w:r w:rsidR="00A3247A" w:rsidRPr="00A3247A">
        <w:rPr>
          <w:rFonts w:eastAsia="Times New Roman" w:cs="Times New Roman"/>
          <w:sz w:val="24"/>
          <w:lang w:eastAsia="en-AU"/>
        </w:rPr>
        <w:t xml:space="preserve"> contains Acts, legislative instruments, the Government Notices and Special Gazettes, and related information. </w:t>
      </w:r>
      <w:r>
        <w:rPr>
          <w:rFonts w:eastAsia="Times New Roman" w:cs="Times New Roman"/>
          <w:sz w:val="24"/>
          <w:lang w:eastAsia="en-AU"/>
        </w:rPr>
        <w:t>The Legislation Register</w:t>
      </w:r>
      <w:r w:rsidR="00A3247A" w:rsidRPr="00A3247A">
        <w:rPr>
          <w:rFonts w:eastAsia="Times New Roman" w:cs="Times New Roman"/>
          <w:sz w:val="24"/>
          <w:lang w:eastAsia="en-AU"/>
        </w:rPr>
        <w:t xml:space="preserve"> also contains compilations of all Acts and </w:t>
      </w:r>
      <w:r w:rsidR="0081411E">
        <w:rPr>
          <w:rFonts w:eastAsia="Times New Roman" w:cs="Times New Roman"/>
          <w:sz w:val="24"/>
          <w:lang w:eastAsia="en-AU"/>
        </w:rPr>
        <w:t>legislative instruments</w:t>
      </w:r>
      <w:r w:rsidR="00A3247A" w:rsidRPr="00A3247A">
        <w:rPr>
          <w:rFonts w:eastAsia="Times New Roman" w:cs="Times New Roman"/>
          <w:sz w:val="24"/>
          <w:lang w:eastAsia="en-AU"/>
        </w:rPr>
        <w:t xml:space="preserve"> currently in force</w:t>
      </w:r>
      <w:r w:rsidR="0081411E">
        <w:rPr>
          <w:rFonts w:eastAsia="Times New Roman" w:cs="Times New Roman"/>
          <w:sz w:val="24"/>
          <w:lang w:eastAsia="en-AU"/>
        </w:rPr>
        <w:t>. These</w:t>
      </w:r>
      <w:r w:rsidR="00A3247A" w:rsidRPr="00A3247A">
        <w:rPr>
          <w:rFonts w:eastAsia="Times New Roman" w:cs="Times New Roman"/>
          <w:sz w:val="24"/>
          <w:lang w:eastAsia="en-AU"/>
        </w:rPr>
        <w:t xml:space="preserve"> are authoritative for the purposes of court proceedings.</w:t>
      </w:r>
    </w:p>
    <w:p w:rsidR="00A3247A" w:rsidRDefault="00A3247A" w:rsidP="00A3247A">
      <w:pPr>
        <w:numPr>
          <w:ilvl w:val="0"/>
          <w:numId w:val="13"/>
        </w:numPr>
        <w:spacing w:before="240" w:line="240" w:lineRule="auto"/>
        <w:rPr>
          <w:rFonts w:eastAsia="Times New Roman" w:cs="Times New Roman"/>
          <w:sz w:val="24"/>
          <w:lang w:eastAsia="en-AU"/>
        </w:rPr>
      </w:pPr>
      <w:r w:rsidRPr="00A3247A">
        <w:rPr>
          <w:rFonts w:eastAsia="Times New Roman" w:cs="Times New Roman"/>
          <w:sz w:val="24"/>
          <w:lang w:eastAsia="en-AU"/>
        </w:rPr>
        <w:t xml:space="preserve">More than 70 government entities administer or contribute to current </w:t>
      </w:r>
      <w:r w:rsidR="007736E7">
        <w:rPr>
          <w:rFonts w:eastAsia="Times New Roman" w:cs="Times New Roman"/>
          <w:sz w:val="24"/>
          <w:lang w:eastAsia="en-AU"/>
        </w:rPr>
        <w:t>Legislation Register</w:t>
      </w:r>
      <w:r w:rsidRPr="00A3247A">
        <w:rPr>
          <w:rFonts w:eastAsia="Times New Roman" w:cs="Times New Roman"/>
          <w:sz w:val="24"/>
          <w:lang w:eastAsia="en-AU"/>
        </w:rPr>
        <w:t xml:space="preserve"> content, and use </w:t>
      </w:r>
      <w:r w:rsidR="007736E7">
        <w:rPr>
          <w:rFonts w:eastAsia="Times New Roman" w:cs="Times New Roman"/>
          <w:sz w:val="24"/>
          <w:lang w:eastAsia="en-AU"/>
        </w:rPr>
        <w:t>the Legislation Register</w:t>
      </w:r>
      <w:r w:rsidRPr="00A3247A">
        <w:rPr>
          <w:rFonts w:eastAsia="Times New Roman" w:cs="Times New Roman"/>
          <w:sz w:val="24"/>
          <w:lang w:eastAsia="en-AU"/>
        </w:rPr>
        <w:t xml:space="preserve"> data to manage their legislation. OPC relies on fees paid by these clients to fund aspects of the Publications Group operations, and recovers the cost of core services through annual fees. Government entities who choose to use additional services pay additional fees.</w:t>
      </w:r>
    </w:p>
    <w:p w:rsidR="00992724" w:rsidRPr="00A3247A" w:rsidRDefault="00992724" w:rsidP="00A3247A">
      <w:pPr>
        <w:numPr>
          <w:ilvl w:val="0"/>
          <w:numId w:val="13"/>
        </w:numPr>
        <w:spacing w:before="240" w:line="240" w:lineRule="auto"/>
        <w:rPr>
          <w:rFonts w:eastAsia="Times New Roman" w:cs="Times New Roman"/>
          <w:sz w:val="24"/>
          <w:lang w:eastAsia="en-AU"/>
        </w:rPr>
      </w:pPr>
      <w:r>
        <w:rPr>
          <w:rFonts w:eastAsia="Times New Roman" w:cs="Times New Roman"/>
          <w:sz w:val="24"/>
          <w:lang w:eastAsia="en-AU"/>
        </w:rPr>
        <w:t>The Legislation Register will be redeveloped over the next 2 to 3 years. The redevelopment is an opportunity to increase the efficiency, useability, functionality and responsiveness of all levels of the Legislation Register. It is also an opportunity to review current technologies to ensure the Legislation Register remains technically viable into the future.</w:t>
      </w:r>
    </w:p>
    <w:p w:rsidR="00A3247A" w:rsidRPr="00A3247A" w:rsidRDefault="00A3247A" w:rsidP="00A3247A">
      <w:pPr>
        <w:keepNext/>
        <w:spacing w:before="240" w:after="60" w:line="240" w:lineRule="auto"/>
        <w:outlineLvl w:val="2"/>
        <w:rPr>
          <w:rFonts w:ascii="Arial" w:eastAsia="Times New Roman" w:hAnsi="Arial" w:cs="Times New Roman"/>
          <w:b/>
          <w:i/>
          <w:kern w:val="28"/>
          <w:sz w:val="26"/>
          <w:lang w:eastAsia="en-AU"/>
        </w:rPr>
      </w:pPr>
      <w:bookmarkStart w:id="4" w:name="_Toc425345088"/>
      <w:r w:rsidRPr="00A3247A">
        <w:rPr>
          <w:rFonts w:ascii="Arial" w:eastAsia="Times New Roman" w:hAnsi="Arial" w:cs="Times New Roman"/>
          <w:b/>
          <w:i/>
          <w:kern w:val="28"/>
          <w:sz w:val="26"/>
          <w:lang w:eastAsia="en-AU"/>
        </w:rPr>
        <w:t>Capability</w:t>
      </w:r>
      <w:bookmarkEnd w:id="4"/>
    </w:p>
    <w:p w:rsidR="00A3247A" w:rsidRPr="00A3247A" w:rsidRDefault="00A3247A" w:rsidP="00A3247A">
      <w:pPr>
        <w:numPr>
          <w:ilvl w:val="0"/>
          <w:numId w:val="13"/>
        </w:numPr>
        <w:spacing w:before="240" w:line="240" w:lineRule="auto"/>
        <w:rPr>
          <w:rFonts w:eastAsia="Times New Roman" w:cs="Times New Roman"/>
          <w:sz w:val="24"/>
          <w:lang w:eastAsia="en-AU"/>
        </w:rPr>
      </w:pPr>
      <w:r w:rsidRPr="00A3247A">
        <w:rPr>
          <w:rFonts w:eastAsia="Times New Roman" w:cs="Times New Roman"/>
          <w:sz w:val="24"/>
          <w:lang w:eastAsia="en-AU"/>
        </w:rPr>
        <w:t>OPC will continue to be responsive to government priorities through:</w:t>
      </w:r>
    </w:p>
    <w:p w:rsidR="00A3247A" w:rsidRPr="00A3247A" w:rsidRDefault="00A3247A" w:rsidP="00A3247A">
      <w:pPr>
        <w:numPr>
          <w:ilvl w:val="2"/>
          <w:numId w:val="13"/>
        </w:numPr>
        <w:tabs>
          <w:tab w:val="left" w:pos="2160"/>
        </w:tabs>
        <w:spacing w:before="240" w:line="240" w:lineRule="auto"/>
        <w:rPr>
          <w:rFonts w:eastAsia="Times New Roman" w:cs="Times New Roman"/>
          <w:sz w:val="24"/>
          <w:lang w:eastAsia="en-AU"/>
        </w:rPr>
      </w:pPr>
      <w:r w:rsidRPr="00A3247A">
        <w:rPr>
          <w:rFonts w:eastAsia="Times New Roman" w:cs="Times New Roman"/>
          <w:sz w:val="24"/>
          <w:lang w:eastAsia="en-AU"/>
        </w:rPr>
        <w:t>Continuing to maintain a high standard of legislative drafting capability, in particular by providing substantial drafting training to its employees and by engaging in continuous improvement of drafting techniques</w:t>
      </w:r>
    </w:p>
    <w:p w:rsidR="00A3247A" w:rsidRPr="00A3247A" w:rsidRDefault="00A3247A" w:rsidP="00A3247A">
      <w:pPr>
        <w:numPr>
          <w:ilvl w:val="2"/>
          <w:numId w:val="13"/>
        </w:numPr>
        <w:tabs>
          <w:tab w:val="left" w:pos="2160"/>
        </w:tabs>
        <w:spacing w:before="240" w:line="240" w:lineRule="auto"/>
        <w:rPr>
          <w:rFonts w:eastAsia="Times New Roman" w:cs="Times New Roman"/>
          <w:sz w:val="24"/>
          <w:lang w:eastAsia="en-AU"/>
        </w:rPr>
      </w:pPr>
      <w:r w:rsidRPr="00A3247A">
        <w:rPr>
          <w:rFonts w:eastAsia="Times New Roman" w:cs="Times New Roman"/>
          <w:sz w:val="24"/>
          <w:lang w:eastAsia="en-AU"/>
        </w:rPr>
        <w:t>Continuing to progress work on practical measures to improve the clarity and accessibility of Commonwealth Acts and subordinate legislation</w:t>
      </w:r>
    </w:p>
    <w:p w:rsidR="00A3247A" w:rsidRPr="00A3247A" w:rsidRDefault="00A3247A" w:rsidP="00A3247A">
      <w:pPr>
        <w:numPr>
          <w:ilvl w:val="2"/>
          <w:numId w:val="13"/>
        </w:numPr>
        <w:tabs>
          <w:tab w:val="left" w:pos="2160"/>
        </w:tabs>
        <w:spacing w:before="240" w:line="240" w:lineRule="auto"/>
        <w:rPr>
          <w:rFonts w:eastAsia="Times New Roman" w:cs="Times New Roman"/>
          <w:sz w:val="24"/>
          <w:lang w:eastAsia="en-AU"/>
        </w:rPr>
      </w:pPr>
      <w:r w:rsidRPr="00A3247A">
        <w:rPr>
          <w:rFonts w:eastAsia="Times New Roman" w:cs="Times New Roman"/>
          <w:sz w:val="24"/>
          <w:lang w:eastAsia="en-AU"/>
        </w:rPr>
        <w:t xml:space="preserve">Continuing to encourage a high standard of legislative drafting proposals by providing advice to other entities on legislative projects and by training staff </w:t>
      </w:r>
      <w:r w:rsidRPr="00A3247A">
        <w:rPr>
          <w:rFonts w:eastAsia="Times New Roman" w:cs="Times New Roman"/>
          <w:sz w:val="24"/>
          <w:lang w:eastAsia="en-AU"/>
        </w:rPr>
        <w:lastRenderedPageBreak/>
        <w:t>of policy entities who might be responsible for giving drafting instructions to OPC</w:t>
      </w:r>
    </w:p>
    <w:p w:rsidR="00A3247A" w:rsidRPr="00A3247A" w:rsidRDefault="00A3247A" w:rsidP="00A3247A">
      <w:pPr>
        <w:numPr>
          <w:ilvl w:val="2"/>
          <w:numId w:val="13"/>
        </w:numPr>
        <w:tabs>
          <w:tab w:val="left" w:pos="2160"/>
        </w:tabs>
        <w:spacing w:before="240" w:line="240" w:lineRule="auto"/>
        <w:rPr>
          <w:rFonts w:eastAsia="Times New Roman" w:cs="Times New Roman"/>
          <w:sz w:val="24"/>
          <w:lang w:eastAsia="en-AU"/>
        </w:rPr>
      </w:pPr>
      <w:r w:rsidRPr="00A3247A">
        <w:rPr>
          <w:rFonts w:eastAsia="Times New Roman" w:cs="Times New Roman"/>
          <w:sz w:val="24"/>
          <w:lang w:eastAsia="en-AU"/>
        </w:rPr>
        <w:t xml:space="preserve">Maintaining free online access to up-to-date Commonwealth laws and instruments through </w:t>
      </w:r>
      <w:r w:rsidR="007736E7">
        <w:rPr>
          <w:rFonts w:eastAsia="Times New Roman" w:cs="Times New Roman"/>
          <w:sz w:val="24"/>
          <w:lang w:eastAsia="en-AU"/>
        </w:rPr>
        <w:t>the Legislation Register</w:t>
      </w:r>
    </w:p>
    <w:p w:rsidR="00A3247A" w:rsidRPr="00A3247A" w:rsidRDefault="00A3247A" w:rsidP="00A3247A">
      <w:pPr>
        <w:numPr>
          <w:ilvl w:val="2"/>
          <w:numId w:val="13"/>
        </w:numPr>
        <w:tabs>
          <w:tab w:val="left" w:pos="2160"/>
        </w:tabs>
        <w:spacing w:before="240" w:line="240" w:lineRule="auto"/>
        <w:rPr>
          <w:rFonts w:eastAsia="Times New Roman" w:cs="Times New Roman"/>
          <w:sz w:val="24"/>
          <w:lang w:eastAsia="en-AU"/>
        </w:rPr>
      </w:pPr>
      <w:r w:rsidRPr="00A3247A">
        <w:rPr>
          <w:rFonts w:eastAsia="Times New Roman" w:cs="Times New Roman"/>
          <w:sz w:val="24"/>
          <w:lang w:eastAsia="en-AU"/>
        </w:rPr>
        <w:t>Continuing to work with other entities to reduce the regulatory burden, particularly by reducing legislative complexity, ensuring the repeal of spent instruments and assisting entities to manage the sunsetting of their legislative instruments.</w:t>
      </w:r>
    </w:p>
    <w:p w:rsidR="00A3247A" w:rsidRPr="00A3247A" w:rsidRDefault="00A3247A" w:rsidP="00A3247A">
      <w:pPr>
        <w:keepNext/>
        <w:spacing w:before="240" w:after="60" w:line="240" w:lineRule="auto"/>
        <w:outlineLvl w:val="2"/>
        <w:rPr>
          <w:rFonts w:ascii="Arial" w:eastAsia="Times New Roman" w:hAnsi="Arial" w:cs="Times New Roman"/>
          <w:b/>
          <w:i/>
          <w:kern w:val="28"/>
          <w:sz w:val="26"/>
          <w:lang w:eastAsia="en-AU"/>
        </w:rPr>
      </w:pPr>
      <w:bookmarkStart w:id="5" w:name="_Toc425345089"/>
      <w:r w:rsidRPr="00A3247A">
        <w:rPr>
          <w:rFonts w:ascii="Arial" w:eastAsia="Times New Roman" w:hAnsi="Arial" w:cs="Times New Roman"/>
          <w:b/>
          <w:i/>
          <w:kern w:val="28"/>
          <w:sz w:val="26"/>
          <w:lang w:eastAsia="en-AU"/>
        </w:rPr>
        <w:t>Performance</w:t>
      </w:r>
      <w:bookmarkEnd w:id="5"/>
    </w:p>
    <w:p w:rsidR="00A3247A" w:rsidRPr="00A3247A" w:rsidRDefault="00A3247A" w:rsidP="00A3247A">
      <w:pPr>
        <w:numPr>
          <w:ilvl w:val="0"/>
          <w:numId w:val="13"/>
        </w:numPr>
        <w:spacing w:before="240" w:line="240" w:lineRule="auto"/>
        <w:rPr>
          <w:rFonts w:eastAsia="Times New Roman" w:cs="Times New Roman"/>
          <w:sz w:val="24"/>
          <w:lang w:eastAsia="en-AU"/>
        </w:rPr>
      </w:pPr>
      <w:r w:rsidRPr="00A3247A">
        <w:rPr>
          <w:rFonts w:eastAsia="Times New Roman" w:cs="Times New Roman"/>
          <w:sz w:val="24"/>
          <w:lang w:eastAsia="en-AU"/>
        </w:rPr>
        <w:t>Below is a summary, for each reporting period, of the planned performance measures and targets to be used to assess the performance of OPC and its significant activities over the period of the Plan.</w:t>
      </w:r>
    </w:p>
    <w:p w:rsidR="00A3247A" w:rsidRPr="00A3247A" w:rsidRDefault="00A3247A" w:rsidP="00A3247A">
      <w:pPr>
        <w:spacing w:before="60" w:line="240" w:lineRule="atLeast"/>
        <w:rPr>
          <w:rFonts w:eastAsia="Times New Roman" w:cs="Times New Roman"/>
          <w:sz w:val="20"/>
          <w:lang w:eastAsia="en-AU"/>
        </w:rPr>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547"/>
        <w:gridCol w:w="2551"/>
        <w:gridCol w:w="993"/>
        <w:gridCol w:w="141"/>
        <w:gridCol w:w="851"/>
        <w:gridCol w:w="142"/>
        <w:gridCol w:w="850"/>
        <w:gridCol w:w="142"/>
        <w:gridCol w:w="807"/>
      </w:tblGrid>
      <w:tr w:rsidR="00A3247A" w:rsidRPr="00A3247A" w:rsidTr="004C7324">
        <w:trPr>
          <w:tblHeader/>
        </w:trPr>
        <w:tc>
          <w:tcPr>
            <w:tcW w:w="9024" w:type="dxa"/>
            <w:gridSpan w:val="9"/>
            <w:tcBorders>
              <w:top w:val="single" w:sz="12" w:space="0" w:color="auto"/>
              <w:bottom w:val="single" w:sz="2" w:space="0" w:color="auto"/>
            </w:tcBorders>
            <w:shd w:val="clear" w:color="auto" w:fill="auto"/>
          </w:tcPr>
          <w:p w:rsidR="00A3247A" w:rsidRPr="00A3247A" w:rsidRDefault="00A3247A" w:rsidP="00A3247A">
            <w:pPr>
              <w:keepNext/>
              <w:spacing w:before="60" w:line="240" w:lineRule="atLeast"/>
              <w:rPr>
                <w:rFonts w:eastAsia="Times New Roman" w:cs="Times New Roman"/>
                <w:b/>
                <w:sz w:val="20"/>
                <w:lang w:eastAsia="en-AU"/>
              </w:rPr>
            </w:pPr>
            <w:r w:rsidRPr="00A3247A">
              <w:rPr>
                <w:rFonts w:eastAsia="Times New Roman" w:cs="Times New Roman"/>
                <w:b/>
                <w:sz w:val="20"/>
                <w:lang w:eastAsia="en-AU"/>
              </w:rPr>
              <w:t>Summary of planned performance</w:t>
            </w:r>
          </w:p>
        </w:tc>
      </w:tr>
      <w:tr w:rsidR="00A3247A" w:rsidRPr="00A3247A" w:rsidTr="004C7324">
        <w:trPr>
          <w:tblHeader/>
        </w:trPr>
        <w:tc>
          <w:tcPr>
            <w:tcW w:w="2547" w:type="dxa"/>
            <w:tcBorders>
              <w:top w:val="single" w:sz="2" w:space="0" w:color="auto"/>
              <w:bottom w:val="single" w:sz="12" w:space="0" w:color="auto"/>
            </w:tcBorders>
            <w:shd w:val="clear" w:color="auto" w:fill="auto"/>
          </w:tcPr>
          <w:p w:rsidR="00A3247A" w:rsidRPr="00A3247A" w:rsidRDefault="00A3247A" w:rsidP="009F5866">
            <w:pPr>
              <w:keepNext/>
              <w:spacing w:before="60" w:line="240" w:lineRule="atLeast"/>
              <w:rPr>
                <w:rFonts w:eastAsia="Times New Roman" w:cs="Times New Roman"/>
                <w:b/>
                <w:sz w:val="20"/>
                <w:lang w:eastAsia="en-AU"/>
              </w:rPr>
            </w:pPr>
            <w:r w:rsidRPr="00A3247A">
              <w:rPr>
                <w:rFonts w:eastAsia="Times New Roman" w:cs="Times New Roman"/>
                <w:b/>
                <w:sz w:val="20"/>
                <w:lang w:eastAsia="en-AU"/>
              </w:rPr>
              <w:t>P</w:t>
            </w:r>
            <w:r w:rsidR="009F5866">
              <w:rPr>
                <w:rFonts w:eastAsia="Times New Roman" w:cs="Times New Roman"/>
                <w:b/>
                <w:sz w:val="20"/>
                <w:lang w:eastAsia="en-AU"/>
              </w:rPr>
              <w:t>erformance</w:t>
            </w:r>
            <w:r w:rsidRPr="00A3247A">
              <w:rPr>
                <w:rFonts w:eastAsia="Times New Roman" w:cs="Times New Roman"/>
                <w:b/>
                <w:sz w:val="20"/>
                <w:lang w:eastAsia="en-AU"/>
              </w:rPr>
              <w:t xml:space="preserve"> </w:t>
            </w:r>
            <w:r w:rsidR="0081411E">
              <w:rPr>
                <w:rFonts w:eastAsia="Times New Roman" w:cs="Times New Roman"/>
                <w:b/>
                <w:sz w:val="20"/>
                <w:lang w:eastAsia="en-AU"/>
              </w:rPr>
              <w:t>criteria</w:t>
            </w:r>
          </w:p>
        </w:tc>
        <w:tc>
          <w:tcPr>
            <w:tcW w:w="2551" w:type="dxa"/>
            <w:tcBorders>
              <w:top w:val="single" w:sz="2" w:space="0" w:color="auto"/>
              <w:bottom w:val="single" w:sz="12" w:space="0" w:color="auto"/>
            </w:tcBorders>
            <w:shd w:val="clear" w:color="auto" w:fill="auto"/>
          </w:tcPr>
          <w:p w:rsidR="00A3247A" w:rsidRPr="00A3247A" w:rsidRDefault="00A3247A" w:rsidP="00A3247A">
            <w:pPr>
              <w:keepNext/>
              <w:spacing w:before="60" w:line="240" w:lineRule="atLeast"/>
              <w:rPr>
                <w:rFonts w:eastAsia="Times New Roman" w:cs="Times New Roman"/>
                <w:b/>
                <w:sz w:val="20"/>
                <w:lang w:eastAsia="en-AU"/>
              </w:rPr>
            </w:pPr>
            <w:r w:rsidRPr="00A3247A">
              <w:rPr>
                <w:rFonts w:eastAsia="Times New Roman" w:cs="Times New Roman"/>
                <w:b/>
                <w:sz w:val="20"/>
                <w:lang w:eastAsia="en-AU"/>
              </w:rPr>
              <w:t>Performance measure</w:t>
            </w:r>
          </w:p>
        </w:tc>
        <w:tc>
          <w:tcPr>
            <w:tcW w:w="993" w:type="dxa"/>
            <w:tcBorders>
              <w:top w:val="single" w:sz="2" w:space="0" w:color="auto"/>
              <w:bottom w:val="single" w:sz="12" w:space="0" w:color="auto"/>
            </w:tcBorders>
            <w:shd w:val="clear" w:color="auto" w:fill="auto"/>
          </w:tcPr>
          <w:p w:rsidR="00A3247A" w:rsidRPr="00A3247A" w:rsidRDefault="00A3247A" w:rsidP="0015237B">
            <w:pPr>
              <w:keepNext/>
              <w:spacing w:before="60" w:line="240" w:lineRule="atLeast"/>
              <w:rPr>
                <w:rFonts w:eastAsia="Times New Roman" w:cs="Times New Roman"/>
                <w:b/>
                <w:sz w:val="20"/>
                <w:lang w:eastAsia="en-AU"/>
              </w:rPr>
            </w:pPr>
            <w:r w:rsidRPr="00A3247A">
              <w:rPr>
                <w:rFonts w:eastAsia="Times New Roman" w:cs="Times New Roman"/>
                <w:b/>
                <w:sz w:val="20"/>
                <w:lang w:eastAsia="en-AU"/>
              </w:rPr>
              <w:t>201</w:t>
            </w:r>
            <w:r w:rsidR="0015237B">
              <w:rPr>
                <w:rFonts w:eastAsia="Times New Roman" w:cs="Times New Roman"/>
                <w:b/>
                <w:sz w:val="20"/>
                <w:lang w:eastAsia="en-AU"/>
              </w:rPr>
              <w:t>7-18</w:t>
            </w:r>
          </w:p>
        </w:tc>
        <w:tc>
          <w:tcPr>
            <w:tcW w:w="992" w:type="dxa"/>
            <w:gridSpan w:val="2"/>
            <w:tcBorders>
              <w:top w:val="single" w:sz="2" w:space="0" w:color="auto"/>
              <w:bottom w:val="single" w:sz="12" w:space="0" w:color="auto"/>
            </w:tcBorders>
            <w:shd w:val="clear" w:color="auto" w:fill="auto"/>
          </w:tcPr>
          <w:p w:rsidR="00A3247A" w:rsidRPr="00A3247A" w:rsidRDefault="00A3247A" w:rsidP="0015237B">
            <w:pPr>
              <w:keepNext/>
              <w:spacing w:before="60" w:line="240" w:lineRule="atLeast"/>
              <w:rPr>
                <w:rFonts w:eastAsia="Times New Roman" w:cs="Times New Roman"/>
                <w:b/>
                <w:sz w:val="20"/>
                <w:lang w:eastAsia="en-AU"/>
              </w:rPr>
            </w:pPr>
            <w:r w:rsidRPr="00A3247A">
              <w:rPr>
                <w:rFonts w:eastAsia="Times New Roman" w:cs="Times New Roman"/>
                <w:b/>
                <w:sz w:val="20"/>
                <w:lang w:eastAsia="en-AU"/>
              </w:rPr>
              <w:t>201</w:t>
            </w:r>
            <w:r w:rsidR="0015237B">
              <w:rPr>
                <w:rFonts w:eastAsia="Times New Roman" w:cs="Times New Roman"/>
                <w:b/>
                <w:sz w:val="20"/>
                <w:lang w:eastAsia="en-AU"/>
              </w:rPr>
              <w:t>8</w:t>
            </w:r>
            <w:r w:rsidR="00F00715">
              <w:rPr>
                <w:rFonts w:eastAsia="Times New Roman" w:cs="Times New Roman"/>
                <w:b/>
                <w:sz w:val="20"/>
                <w:lang w:eastAsia="en-AU"/>
              </w:rPr>
              <w:t>-1</w:t>
            </w:r>
            <w:r w:rsidR="0015237B">
              <w:rPr>
                <w:rFonts w:eastAsia="Times New Roman" w:cs="Times New Roman"/>
                <w:b/>
                <w:sz w:val="20"/>
                <w:lang w:eastAsia="en-AU"/>
              </w:rPr>
              <w:t>9</w:t>
            </w:r>
          </w:p>
        </w:tc>
        <w:tc>
          <w:tcPr>
            <w:tcW w:w="992" w:type="dxa"/>
            <w:gridSpan w:val="2"/>
            <w:tcBorders>
              <w:top w:val="single" w:sz="2" w:space="0" w:color="auto"/>
              <w:bottom w:val="single" w:sz="12" w:space="0" w:color="auto"/>
            </w:tcBorders>
            <w:shd w:val="clear" w:color="auto" w:fill="auto"/>
          </w:tcPr>
          <w:p w:rsidR="00A3247A" w:rsidRPr="00A3247A" w:rsidRDefault="00A3247A" w:rsidP="0015237B">
            <w:pPr>
              <w:keepNext/>
              <w:spacing w:before="60" w:line="240" w:lineRule="atLeast"/>
              <w:rPr>
                <w:rFonts w:eastAsia="Times New Roman" w:cs="Times New Roman"/>
                <w:b/>
                <w:sz w:val="20"/>
                <w:lang w:eastAsia="en-AU"/>
              </w:rPr>
            </w:pPr>
            <w:r w:rsidRPr="00A3247A">
              <w:rPr>
                <w:rFonts w:eastAsia="Times New Roman" w:cs="Times New Roman"/>
                <w:b/>
                <w:sz w:val="20"/>
                <w:lang w:eastAsia="en-AU"/>
              </w:rPr>
              <w:t>201</w:t>
            </w:r>
            <w:r w:rsidR="0015237B">
              <w:rPr>
                <w:rFonts w:eastAsia="Times New Roman" w:cs="Times New Roman"/>
                <w:b/>
                <w:sz w:val="20"/>
                <w:lang w:eastAsia="en-AU"/>
              </w:rPr>
              <w:t>9</w:t>
            </w:r>
            <w:r w:rsidR="00F00715">
              <w:rPr>
                <w:rFonts w:eastAsia="Times New Roman" w:cs="Times New Roman"/>
                <w:b/>
                <w:sz w:val="20"/>
                <w:lang w:eastAsia="en-AU"/>
              </w:rPr>
              <w:t>-</w:t>
            </w:r>
            <w:r w:rsidR="0015237B">
              <w:rPr>
                <w:rFonts w:eastAsia="Times New Roman" w:cs="Times New Roman"/>
                <w:b/>
                <w:sz w:val="20"/>
                <w:lang w:eastAsia="en-AU"/>
              </w:rPr>
              <w:t>20</w:t>
            </w:r>
          </w:p>
        </w:tc>
        <w:tc>
          <w:tcPr>
            <w:tcW w:w="949" w:type="dxa"/>
            <w:gridSpan w:val="2"/>
            <w:tcBorders>
              <w:top w:val="single" w:sz="2" w:space="0" w:color="auto"/>
              <w:bottom w:val="single" w:sz="12" w:space="0" w:color="auto"/>
            </w:tcBorders>
            <w:shd w:val="clear" w:color="auto" w:fill="auto"/>
          </w:tcPr>
          <w:p w:rsidR="00A3247A" w:rsidRPr="00A3247A" w:rsidRDefault="00A3247A" w:rsidP="0015237B">
            <w:pPr>
              <w:keepNext/>
              <w:spacing w:before="60" w:line="240" w:lineRule="atLeast"/>
              <w:rPr>
                <w:rFonts w:eastAsia="Times New Roman" w:cs="Times New Roman"/>
                <w:b/>
                <w:sz w:val="20"/>
                <w:lang w:eastAsia="en-AU"/>
              </w:rPr>
            </w:pPr>
            <w:r w:rsidRPr="00A3247A">
              <w:rPr>
                <w:rFonts w:eastAsia="Times New Roman" w:cs="Times New Roman"/>
                <w:b/>
                <w:sz w:val="20"/>
                <w:lang w:eastAsia="en-AU"/>
              </w:rPr>
              <w:t>20</w:t>
            </w:r>
            <w:r w:rsidR="0015237B">
              <w:rPr>
                <w:rFonts w:eastAsia="Times New Roman" w:cs="Times New Roman"/>
                <w:b/>
                <w:sz w:val="20"/>
                <w:lang w:eastAsia="en-AU"/>
              </w:rPr>
              <w:t>20</w:t>
            </w:r>
            <w:r w:rsidR="00F00715">
              <w:rPr>
                <w:rFonts w:eastAsia="Times New Roman" w:cs="Times New Roman"/>
                <w:b/>
                <w:sz w:val="20"/>
                <w:lang w:eastAsia="en-AU"/>
              </w:rPr>
              <w:t>-2</w:t>
            </w:r>
            <w:r w:rsidR="0015237B">
              <w:rPr>
                <w:rFonts w:eastAsia="Times New Roman" w:cs="Times New Roman"/>
                <w:b/>
                <w:sz w:val="20"/>
                <w:lang w:eastAsia="en-AU"/>
              </w:rPr>
              <w:t>1</w:t>
            </w:r>
          </w:p>
        </w:tc>
      </w:tr>
      <w:tr w:rsidR="00A3247A" w:rsidRPr="00A3247A" w:rsidTr="004C7324">
        <w:tc>
          <w:tcPr>
            <w:tcW w:w="2547" w:type="dxa"/>
            <w:shd w:val="clear" w:color="auto" w:fill="auto"/>
          </w:tcPr>
          <w:p w:rsidR="00A3247A" w:rsidRPr="00A3247A" w:rsidRDefault="009F5866" w:rsidP="00A3247A">
            <w:pPr>
              <w:spacing w:before="60" w:line="240" w:lineRule="atLeast"/>
              <w:rPr>
                <w:rFonts w:eastAsia="Times New Roman" w:cs="Times New Roman"/>
                <w:b/>
                <w:sz w:val="20"/>
                <w:lang w:eastAsia="en-AU"/>
              </w:rPr>
            </w:pPr>
            <w:r>
              <w:rPr>
                <w:rFonts w:eastAsia="Times New Roman" w:cs="Times New Roman"/>
                <w:b/>
                <w:sz w:val="20"/>
                <w:lang w:eastAsia="en-AU"/>
              </w:rPr>
              <w:t>Legislative drafting</w:t>
            </w:r>
          </w:p>
          <w:p w:rsidR="00A3247A" w:rsidRPr="00A3247A" w:rsidRDefault="00A3247A" w:rsidP="00A3247A">
            <w:pPr>
              <w:spacing w:before="60" w:line="240" w:lineRule="atLeast"/>
              <w:rPr>
                <w:rFonts w:eastAsia="Times New Roman" w:cs="Times New Roman"/>
                <w:sz w:val="20"/>
                <w:lang w:eastAsia="en-AU"/>
              </w:rPr>
            </w:pPr>
            <w:r w:rsidRPr="00A3247A">
              <w:rPr>
                <w:rFonts w:eastAsia="Times New Roman" w:cs="Times New Roman"/>
                <w:sz w:val="20"/>
                <w:lang w:eastAsia="en-AU"/>
              </w:rPr>
              <w:t>Bills and ExCo instruments reflect sponsors’ policy intentions and are legally effective</w:t>
            </w:r>
          </w:p>
          <w:p w:rsidR="00A3247A" w:rsidRPr="00A3247A" w:rsidRDefault="00A3247A" w:rsidP="00A3247A">
            <w:pPr>
              <w:spacing w:before="60" w:line="240" w:lineRule="atLeast"/>
              <w:rPr>
                <w:rFonts w:eastAsia="Times New Roman" w:cs="Times New Roman"/>
                <w:sz w:val="20"/>
                <w:lang w:eastAsia="en-AU"/>
              </w:rPr>
            </w:pPr>
          </w:p>
          <w:p w:rsidR="00A3247A" w:rsidRPr="00A3247A" w:rsidRDefault="00A3247A" w:rsidP="00A3247A">
            <w:pPr>
              <w:spacing w:before="60" w:line="240" w:lineRule="atLeast"/>
              <w:rPr>
                <w:rFonts w:eastAsia="Times New Roman" w:cs="Times New Roman"/>
                <w:sz w:val="20"/>
                <w:lang w:eastAsia="en-AU"/>
              </w:rPr>
            </w:pPr>
          </w:p>
          <w:p w:rsidR="00A3247A" w:rsidRPr="00A3247A" w:rsidRDefault="00A3247A" w:rsidP="00A3247A">
            <w:pPr>
              <w:spacing w:before="60" w:line="240" w:lineRule="atLeast"/>
              <w:rPr>
                <w:rFonts w:eastAsia="Times New Roman" w:cs="Times New Roman"/>
                <w:sz w:val="20"/>
                <w:lang w:eastAsia="en-AU"/>
              </w:rPr>
            </w:pPr>
          </w:p>
          <w:p w:rsidR="00A3247A" w:rsidRPr="00A3247A" w:rsidRDefault="00A3247A" w:rsidP="00A3247A">
            <w:pPr>
              <w:spacing w:before="60" w:line="240" w:lineRule="atLeast"/>
              <w:rPr>
                <w:rFonts w:eastAsia="Times New Roman" w:cs="Times New Roman"/>
                <w:sz w:val="20"/>
                <w:lang w:eastAsia="en-AU"/>
              </w:rPr>
            </w:pPr>
          </w:p>
          <w:p w:rsidR="00A3247A" w:rsidRPr="00A3247A" w:rsidRDefault="00A3247A" w:rsidP="00A3247A">
            <w:pPr>
              <w:spacing w:before="60" w:line="240" w:lineRule="atLeast"/>
              <w:rPr>
                <w:rFonts w:eastAsia="Times New Roman" w:cs="Times New Roman"/>
                <w:sz w:val="20"/>
                <w:lang w:eastAsia="en-AU"/>
              </w:rPr>
            </w:pPr>
          </w:p>
          <w:p w:rsidR="009F5866" w:rsidRDefault="009F5866" w:rsidP="00A3247A">
            <w:pPr>
              <w:spacing w:before="60" w:line="240" w:lineRule="atLeast"/>
              <w:rPr>
                <w:rFonts w:eastAsia="Times New Roman" w:cs="Times New Roman"/>
                <w:sz w:val="20"/>
                <w:lang w:eastAsia="en-AU"/>
              </w:rPr>
            </w:pPr>
          </w:p>
          <w:p w:rsidR="00A3247A" w:rsidRPr="00A3247A" w:rsidRDefault="00A3247A" w:rsidP="00A3247A">
            <w:pPr>
              <w:spacing w:before="60" w:line="240" w:lineRule="atLeast"/>
              <w:rPr>
                <w:rFonts w:eastAsia="Times New Roman" w:cs="Times New Roman"/>
                <w:sz w:val="20"/>
                <w:lang w:eastAsia="en-AU"/>
              </w:rPr>
            </w:pPr>
            <w:r w:rsidRPr="00A3247A">
              <w:rPr>
                <w:rFonts w:eastAsia="Times New Roman" w:cs="Times New Roman"/>
                <w:sz w:val="20"/>
                <w:lang w:eastAsia="en-AU"/>
              </w:rPr>
              <w:t>Drafting standards and conventions are applied consistently to all Bills and ExCo instruments</w:t>
            </w:r>
          </w:p>
        </w:tc>
        <w:tc>
          <w:tcPr>
            <w:tcW w:w="2551" w:type="dxa"/>
            <w:shd w:val="clear" w:color="auto" w:fill="auto"/>
          </w:tcPr>
          <w:p w:rsidR="00A3247A" w:rsidRPr="00A3247A" w:rsidRDefault="00A3247A" w:rsidP="00A3247A">
            <w:pPr>
              <w:spacing w:before="60" w:line="240" w:lineRule="atLeast"/>
              <w:rPr>
                <w:rFonts w:eastAsia="Times New Roman" w:cs="Times New Roman"/>
                <w:sz w:val="20"/>
                <w:lang w:eastAsia="en-AU"/>
              </w:rPr>
            </w:pPr>
          </w:p>
          <w:p w:rsidR="00A3247A" w:rsidRPr="00A3247A" w:rsidRDefault="00A3247A" w:rsidP="00A3247A">
            <w:pPr>
              <w:spacing w:before="60" w:line="240" w:lineRule="atLeast"/>
              <w:rPr>
                <w:rFonts w:eastAsia="Times New Roman" w:cs="Times New Roman"/>
                <w:sz w:val="20"/>
                <w:lang w:eastAsia="en-AU"/>
              </w:rPr>
            </w:pPr>
            <w:r w:rsidRPr="00A3247A">
              <w:rPr>
                <w:rFonts w:eastAsia="Times New Roman" w:cs="Times New Roman"/>
                <w:sz w:val="20"/>
                <w:lang w:eastAsia="en-AU"/>
              </w:rPr>
              <w:t>Proportion of client surveys  that indicate Bills and ExCo instruments reflect sponsors’ policy intentions and are legally effective</w:t>
            </w:r>
          </w:p>
          <w:p w:rsidR="00A3247A" w:rsidRPr="00A3247A" w:rsidRDefault="00A3247A" w:rsidP="00A3247A">
            <w:pPr>
              <w:spacing w:before="60" w:line="240" w:lineRule="atLeast"/>
              <w:rPr>
                <w:rFonts w:eastAsia="Times New Roman" w:cs="Times New Roman"/>
                <w:sz w:val="20"/>
                <w:lang w:eastAsia="en-AU"/>
              </w:rPr>
            </w:pPr>
            <w:r w:rsidRPr="00A3247A">
              <w:rPr>
                <w:rFonts w:eastAsia="Times New Roman" w:cs="Times New Roman"/>
                <w:sz w:val="20"/>
                <w:lang w:eastAsia="en-AU"/>
              </w:rPr>
              <w:t>Average rating (rating scale 1-5) received on client survey forms for overall satisfaction with the drafting process and draft legislation</w:t>
            </w:r>
          </w:p>
          <w:p w:rsidR="00A3247A" w:rsidRPr="00A3247A" w:rsidRDefault="00A3247A" w:rsidP="00A3247A">
            <w:pPr>
              <w:spacing w:before="60" w:line="240" w:lineRule="atLeast"/>
              <w:rPr>
                <w:rFonts w:eastAsia="Times New Roman" w:cs="Times New Roman"/>
                <w:sz w:val="20"/>
                <w:lang w:eastAsia="en-AU"/>
              </w:rPr>
            </w:pPr>
          </w:p>
          <w:p w:rsidR="00A3247A" w:rsidRPr="00A3247A" w:rsidRDefault="00A3247A" w:rsidP="00A3247A">
            <w:pPr>
              <w:spacing w:before="60" w:line="240" w:lineRule="atLeast"/>
              <w:rPr>
                <w:rFonts w:eastAsia="Times New Roman" w:cs="Times New Roman"/>
                <w:sz w:val="20"/>
                <w:lang w:eastAsia="en-AU"/>
              </w:rPr>
            </w:pPr>
            <w:r w:rsidRPr="00A3247A">
              <w:rPr>
                <w:rFonts w:eastAsia="Times New Roman" w:cs="Times New Roman"/>
                <w:sz w:val="20"/>
                <w:lang w:eastAsia="en-AU"/>
              </w:rPr>
              <w:t>Proportion of Bills and ExCo instruments where drafting standards and conventions are applied consistently</w:t>
            </w:r>
          </w:p>
        </w:tc>
        <w:tc>
          <w:tcPr>
            <w:tcW w:w="1134" w:type="dxa"/>
            <w:gridSpan w:val="2"/>
            <w:shd w:val="clear" w:color="auto" w:fill="auto"/>
          </w:tcPr>
          <w:p w:rsidR="00A3247A" w:rsidRPr="00A3247A" w:rsidRDefault="00A3247A" w:rsidP="00A3247A">
            <w:pPr>
              <w:spacing w:before="60" w:line="240" w:lineRule="atLeast"/>
              <w:jc w:val="center"/>
              <w:rPr>
                <w:rFonts w:eastAsia="Times New Roman" w:cs="Times New Roman"/>
                <w:sz w:val="20"/>
                <w:lang w:eastAsia="en-AU"/>
              </w:rPr>
            </w:pPr>
          </w:p>
          <w:p w:rsidR="00A3247A" w:rsidRPr="00A3247A" w:rsidRDefault="00A3247A" w:rsidP="00A3247A">
            <w:pPr>
              <w:spacing w:before="60" w:line="240" w:lineRule="atLeast"/>
              <w:jc w:val="center"/>
              <w:rPr>
                <w:rFonts w:eastAsia="Times New Roman" w:cs="Times New Roman"/>
                <w:sz w:val="20"/>
                <w:lang w:eastAsia="en-AU"/>
              </w:rPr>
            </w:pPr>
            <w:r w:rsidRPr="00A3247A">
              <w:rPr>
                <w:rFonts w:eastAsia="Times New Roman" w:cs="Times New Roman"/>
                <w:sz w:val="20"/>
                <w:lang w:eastAsia="en-AU"/>
              </w:rPr>
              <w:t>100%</w:t>
            </w:r>
          </w:p>
          <w:p w:rsidR="00A3247A" w:rsidRPr="00A3247A" w:rsidRDefault="00A3247A" w:rsidP="00A3247A">
            <w:pPr>
              <w:spacing w:before="60" w:line="240" w:lineRule="atLeast"/>
              <w:jc w:val="center"/>
              <w:rPr>
                <w:rFonts w:eastAsia="Times New Roman" w:cs="Times New Roman"/>
                <w:sz w:val="20"/>
                <w:lang w:eastAsia="en-AU"/>
              </w:rPr>
            </w:pPr>
          </w:p>
          <w:p w:rsidR="00A3247A" w:rsidRPr="00A3247A" w:rsidRDefault="00A3247A" w:rsidP="00A3247A">
            <w:pPr>
              <w:spacing w:before="60" w:line="240" w:lineRule="atLeast"/>
              <w:jc w:val="center"/>
              <w:rPr>
                <w:rFonts w:eastAsia="Times New Roman" w:cs="Times New Roman"/>
                <w:sz w:val="20"/>
                <w:lang w:eastAsia="en-AU"/>
              </w:rPr>
            </w:pPr>
          </w:p>
          <w:p w:rsidR="00A3247A" w:rsidRPr="00A3247A" w:rsidRDefault="00A3247A" w:rsidP="00A3247A">
            <w:pPr>
              <w:spacing w:before="60" w:line="240" w:lineRule="atLeast"/>
              <w:jc w:val="center"/>
              <w:rPr>
                <w:rFonts w:eastAsia="Times New Roman" w:cs="Times New Roman"/>
                <w:sz w:val="20"/>
                <w:lang w:eastAsia="en-AU"/>
              </w:rPr>
            </w:pPr>
          </w:p>
          <w:p w:rsidR="00A3247A" w:rsidRPr="00A3247A" w:rsidRDefault="00A3247A" w:rsidP="00A3247A">
            <w:pPr>
              <w:spacing w:before="60" w:line="240" w:lineRule="atLeast"/>
              <w:jc w:val="center"/>
              <w:rPr>
                <w:rFonts w:eastAsia="Times New Roman" w:cs="Times New Roman"/>
                <w:sz w:val="20"/>
                <w:lang w:eastAsia="en-AU"/>
              </w:rPr>
            </w:pPr>
            <w:r w:rsidRPr="00A3247A">
              <w:rPr>
                <w:rFonts w:eastAsia="Times New Roman" w:cs="Times New Roman"/>
                <w:sz w:val="20"/>
                <w:lang w:eastAsia="en-AU"/>
              </w:rPr>
              <w:t>≥4</w:t>
            </w:r>
          </w:p>
          <w:p w:rsidR="00A3247A" w:rsidRPr="00A3247A" w:rsidRDefault="00A3247A" w:rsidP="00A3247A">
            <w:pPr>
              <w:spacing w:before="60" w:line="240" w:lineRule="atLeast"/>
              <w:jc w:val="center"/>
              <w:rPr>
                <w:rFonts w:eastAsia="Times New Roman" w:cs="Times New Roman"/>
                <w:sz w:val="20"/>
                <w:lang w:eastAsia="en-AU"/>
              </w:rPr>
            </w:pPr>
          </w:p>
          <w:p w:rsidR="00A3247A" w:rsidRPr="00A3247A" w:rsidRDefault="00A3247A" w:rsidP="00A3247A">
            <w:pPr>
              <w:spacing w:before="60" w:line="240" w:lineRule="atLeast"/>
              <w:jc w:val="center"/>
              <w:rPr>
                <w:rFonts w:eastAsia="Times New Roman" w:cs="Times New Roman"/>
                <w:sz w:val="20"/>
                <w:lang w:eastAsia="en-AU"/>
              </w:rPr>
            </w:pPr>
          </w:p>
          <w:p w:rsidR="00A3247A" w:rsidRPr="00A3247A" w:rsidRDefault="00A3247A" w:rsidP="00A3247A">
            <w:pPr>
              <w:spacing w:before="60" w:line="240" w:lineRule="atLeast"/>
              <w:jc w:val="center"/>
              <w:rPr>
                <w:rFonts w:eastAsia="Times New Roman" w:cs="Times New Roman"/>
                <w:sz w:val="20"/>
                <w:lang w:eastAsia="en-AU"/>
              </w:rPr>
            </w:pPr>
          </w:p>
          <w:p w:rsidR="00A3247A" w:rsidRPr="00A3247A" w:rsidRDefault="00A3247A" w:rsidP="00A3247A">
            <w:pPr>
              <w:spacing w:before="60" w:line="240" w:lineRule="atLeast"/>
              <w:jc w:val="center"/>
              <w:rPr>
                <w:rFonts w:eastAsia="Times New Roman" w:cs="Times New Roman"/>
                <w:sz w:val="20"/>
                <w:lang w:eastAsia="en-AU"/>
              </w:rPr>
            </w:pPr>
          </w:p>
          <w:p w:rsidR="0015237B" w:rsidRDefault="0015237B" w:rsidP="00A3247A">
            <w:pPr>
              <w:spacing w:before="60" w:line="240" w:lineRule="atLeast"/>
              <w:jc w:val="center"/>
              <w:rPr>
                <w:rFonts w:eastAsia="Times New Roman" w:cs="Times New Roman"/>
                <w:sz w:val="20"/>
                <w:lang w:eastAsia="en-AU"/>
              </w:rPr>
            </w:pPr>
          </w:p>
          <w:p w:rsidR="00A3247A" w:rsidRPr="00A3247A" w:rsidRDefault="00A3247A" w:rsidP="00A3247A">
            <w:pPr>
              <w:spacing w:before="60" w:line="240" w:lineRule="atLeast"/>
              <w:jc w:val="center"/>
              <w:rPr>
                <w:rFonts w:eastAsia="Times New Roman" w:cs="Times New Roman"/>
                <w:sz w:val="20"/>
                <w:lang w:eastAsia="en-AU"/>
              </w:rPr>
            </w:pPr>
            <w:r w:rsidRPr="00A3247A">
              <w:rPr>
                <w:rFonts w:eastAsia="Times New Roman" w:cs="Times New Roman"/>
                <w:sz w:val="20"/>
                <w:lang w:eastAsia="en-AU"/>
              </w:rPr>
              <w:t>100%</w:t>
            </w:r>
          </w:p>
        </w:tc>
        <w:tc>
          <w:tcPr>
            <w:tcW w:w="993" w:type="dxa"/>
            <w:gridSpan w:val="2"/>
            <w:shd w:val="clear" w:color="auto" w:fill="auto"/>
          </w:tcPr>
          <w:p w:rsidR="00A3247A" w:rsidRPr="00A3247A" w:rsidRDefault="00A3247A" w:rsidP="00A3247A">
            <w:pPr>
              <w:spacing w:before="60" w:line="240" w:lineRule="atLeast"/>
              <w:jc w:val="center"/>
              <w:rPr>
                <w:rFonts w:eastAsia="Times New Roman" w:cs="Times New Roman"/>
                <w:sz w:val="20"/>
                <w:lang w:eastAsia="en-AU"/>
              </w:rPr>
            </w:pPr>
          </w:p>
          <w:p w:rsidR="00A3247A" w:rsidRPr="00A3247A" w:rsidRDefault="00A3247A" w:rsidP="00A3247A">
            <w:pPr>
              <w:spacing w:before="60" w:line="240" w:lineRule="atLeast"/>
              <w:jc w:val="center"/>
              <w:rPr>
                <w:rFonts w:eastAsia="Times New Roman" w:cs="Times New Roman"/>
                <w:sz w:val="20"/>
                <w:lang w:eastAsia="en-AU"/>
              </w:rPr>
            </w:pPr>
            <w:r w:rsidRPr="00A3247A">
              <w:rPr>
                <w:rFonts w:eastAsia="Times New Roman" w:cs="Times New Roman"/>
                <w:sz w:val="20"/>
                <w:lang w:eastAsia="en-AU"/>
              </w:rPr>
              <w:t>100%</w:t>
            </w:r>
          </w:p>
          <w:p w:rsidR="00A3247A" w:rsidRPr="00A3247A" w:rsidRDefault="00A3247A" w:rsidP="00A3247A">
            <w:pPr>
              <w:spacing w:before="60" w:line="240" w:lineRule="atLeast"/>
              <w:jc w:val="center"/>
              <w:rPr>
                <w:rFonts w:eastAsia="Times New Roman" w:cs="Times New Roman"/>
                <w:sz w:val="20"/>
                <w:lang w:eastAsia="en-AU"/>
              </w:rPr>
            </w:pPr>
          </w:p>
          <w:p w:rsidR="00A3247A" w:rsidRPr="00A3247A" w:rsidRDefault="00A3247A" w:rsidP="00A3247A">
            <w:pPr>
              <w:spacing w:before="60" w:line="240" w:lineRule="atLeast"/>
              <w:jc w:val="center"/>
              <w:rPr>
                <w:rFonts w:eastAsia="Times New Roman" w:cs="Times New Roman"/>
                <w:sz w:val="20"/>
                <w:lang w:eastAsia="en-AU"/>
              </w:rPr>
            </w:pPr>
          </w:p>
          <w:p w:rsidR="00A3247A" w:rsidRPr="00A3247A" w:rsidRDefault="00A3247A" w:rsidP="00A3247A">
            <w:pPr>
              <w:spacing w:before="60" w:line="240" w:lineRule="atLeast"/>
              <w:jc w:val="center"/>
              <w:rPr>
                <w:rFonts w:eastAsia="Times New Roman" w:cs="Times New Roman"/>
                <w:sz w:val="20"/>
                <w:lang w:eastAsia="en-AU"/>
              </w:rPr>
            </w:pPr>
          </w:p>
          <w:p w:rsidR="00A3247A" w:rsidRPr="00A3247A" w:rsidRDefault="00A3247A" w:rsidP="00A3247A">
            <w:pPr>
              <w:spacing w:before="60" w:line="240" w:lineRule="atLeast"/>
              <w:jc w:val="center"/>
              <w:rPr>
                <w:rFonts w:eastAsia="Times New Roman" w:cs="Times New Roman"/>
                <w:sz w:val="20"/>
                <w:lang w:eastAsia="en-AU"/>
              </w:rPr>
            </w:pPr>
            <w:r w:rsidRPr="00A3247A">
              <w:rPr>
                <w:rFonts w:eastAsia="Times New Roman" w:cs="Times New Roman"/>
                <w:sz w:val="20"/>
                <w:lang w:eastAsia="en-AU"/>
              </w:rPr>
              <w:t>≥4</w:t>
            </w:r>
          </w:p>
          <w:p w:rsidR="00A3247A" w:rsidRPr="00A3247A" w:rsidRDefault="00A3247A" w:rsidP="00A3247A">
            <w:pPr>
              <w:spacing w:before="60" w:line="240" w:lineRule="atLeast"/>
              <w:jc w:val="center"/>
              <w:rPr>
                <w:rFonts w:eastAsia="Times New Roman" w:cs="Times New Roman"/>
                <w:sz w:val="20"/>
                <w:lang w:eastAsia="en-AU"/>
              </w:rPr>
            </w:pPr>
          </w:p>
          <w:p w:rsidR="00A3247A" w:rsidRPr="00A3247A" w:rsidRDefault="00A3247A" w:rsidP="00A3247A">
            <w:pPr>
              <w:spacing w:before="60" w:line="240" w:lineRule="atLeast"/>
              <w:jc w:val="center"/>
              <w:rPr>
                <w:rFonts w:eastAsia="Times New Roman" w:cs="Times New Roman"/>
                <w:sz w:val="20"/>
                <w:lang w:eastAsia="en-AU"/>
              </w:rPr>
            </w:pPr>
          </w:p>
          <w:p w:rsidR="00A3247A" w:rsidRPr="00A3247A" w:rsidRDefault="00A3247A" w:rsidP="00A3247A">
            <w:pPr>
              <w:spacing w:before="60" w:line="240" w:lineRule="atLeast"/>
              <w:jc w:val="center"/>
              <w:rPr>
                <w:rFonts w:eastAsia="Times New Roman" w:cs="Times New Roman"/>
                <w:sz w:val="20"/>
                <w:lang w:eastAsia="en-AU"/>
              </w:rPr>
            </w:pPr>
          </w:p>
          <w:p w:rsidR="00A3247A" w:rsidRPr="00A3247A" w:rsidRDefault="00A3247A" w:rsidP="00A3247A">
            <w:pPr>
              <w:spacing w:before="60" w:line="240" w:lineRule="atLeast"/>
              <w:jc w:val="center"/>
              <w:rPr>
                <w:rFonts w:eastAsia="Times New Roman" w:cs="Times New Roman"/>
                <w:sz w:val="20"/>
                <w:lang w:eastAsia="en-AU"/>
              </w:rPr>
            </w:pPr>
          </w:p>
          <w:p w:rsidR="00A3247A" w:rsidRPr="00A3247A" w:rsidRDefault="00A3247A" w:rsidP="00A3247A">
            <w:pPr>
              <w:spacing w:before="60" w:line="240" w:lineRule="atLeast"/>
              <w:jc w:val="center"/>
              <w:rPr>
                <w:rFonts w:eastAsia="Times New Roman" w:cs="Times New Roman"/>
                <w:sz w:val="20"/>
                <w:lang w:eastAsia="en-AU"/>
              </w:rPr>
            </w:pPr>
          </w:p>
          <w:p w:rsidR="00A3247A" w:rsidRPr="00A3247A" w:rsidRDefault="00A3247A" w:rsidP="00A3247A">
            <w:pPr>
              <w:spacing w:before="60" w:line="240" w:lineRule="atLeast"/>
              <w:jc w:val="center"/>
              <w:rPr>
                <w:rFonts w:eastAsia="Times New Roman" w:cs="Times New Roman"/>
                <w:sz w:val="20"/>
                <w:lang w:eastAsia="en-AU"/>
              </w:rPr>
            </w:pPr>
            <w:r w:rsidRPr="00A3247A">
              <w:rPr>
                <w:rFonts w:eastAsia="Times New Roman" w:cs="Times New Roman"/>
                <w:sz w:val="20"/>
                <w:lang w:eastAsia="en-AU"/>
              </w:rPr>
              <w:t>100%</w:t>
            </w:r>
          </w:p>
        </w:tc>
        <w:tc>
          <w:tcPr>
            <w:tcW w:w="992" w:type="dxa"/>
            <w:gridSpan w:val="2"/>
            <w:shd w:val="clear" w:color="auto" w:fill="auto"/>
          </w:tcPr>
          <w:p w:rsidR="00A3247A" w:rsidRPr="00A3247A" w:rsidRDefault="00A3247A" w:rsidP="00A3247A">
            <w:pPr>
              <w:spacing w:before="60" w:line="240" w:lineRule="atLeast"/>
              <w:jc w:val="center"/>
              <w:rPr>
                <w:rFonts w:eastAsia="Times New Roman" w:cs="Times New Roman"/>
                <w:sz w:val="20"/>
                <w:lang w:eastAsia="en-AU"/>
              </w:rPr>
            </w:pPr>
          </w:p>
          <w:p w:rsidR="00A3247A" w:rsidRPr="00A3247A" w:rsidRDefault="00A3247A" w:rsidP="00A3247A">
            <w:pPr>
              <w:spacing w:before="60" w:line="240" w:lineRule="atLeast"/>
              <w:jc w:val="center"/>
              <w:rPr>
                <w:rFonts w:eastAsia="Times New Roman" w:cs="Times New Roman"/>
                <w:sz w:val="20"/>
                <w:lang w:eastAsia="en-AU"/>
              </w:rPr>
            </w:pPr>
            <w:r w:rsidRPr="00A3247A">
              <w:rPr>
                <w:rFonts w:eastAsia="Times New Roman" w:cs="Times New Roman"/>
                <w:sz w:val="20"/>
                <w:lang w:eastAsia="en-AU"/>
              </w:rPr>
              <w:t>100%</w:t>
            </w:r>
          </w:p>
          <w:p w:rsidR="00A3247A" w:rsidRPr="00A3247A" w:rsidRDefault="00A3247A" w:rsidP="00A3247A">
            <w:pPr>
              <w:spacing w:before="60" w:line="240" w:lineRule="atLeast"/>
              <w:jc w:val="center"/>
              <w:rPr>
                <w:rFonts w:eastAsia="Times New Roman" w:cs="Times New Roman"/>
                <w:sz w:val="20"/>
                <w:lang w:eastAsia="en-AU"/>
              </w:rPr>
            </w:pPr>
          </w:p>
          <w:p w:rsidR="00A3247A" w:rsidRPr="00A3247A" w:rsidRDefault="00A3247A" w:rsidP="00A3247A">
            <w:pPr>
              <w:spacing w:before="60" w:line="240" w:lineRule="atLeast"/>
              <w:jc w:val="center"/>
              <w:rPr>
                <w:rFonts w:eastAsia="Times New Roman" w:cs="Times New Roman"/>
                <w:sz w:val="20"/>
                <w:lang w:eastAsia="en-AU"/>
              </w:rPr>
            </w:pPr>
          </w:p>
          <w:p w:rsidR="00A3247A" w:rsidRPr="00A3247A" w:rsidRDefault="00A3247A" w:rsidP="00A3247A">
            <w:pPr>
              <w:spacing w:before="60" w:line="240" w:lineRule="atLeast"/>
              <w:jc w:val="center"/>
              <w:rPr>
                <w:rFonts w:eastAsia="Times New Roman" w:cs="Times New Roman"/>
                <w:sz w:val="20"/>
                <w:lang w:eastAsia="en-AU"/>
              </w:rPr>
            </w:pPr>
          </w:p>
          <w:p w:rsidR="00A3247A" w:rsidRPr="00A3247A" w:rsidRDefault="00A3247A" w:rsidP="00A3247A">
            <w:pPr>
              <w:spacing w:before="60" w:line="240" w:lineRule="atLeast"/>
              <w:jc w:val="center"/>
              <w:rPr>
                <w:rFonts w:eastAsia="Times New Roman" w:cs="Times New Roman"/>
                <w:sz w:val="20"/>
                <w:lang w:eastAsia="en-AU"/>
              </w:rPr>
            </w:pPr>
            <w:r w:rsidRPr="00A3247A">
              <w:rPr>
                <w:rFonts w:eastAsia="Times New Roman" w:cs="Times New Roman"/>
                <w:sz w:val="20"/>
                <w:lang w:eastAsia="en-AU"/>
              </w:rPr>
              <w:t>≥4</w:t>
            </w:r>
          </w:p>
          <w:p w:rsidR="00A3247A" w:rsidRPr="00A3247A" w:rsidRDefault="00A3247A" w:rsidP="00A3247A">
            <w:pPr>
              <w:spacing w:before="60" w:line="240" w:lineRule="atLeast"/>
              <w:jc w:val="center"/>
              <w:rPr>
                <w:rFonts w:eastAsia="Times New Roman" w:cs="Times New Roman"/>
                <w:sz w:val="20"/>
                <w:lang w:eastAsia="en-AU"/>
              </w:rPr>
            </w:pPr>
          </w:p>
          <w:p w:rsidR="00A3247A" w:rsidRPr="00A3247A" w:rsidRDefault="00A3247A" w:rsidP="00A3247A">
            <w:pPr>
              <w:spacing w:before="60" w:line="240" w:lineRule="atLeast"/>
              <w:jc w:val="center"/>
              <w:rPr>
                <w:rFonts w:eastAsia="Times New Roman" w:cs="Times New Roman"/>
                <w:sz w:val="20"/>
                <w:lang w:eastAsia="en-AU"/>
              </w:rPr>
            </w:pPr>
          </w:p>
          <w:p w:rsidR="00A3247A" w:rsidRPr="00A3247A" w:rsidRDefault="00A3247A" w:rsidP="00A3247A">
            <w:pPr>
              <w:spacing w:before="60" w:line="240" w:lineRule="atLeast"/>
              <w:jc w:val="center"/>
              <w:rPr>
                <w:rFonts w:eastAsia="Times New Roman" w:cs="Times New Roman"/>
                <w:sz w:val="20"/>
                <w:lang w:eastAsia="en-AU"/>
              </w:rPr>
            </w:pPr>
          </w:p>
          <w:p w:rsidR="00A3247A" w:rsidRPr="00A3247A" w:rsidRDefault="00A3247A" w:rsidP="00A3247A">
            <w:pPr>
              <w:spacing w:before="60" w:line="240" w:lineRule="atLeast"/>
              <w:jc w:val="center"/>
              <w:rPr>
                <w:rFonts w:eastAsia="Times New Roman" w:cs="Times New Roman"/>
                <w:sz w:val="20"/>
                <w:lang w:eastAsia="en-AU"/>
              </w:rPr>
            </w:pPr>
          </w:p>
          <w:p w:rsidR="00A3247A" w:rsidRPr="00A3247A" w:rsidRDefault="00A3247A" w:rsidP="00A3247A">
            <w:pPr>
              <w:spacing w:before="60" w:line="240" w:lineRule="atLeast"/>
              <w:jc w:val="center"/>
              <w:rPr>
                <w:rFonts w:eastAsia="Times New Roman" w:cs="Times New Roman"/>
                <w:sz w:val="20"/>
                <w:lang w:eastAsia="en-AU"/>
              </w:rPr>
            </w:pPr>
          </w:p>
          <w:p w:rsidR="00A3247A" w:rsidRPr="00A3247A" w:rsidRDefault="00A3247A" w:rsidP="00A3247A">
            <w:pPr>
              <w:spacing w:before="60" w:line="240" w:lineRule="atLeast"/>
              <w:jc w:val="center"/>
              <w:rPr>
                <w:rFonts w:eastAsia="Times New Roman" w:cs="Times New Roman"/>
                <w:sz w:val="20"/>
                <w:lang w:eastAsia="en-AU"/>
              </w:rPr>
            </w:pPr>
            <w:r w:rsidRPr="00A3247A">
              <w:rPr>
                <w:rFonts w:eastAsia="Times New Roman" w:cs="Times New Roman"/>
                <w:sz w:val="20"/>
                <w:lang w:eastAsia="en-AU"/>
              </w:rPr>
              <w:t>100%</w:t>
            </w:r>
          </w:p>
        </w:tc>
        <w:tc>
          <w:tcPr>
            <w:tcW w:w="807" w:type="dxa"/>
            <w:shd w:val="clear" w:color="auto" w:fill="auto"/>
          </w:tcPr>
          <w:p w:rsidR="00A3247A" w:rsidRPr="00A3247A" w:rsidRDefault="00A3247A" w:rsidP="00A3247A">
            <w:pPr>
              <w:spacing w:before="60" w:line="240" w:lineRule="atLeast"/>
              <w:jc w:val="center"/>
              <w:rPr>
                <w:rFonts w:eastAsia="Times New Roman" w:cs="Times New Roman"/>
                <w:sz w:val="20"/>
                <w:lang w:eastAsia="en-AU"/>
              </w:rPr>
            </w:pPr>
          </w:p>
          <w:p w:rsidR="00A3247A" w:rsidRPr="00A3247A" w:rsidRDefault="00A3247A" w:rsidP="00A3247A">
            <w:pPr>
              <w:spacing w:before="60" w:line="240" w:lineRule="atLeast"/>
              <w:jc w:val="center"/>
              <w:rPr>
                <w:rFonts w:eastAsia="Times New Roman" w:cs="Times New Roman"/>
                <w:sz w:val="20"/>
                <w:lang w:eastAsia="en-AU"/>
              </w:rPr>
            </w:pPr>
            <w:r w:rsidRPr="00A3247A">
              <w:rPr>
                <w:rFonts w:eastAsia="Times New Roman" w:cs="Times New Roman"/>
                <w:sz w:val="20"/>
                <w:lang w:eastAsia="en-AU"/>
              </w:rPr>
              <w:t>100%</w:t>
            </w:r>
          </w:p>
          <w:p w:rsidR="00A3247A" w:rsidRPr="00A3247A" w:rsidRDefault="00A3247A" w:rsidP="00A3247A">
            <w:pPr>
              <w:spacing w:before="60" w:line="240" w:lineRule="atLeast"/>
              <w:jc w:val="center"/>
              <w:rPr>
                <w:rFonts w:eastAsia="Times New Roman" w:cs="Times New Roman"/>
                <w:sz w:val="20"/>
                <w:lang w:eastAsia="en-AU"/>
              </w:rPr>
            </w:pPr>
          </w:p>
          <w:p w:rsidR="00A3247A" w:rsidRPr="00A3247A" w:rsidRDefault="00A3247A" w:rsidP="00A3247A">
            <w:pPr>
              <w:spacing w:before="60" w:line="240" w:lineRule="atLeast"/>
              <w:jc w:val="center"/>
              <w:rPr>
                <w:rFonts w:eastAsia="Times New Roman" w:cs="Times New Roman"/>
                <w:sz w:val="20"/>
                <w:lang w:eastAsia="en-AU"/>
              </w:rPr>
            </w:pPr>
          </w:p>
          <w:p w:rsidR="00A3247A" w:rsidRPr="00A3247A" w:rsidRDefault="00A3247A" w:rsidP="00A3247A">
            <w:pPr>
              <w:spacing w:before="60" w:line="240" w:lineRule="atLeast"/>
              <w:jc w:val="center"/>
              <w:rPr>
                <w:rFonts w:eastAsia="Times New Roman" w:cs="Times New Roman"/>
                <w:sz w:val="20"/>
                <w:lang w:eastAsia="en-AU"/>
              </w:rPr>
            </w:pPr>
          </w:p>
          <w:p w:rsidR="00A3247A" w:rsidRPr="00A3247A" w:rsidRDefault="00A3247A" w:rsidP="00A3247A">
            <w:pPr>
              <w:spacing w:before="60" w:line="240" w:lineRule="atLeast"/>
              <w:jc w:val="center"/>
              <w:rPr>
                <w:rFonts w:eastAsia="Times New Roman" w:cs="Times New Roman"/>
                <w:sz w:val="20"/>
                <w:lang w:eastAsia="en-AU"/>
              </w:rPr>
            </w:pPr>
            <w:r w:rsidRPr="00A3247A">
              <w:rPr>
                <w:rFonts w:eastAsia="Times New Roman" w:cs="Times New Roman"/>
                <w:sz w:val="20"/>
                <w:lang w:eastAsia="en-AU"/>
              </w:rPr>
              <w:t>≥4</w:t>
            </w:r>
          </w:p>
          <w:p w:rsidR="00A3247A" w:rsidRPr="00A3247A" w:rsidRDefault="00A3247A" w:rsidP="00A3247A">
            <w:pPr>
              <w:spacing w:before="60" w:line="240" w:lineRule="atLeast"/>
              <w:jc w:val="center"/>
              <w:rPr>
                <w:rFonts w:eastAsia="Times New Roman" w:cs="Times New Roman"/>
                <w:sz w:val="20"/>
                <w:lang w:eastAsia="en-AU"/>
              </w:rPr>
            </w:pPr>
          </w:p>
          <w:p w:rsidR="00A3247A" w:rsidRPr="00A3247A" w:rsidRDefault="00A3247A" w:rsidP="00A3247A">
            <w:pPr>
              <w:spacing w:before="60" w:line="240" w:lineRule="atLeast"/>
              <w:jc w:val="center"/>
              <w:rPr>
                <w:rFonts w:eastAsia="Times New Roman" w:cs="Times New Roman"/>
                <w:sz w:val="20"/>
                <w:lang w:eastAsia="en-AU"/>
              </w:rPr>
            </w:pPr>
          </w:p>
          <w:p w:rsidR="00A3247A" w:rsidRPr="00A3247A" w:rsidRDefault="00A3247A" w:rsidP="00A3247A">
            <w:pPr>
              <w:spacing w:before="60" w:line="240" w:lineRule="atLeast"/>
              <w:jc w:val="center"/>
              <w:rPr>
                <w:rFonts w:eastAsia="Times New Roman" w:cs="Times New Roman"/>
                <w:sz w:val="20"/>
                <w:lang w:eastAsia="en-AU"/>
              </w:rPr>
            </w:pPr>
          </w:p>
          <w:p w:rsidR="00A3247A" w:rsidRPr="00A3247A" w:rsidRDefault="00A3247A" w:rsidP="00A3247A">
            <w:pPr>
              <w:spacing w:before="60" w:line="240" w:lineRule="atLeast"/>
              <w:jc w:val="center"/>
              <w:rPr>
                <w:rFonts w:eastAsia="Times New Roman" w:cs="Times New Roman"/>
                <w:sz w:val="20"/>
                <w:lang w:eastAsia="en-AU"/>
              </w:rPr>
            </w:pPr>
          </w:p>
          <w:p w:rsidR="00A3247A" w:rsidRPr="00A3247A" w:rsidRDefault="00A3247A" w:rsidP="00A3247A">
            <w:pPr>
              <w:spacing w:before="60" w:line="240" w:lineRule="atLeast"/>
              <w:jc w:val="center"/>
              <w:rPr>
                <w:rFonts w:eastAsia="Times New Roman" w:cs="Times New Roman"/>
                <w:sz w:val="20"/>
                <w:lang w:eastAsia="en-AU"/>
              </w:rPr>
            </w:pPr>
          </w:p>
          <w:p w:rsidR="00A3247A" w:rsidRPr="00A3247A" w:rsidRDefault="00A3247A" w:rsidP="00A3247A">
            <w:pPr>
              <w:spacing w:before="60" w:line="240" w:lineRule="atLeast"/>
              <w:jc w:val="center"/>
              <w:rPr>
                <w:rFonts w:eastAsia="Times New Roman" w:cs="Times New Roman"/>
                <w:sz w:val="20"/>
                <w:lang w:eastAsia="en-AU"/>
              </w:rPr>
            </w:pPr>
            <w:r w:rsidRPr="00A3247A">
              <w:rPr>
                <w:rFonts w:eastAsia="Times New Roman" w:cs="Times New Roman"/>
                <w:sz w:val="20"/>
                <w:lang w:eastAsia="en-AU"/>
              </w:rPr>
              <w:t>100%</w:t>
            </w:r>
          </w:p>
        </w:tc>
      </w:tr>
      <w:tr w:rsidR="00A3247A" w:rsidRPr="00A3247A" w:rsidTr="004C7324">
        <w:tc>
          <w:tcPr>
            <w:tcW w:w="2547" w:type="dxa"/>
            <w:tcBorders>
              <w:bottom w:val="single" w:sz="12" w:space="0" w:color="auto"/>
            </w:tcBorders>
            <w:shd w:val="clear" w:color="auto" w:fill="auto"/>
          </w:tcPr>
          <w:p w:rsidR="00A3247A" w:rsidRPr="00A3247A" w:rsidRDefault="00A3247A" w:rsidP="00A3247A">
            <w:pPr>
              <w:spacing w:before="60" w:line="240" w:lineRule="atLeast"/>
              <w:rPr>
                <w:rFonts w:eastAsia="Times New Roman" w:cs="Times New Roman"/>
                <w:b/>
                <w:sz w:val="20"/>
                <w:lang w:eastAsia="en-AU"/>
              </w:rPr>
            </w:pPr>
            <w:r w:rsidRPr="00A3247A">
              <w:rPr>
                <w:rFonts w:eastAsia="Times New Roman" w:cs="Times New Roman"/>
                <w:b/>
                <w:sz w:val="20"/>
                <w:lang w:eastAsia="en-AU"/>
              </w:rPr>
              <w:t>Publication</w:t>
            </w:r>
          </w:p>
          <w:p w:rsidR="00A3247A" w:rsidRPr="00A3247A" w:rsidRDefault="00A3247A" w:rsidP="00A3247A">
            <w:pPr>
              <w:spacing w:before="60" w:line="240" w:lineRule="atLeast"/>
              <w:rPr>
                <w:rFonts w:eastAsia="Times New Roman" w:cs="Times New Roman"/>
                <w:sz w:val="20"/>
                <w:lang w:eastAsia="en-AU"/>
              </w:rPr>
            </w:pPr>
            <w:r w:rsidRPr="00A3247A">
              <w:rPr>
                <w:rFonts w:eastAsia="Times New Roman" w:cs="Times New Roman"/>
                <w:sz w:val="20"/>
                <w:lang w:eastAsia="en-AU"/>
              </w:rPr>
              <w:t xml:space="preserve">New legislative instruments and gazette notices lodged for registration are registered promptly on the </w:t>
            </w:r>
            <w:r w:rsidR="007736E7">
              <w:rPr>
                <w:rFonts w:eastAsia="Times New Roman" w:cs="Times New Roman"/>
                <w:sz w:val="20"/>
                <w:lang w:eastAsia="en-AU"/>
              </w:rPr>
              <w:t>Legislation Register</w:t>
            </w:r>
          </w:p>
          <w:p w:rsidR="00A3247A" w:rsidRPr="00A3247A" w:rsidRDefault="00A3247A" w:rsidP="00A3247A">
            <w:pPr>
              <w:spacing w:before="60" w:line="240" w:lineRule="atLeast"/>
              <w:rPr>
                <w:rFonts w:eastAsia="Times New Roman" w:cs="Times New Roman"/>
                <w:sz w:val="20"/>
                <w:lang w:eastAsia="en-AU"/>
              </w:rPr>
            </w:pPr>
          </w:p>
          <w:p w:rsidR="00A3247A" w:rsidRPr="00A3247A" w:rsidRDefault="00A3247A" w:rsidP="00A3247A">
            <w:pPr>
              <w:spacing w:before="60" w:line="240" w:lineRule="atLeast"/>
              <w:rPr>
                <w:rFonts w:eastAsia="Times New Roman" w:cs="Times New Roman"/>
                <w:sz w:val="20"/>
                <w:lang w:eastAsia="en-AU"/>
              </w:rPr>
            </w:pPr>
          </w:p>
          <w:p w:rsidR="00A3247A" w:rsidRPr="00A3247A" w:rsidRDefault="00A3247A" w:rsidP="00A3247A">
            <w:pPr>
              <w:spacing w:before="60" w:line="240" w:lineRule="atLeast"/>
              <w:rPr>
                <w:rFonts w:eastAsia="Times New Roman" w:cs="Times New Roman"/>
                <w:sz w:val="20"/>
                <w:lang w:eastAsia="en-AU"/>
              </w:rPr>
            </w:pPr>
          </w:p>
          <w:p w:rsidR="00A3247A" w:rsidRPr="00A3247A" w:rsidRDefault="00A3247A" w:rsidP="00A3247A">
            <w:pPr>
              <w:spacing w:before="60" w:line="240" w:lineRule="atLeast"/>
              <w:rPr>
                <w:rFonts w:eastAsia="Times New Roman" w:cs="Times New Roman"/>
                <w:sz w:val="20"/>
                <w:lang w:eastAsia="en-AU"/>
              </w:rPr>
            </w:pPr>
          </w:p>
          <w:p w:rsidR="007736E7" w:rsidRDefault="007736E7" w:rsidP="00A3247A">
            <w:pPr>
              <w:spacing w:before="60" w:line="240" w:lineRule="atLeast"/>
              <w:rPr>
                <w:rFonts w:eastAsia="Times New Roman" w:cs="Times New Roman"/>
                <w:sz w:val="20"/>
                <w:lang w:eastAsia="en-AU"/>
              </w:rPr>
            </w:pPr>
          </w:p>
          <w:p w:rsidR="00A3247A" w:rsidRPr="00A3247A" w:rsidRDefault="00A3247A" w:rsidP="00A3247A">
            <w:pPr>
              <w:spacing w:before="60" w:line="240" w:lineRule="atLeast"/>
              <w:rPr>
                <w:rFonts w:eastAsia="Times New Roman" w:cs="Times New Roman"/>
                <w:sz w:val="20"/>
                <w:lang w:eastAsia="en-AU"/>
              </w:rPr>
            </w:pPr>
            <w:r w:rsidRPr="00A3247A">
              <w:rPr>
                <w:rFonts w:eastAsia="Times New Roman" w:cs="Times New Roman"/>
                <w:sz w:val="20"/>
                <w:lang w:eastAsia="en-AU"/>
              </w:rPr>
              <w:t xml:space="preserve">New Acts are registered promptly on </w:t>
            </w:r>
            <w:r w:rsidR="007736E7">
              <w:rPr>
                <w:rFonts w:eastAsia="Times New Roman" w:cs="Times New Roman"/>
                <w:sz w:val="20"/>
                <w:lang w:eastAsia="en-AU"/>
              </w:rPr>
              <w:t>the Legislation Register</w:t>
            </w:r>
          </w:p>
          <w:p w:rsidR="00A3247A" w:rsidRPr="00A3247A" w:rsidRDefault="00A3247A" w:rsidP="00A3247A">
            <w:pPr>
              <w:spacing w:before="60" w:line="240" w:lineRule="atLeast"/>
              <w:rPr>
                <w:rFonts w:eastAsia="Times New Roman" w:cs="Times New Roman"/>
                <w:sz w:val="20"/>
                <w:lang w:eastAsia="en-AU"/>
              </w:rPr>
            </w:pPr>
          </w:p>
          <w:p w:rsidR="00A3247A" w:rsidRPr="00A3247A" w:rsidRDefault="00A3247A" w:rsidP="00A3247A">
            <w:pPr>
              <w:spacing w:before="60" w:line="240" w:lineRule="atLeast"/>
              <w:rPr>
                <w:rFonts w:eastAsia="Times New Roman" w:cs="Times New Roman"/>
                <w:sz w:val="20"/>
                <w:lang w:eastAsia="en-AU"/>
              </w:rPr>
            </w:pPr>
          </w:p>
          <w:p w:rsidR="00A3247A" w:rsidRPr="00A3247A" w:rsidRDefault="00A3247A" w:rsidP="007736E7">
            <w:pPr>
              <w:spacing w:before="60" w:line="240" w:lineRule="atLeast"/>
              <w:rPr>
                <w:rFonts w:eastAsia="Times New Roman" w:cs="Times New Roman"/>
                <w:sz w:val="20"/>
                <w:lang w:eastAsia="en-AU"/>
              </w:rPr>
            </w:pPr>
            <w:r w:rsidRPr="00A3247A">
              <w:rPr>
                <w:rFonts w:eastAsia="Times New Roman" w:cs="Times New Roman"/>
                <w:sz w:val="20"/>
                <w:lang w:eastAsia="en-AU"/>
              </w:rPr>
              <w:t xml:space="preserve">Act and legislative instrument compilations are registered promptly on </w:t>
            </w:r>
            <w:r w:rsidR="007736E7">
              <w:rPr>
                <w:rFonts w:eastAsia="Times New Roman" w:cs="Times New Roman"/>
                <w:sz w:val="20"/>
                <w:lang w:eastAsia="en-AU"/>
              </w:rPr>
              <w:t>the Legislation Register</w:t>
            </w:r>
          </w:p>
        </w:tc>
        <w:tc>
          <w:tcPr>
            <w:tcW w:w="2551" w:type="dxa"/>
            <w:tcBorders>
              <w:bottom w:val="single" w:sz="12" w:space="0" w:color="auto"/>
            </w:tcBorders>
            <w:shd w:val="clear" w:color="auto" w:fill="auto"/>
          </w:tcPr>
          <w:p w:rsidR="00A3247A" w:rsidRPr="00A3247A" w:rsidRDefault="00A3247A" w:rsidP="00A3247A">
            <w:pPr>
              <w:spacing w:before="60" w:line="240" w:lineRule="atLeast"/>
              <w:rPr>
                <w:rFonts w:eastAsia="Times New Roman" w:cs="Times New Roman"/>
                <w:sz w:val="20"/>
                <w:lang w:eastAsia="en-AU"/>
              </w:rPr>
            </w:pPr>
          </w:p>
          <w:p w:rsidR="00A3247A" w:rsidRPr="00A3247A" w:rsidRDefault="00A3247A" w:rsidP="00A3247A">
            <w:pPr>
              <w:spacing w:before="60" w:line="240" w:lineRule="atLeast"/>
              <w:rPr>
                <w:rFonts w:eastAsia="Times New Roman" w:cs="Times New Roman"/>
                <w:sz w:val="20"/>
                <w:lang w:eastAsia="en-AU"/>
              </w:rPr>
            </w:pPr>
            <w:r w:rsidRPr="00A3247A">
              <w:rPr>
                <w:rFonts w:eastAsia="Times New Roman" w:cs="Times New Roman"/>
                <w:sz w:val="20"/>
                <w:lang w:eastAsia="en-AU"/>
              </w:rPr>
              <w:t>Proportion of legislative instruments and gazette notices that are registered on a specific date as required by lodging entities</w:t>
            </w:r>
          </w:p>
          <w:p w:rsidR="00A3247A" w:rsidRPr="00A3247A" w:rsidRDefault="00A3247A" w:rsidP="00A3247A">
            <w:pPr>
              <w:spacing w:before="60" w:line="240" w:lineRule="atLeast"/>
              <w:rPr>
                <w:rFonts w:eastAsia="Times New Roman" w:cs="Times New Roman"/>
                <w:sz w:val="20"/>
                <w:lang w:eastAsia="en-AU"/>
              </w:rPr>
            </w:pPr>
            <w:r w:rsidRPr="00A3247A">
              <w:rPr>
                <w:rFonts w:eastAsia="Times New Roman" w:cs="Times New Roman"/>
                <w:sz w:val="20"/>
                <w:lang w:eastAsia="en-AU"/>
              </w:rPr>
              <w:t>Proportion of other legislative instruments and gazette notices that are registered no later than two business days after lodgement</w:t>
            </w:r>
          </w:p>
          <w:p w:rsidR="00A3247A" w:rsidRPr="00A3247A" w:rsidRDefault="00A3247A" w:rsidP="00A3247A">
            <w:pPr>
              <w:spacing w:before="60" w:line="240" w:lineRule="atLeast"/>
              <w:rPr>
                <w:rFonts w:eastAsia="Times New Roman" w:cs="Times New Roman"/>
                <w:sz w:val="20"/>
                <w:lang w:eastAsia="en-AU"/>
              </w:rPr>
            </w:pPr>
            <w:r w:rsidRPr="00A3247A">
              <w:rPr>
                <w:rFonts w:eastAsia="Times New Roman" w:cs="Times New Roman"/>
                <w:sz w:val="20"/>
                <w:lang w:eastAsia="en-AU"/>
              </w:rPr>
              <w:t xml:space="preserve">Proportion of Acts that are registered on </w:t>
            </w:r>
            <w:r w:rsidR="007736E7">
              <w:rPr>
                <w:rFonts w:eastAsia="Times New Roman" w:cs="Times New Roman"/>
                <w:sz w:val="20"/>
                <w:lang w:eastAsia="en-AU"/>
              </w:rPr>
              <w:t>the Legislation Register</w:t>
            </w:r>
            <w:r w:rsidRPr="00A3247A">
              <w:rPr>
                <w:rFonts w:eastAsia="Times New Roman" w:cs="Times New Roman"/>
                <w:sz w:val="20"/>
                <w:lang w:eastAsia="en-AU"/>
              </w:rPr>
              <w:t xml:space="preserve"> no later than two working days after receipt of notification of Royal Assent</w:t>
            </w:r>
          </w:p>
          <w:p w:rsidR="00A3247A" w:rsidRPr="00A3247A" w:rsidRDefault="00A3247A" w:rsidP="007736E7">
            <w:pPr>
              <w:spacing w:before="60" w:line="240" w:lineRule="atLeast"/>
              <w:rPr>
                <w:rFonts w:eastAsia="Times New Roman" w:cs="Times New Roman"/>
                <w:sz w:val="20"/>
                <w:lang w:eastAsia="en-AU"/>
              </w:rPr>
            </w:pPr>
            <w:r w:rsidRPr="00A3247A">
              <w:rPr>
                <w:rFonts w:eastAsia="Times New Roman" w:cs="Times New Roman"/>
                <w:sz w:val="20"/>
                <w:lang w:eastAsia="en-AU"/>
              </w:rPr>
              <w:t xml:space="preserve">Proportion of Act and legislative instrument compilations required to be prepared by OPC that are registered on </w:t>
            </w:r>
            <w:r w:rsidR="007736E7">
              <w:rPr>
                <w:rFonts w:eastAsia="Times New Roman" w:cs="Times New Roman"/>
                <w:sz w:val="20"/>
                <w:lang w:eastAsia="en-AU"/>
              </w:rPr>
              <w:t>the Legislation Register</w:t>
            </w:r>
            <w:r w:rsidRPr="00A3247A">
              <w:rPr>
                <w:rFonts w:eastAsia="Times New Roman" w:cs="Times New Roman"/>
                <w:sz w:val="20"/>
                <w:lang w:eastAsia="en-AU"/>
              </w:rPr>
              <w:t xml:space="preserve"> by the later of 90 days after Royal Assent or making date, or 28 days after commencement of the prospective amendments</w:t>
            </w:r>
          </w:p>
        </w:tc>
        <w:tc>
          <w:tcPr>
            <w:tcW w:w="1134" w:type="dxa"/>
            <w:gridSpan w:val="2"/>
            <w:tcBorders>
              <w:bottom w:val="single" w:sz="12" w:space="0" w:color="auto"/>
            </w:tcBorders>
            <w:shd w:val="clear" w:color="auto" w:fill="auto"/>
          </w:tcPr>
          <w:p w:rsidR="00A3247A" w:rsidRPr="00A3247A" w:rsidRDefault="00A3247A" w:rsidP="00A3247A">
            <w:pPr>
              <w:spacing w:before="60" w:line="240" w:lineRule="atLeast"/>
              <w:jc w:val="center"/>
              <w:rPr>
                <w:rFonts w:eastAsia="Times New Roman" w:cs="Times New Roman"/>
                <w:sz w:val="20"/>
                <w:lang w:eastAsia="en-AU"/>
              </w:rPr>
            </w:pPr>
          </w:p>
          <w:p w:rsidR="00A3247A" w:rsidRPr="00A3247A" w:rsidRDefault="00A3247A" w:rsidP="00A3247A">
            <w:pPr>
              <w:spacing w:before="60" w:line="240" w:lineRule="atLeast"/>
              <w:jc w:val="center"/>
              <w:rPr>
                <w:rFonts w:eastAsia="Times New Roman" w:cs="Times New Roman"/>
                <w:sz w:val="20"/>
                <w:lang w:eastAsia="en-AU"/>
              </w:rPr>
            </w:pPr>
            <w:r w:rsidRPr="00A3247A">
              <w:rPr>
                <w:rFonts w:eastAsia="Times New Roman" w:cs="Times New Roman"/>
                <w:sz w:val="20"/>
                <w:lang w:eastAsia="en-AU"/>
              </w:rPr>
              <w:t>100%</w:t>
            </w:r>
          </w:p>
          <w:p w:rsidR="00A3247A" w:rsidRPr="00A3247A" w:rsidRDefault="00A3247A" w:rsidP="00A3247A">
            <w:pPr>
              <w:spacing w:before="60" w:line="240" w:lineRule="atLeast"/>
              <w:jc w:val="center"/>
              <w:rPr>
                <w:rFonts w:eastAsia="Times New Roman" w:cs="Times New Roman"/>
                <w:sz w:val="20"/>
                <w:lang w:eastAsia="en-AU"/>
              </w:rPr>
            </w:pPr>
          </w:p>
          <w:p w:rsidR="00A3247A" w:rsidRPr="00A3247A" w:rsidRDefault="00A3247A" w:rsidP="00A3247A">
            <w:pPr>
              <w:spacing w:before="60" w:line="240" w:lineRule="atLeast"/>
              <w:jc w:val="center"/>
              <w:rPr>
                <w:rFonts w:eastAsia="Times New Roman" w:cs="Times New Roman"/>
                <w:sz w:val="20"/>
                <w:lang w:eastAsia="en-AU"/>
              </w:rPr>
            </w:pPr>
          </w:p>
          <w:p w:rsidR="00A3247A" w:rsidRPr="00A3247A" w:rsidRDefault="00A3247A" w:rsidP="00A3247A">
            <w:pPr>
              <w:spacing w:before="60" w:line="240" w:lineRule="atLeast"/>
              <w:jc w:val="center"/>
              <w:rPr>
                <w:rFonts w:eastAsia="Times New Roman" w:cs="Times New Roman"/>
                <w:sz w:val="20"/>
                <w:lang w:eastAsia="en-AU"/>
              </w:rPr>
            </w:pPr>
          </w:p>
          <w:p w:rsidR="00A3247A" w:rsidRPr="00A3247A" w:rsidRDefault="00A3247A" w:rsidP="00A3247A">
            <w:pPr>
              <w:spacing w:before="60" w:line="240" w:lineRule="atLeast"/>
              <w:jc w:val="center"/>
              <w:rPr>
                <w:rFonts w:eastAsia="Times New Roman" w:cs="Times New Roman"/>
                <w:sz w:val="20"/>
                <w:lang w:eastAsia="en-AU"/>
              </w:rPr>
            </w:pPr>
            <w:r w:rsidRPr="00A3247A">
              <w:rPr>
                <w:rFonts w:eastAsia="Times New Roman" w:cs="Times New Roman"/>
                <w:sz w:val="20"/>
                <w:lang w:eastAsia="en-AU"/>
              </w:rPr>
              <w:t>98%</w:t>
            </w:r>
          </w:p>
          <w:p w:rsidR="00A3247A" w:rsidRPr="00A3247A" w:rsidRDefault="00A3247A" w:rsidP="00A3247A">
            <w:pPr>
              <w:spacing w:before="60" w:line="240" w:lineRule="atLeast"/>
              <w:jc w:val="center"/>
              <w:rPr>
                <w:rFonts w:eastAsia="Times New Roman" w:cs="Times New Roman"/>
                <w:sz w:val="20"/>
                <w:lang w:eastAsia="en-AU"/>
              </w:rPr>
            </w:pPr>
          </w:p>
          <w:p w:rsidR="00A3247A" w:rsidRPr="00A3247A" w:rsidRDefault="00A3247A" w:rsidP="00A3247A">
            <w:pPr>
              <w:spacing w:before="60" w:line="240" w:lineRule="atLeast"/>
              <w:jc w:val="center"/>
              <w:rPr>
                <w:rFonts w:eastAsia="Times New Roman" w:cs="Times New Roman"/>
                <w:sz w:val="20"/>
                <w:lang w:eastAsia="en-AU"/>
              </w:rPr>
            </w:pPr>
          </w:p>
          <w:p w:rsidR="00A3247A" w:rsidRPr="00A3247A" w:rsidRDefault="00A3247A" w:rsidP="00A3247A">
            <w:pPr>
              <w:spacing w:before="60" w:line="240" w:lineRule="atLeast"/>
              <w:jc w:val="center"/>
              <w:rPr>
                <w:rFonts w:eastAsia="Times New Roman" w:cs="Times New Roman"/>
                <w:sz w:val="20"/>
                <w:lang w:eastAsia="en-AU"/>
              </w:rPr>
            </w:pPr>
          </w:p>
          <w:p w:rsidR="00A3247A" w:rsidRPr="00A3247A" w:rsidRDefault="00A3247A" w:rsidP="00A3247A">
            <w:pPr>
              <w:spacing w:before="60" w:line="240" w:lineRule="atLeast"/>
              <w:jc w:val="center"/>
              <w:rPr>
                <w:rFonts w:eastAsia="Times New Roman" w:cs="Times New Roman"/>
                <w:sz w:val="20"/>
                <w:lang w:eastAsia="en-AU"/>
              </w:rPr>
            </w:pPr>
          </w:p>
          <w:p w:rsidR="0015237B" w:rsidRDefault="0015237B" w:rsidP="00A3247A">
            <w:pPr>
              <w:spacing w:before="60" w:line="240" w:lineRule="atLeast"/>
              <w:jc w:val="center"/>
              <w:rPr>
                <w:rFonts w:eastAsia="Times New Roman" w:cs="Times New Roman"/>
                <w:sz w:val="20"/>
                <w:lang w:eastAsia="en-AU"/>
              </w:rPr>
            </w:pPr>
          </w:p>
          <w:p w:rsidR="00A3247A" w:rsidRPr="00A3247A" w:rsidRDefault="00A3247A" w:rsidP="00A3247A">
            <w:pPr>
              <w:spacing w:before="60" w:line="240" w:lineRule="atLeast"/>
              <w:jc w:val="center"/>
              <w:rPr>
                <w:rFonts w:eastAsia="Times New Roman" w:cs="Times New Roman"/>
                <w:sz w:val="20"/>
                <w:lang w:eastAsia="en-AU"/>
              </w:rPr>
            </w:pPr>
            <w:r w:rsidRPr="00A3247A">
              <w:rPr>
                <w:rFonts w:eastAsia="Times New Roman" w:cs="Times New Roman"/>
                <w:sz w:val="20"/>
                <w:lang w:eastAsia="en-AU"/>
              </w:rPr>
              <w:t>98%</w:t>
            </w:r>
          </w:p>
          <w:p w:rsidR="00A3247A" w:rsidRPr="00A3247A" w:rsidRDefault="00A3247A" w:rsidP="00A3247A">
            <w:pPr>
              <w:spacing w:before="60" w:line="240" w:lineRule="atLeast"/>
              <w:jc w:val="center"/>
              <w:rPr>
                <w:rFonts w:eastAsia="Times New Roman" w:cs="Times New Roman"/>
                <w:sz w:val="20"/>
                <w:lang w:eastAsia="en-AU"/>
              </w:rPr>
            </w:pPr>
          </w:p>
          <w:p w:rsidR="00A3247A" w:rsidRPr="00A3247A" w:rsidRDefault="00A3247A" w:rsidP="00A3247A">
            <w:pPr>
              <w:spacing w:before="60" w:line="240" w:lineRule="atLeast"/>
              <w:jc w:val="center"/>
              <w:rPr>
                <w:rFonts w:eastAsia="Times New Roman" w:cs="Times New Roman"/>
                <w:sz w:val="20"/>
                <w:lang w:eastAsia="en-AU"/>
              </w:rPr>
            </w:pPr>
          </w:p>
          <w:p w:rsidR="00A3247A" w:rsidRPr="00A3247A" w:rsidRDefault="00A3247A" w:rsidP="00A3247A">
            <w:pPr>
              <w:spacing w:before="60" w:line="240" w:lineRule="atLeast"/>
              <w:jc w:val="center"/>
              <w:rPr>
                <w:rFonts w:eastAsia="Times New Roman" w:cs="Times New Roman"/>
                <w:sz w:val="20"/>
                <w:lang w:eastAsia="en-AU"/>
              </w:rPr>
            </w:pPr>
          </w:p>
          <w:p w:rsidR="00A3247A" w:rsidRPr="00A3247A" w:rsidRDefault="0081411E" w:rsidP="00A3247A">
            <w:pPr>
              <w:spacing w:before="60" w:line="240" w:lineRule="atLeast"/>
              <w:jc w:val="center"/>
              <w:rPr>
                <w:rFonts w:eastAsia="Times New Roman" w:cs="Times New Roman"/>
                <w:sz w:val="20"/>
                <w:lang w:eastAsia="en-AU"/>
              </w:rPr>
            </w:pPr>
            <w:r>
              <w:rPr>
                <w:rFonts w:eastAsia="Times New Roman" w:cs="Times New Roman"/>
                <w:sz w:val="20"/>
                <w:lang w:eastAsia="en-AU"/>
              </w:rPr>
              <w:t>90</w:t>
            </w:r>
            <w:r w:rsidR="00A3247A" w:rsidRPr="00A3247A">
              <w:rPr>
                <w:rFonts w:eastAsia="Times New Roman" w:cs="Times New Roman"/>
                <w:sz w:val="20"/>
                <w:lang w:eastAsia="en-AU"/>
              </w:rPr>
              <w:t>%</w:t>
            </w:r>
          </w:p>
        </w:tc>
        <w:tc>
          <w:tcPr>
            <w:tcW w:w="993" w:type="dxa"/>
            <w:gridSpan w:val="2"/>
            <w:tcBorders>
              <w:bottom w:val="single" w:sz="12" w:space="0" w:color="auto"/>
            </w:tcBorders>
            <w:shd w:val="clear" w:color="auto" w:fill="auto"/>
          </w:tcPr>
          <w:p w:rsidR="00A3247A" w:rsidRPr="00A3247A" w:rsidRDefault="00A3247A" w:rsidP="00A3247A">
            <w:pPr>
              <w:spacing w:before="60" w:line="240" w:lineRule="atLeast"/>
              <w:jc w:val="center"/>
              <w:rPr>
                <w:rFonts w:eastAsia="Times New Roman" w:cs="Times New Roman"/>
                <w:sz w:val="20"/>
                <w:lang w:eastAsia="en-AU"/>
              </w:rPr>
            </w:pPr>
          </w:p>
          <w:p w:rsidR="00A3247A" w:rsidRPr="00A3247A" w:rsidRDefault="00A3247A" w:rsidP="00A3247A">
            <w:pPr>
              <w:spacing w:before="60" w:line="240" w:lineRule="atLeast"/>
              <w:jc w:val="center"/>
              <w:rPr>
                <w:rFonts w:eastAsia="Times New Roman" w:cs="Times New Roman"/>
                <w:sz w:val="20"/>
                <w:lang w:eastAsia="en-AU"/>
              </w:rPr>
            </w:pPr>
            <w:r w:rsidRPr="00A3247A">
              <w:rPr>
                <w:rFonts w:eastAsia="Times New Roman" w:cs="Times New Roman"/>
                <w:sz w:val="20"/>
                <w:lang w:eastAsia="en-AU"/>
              </w:rPr>
              <w:t>100%</w:t>
            </w:r>
          </w:p>
          <w:p w:rsidR="00A3247A" w:rsidRPr="00A3247A" w:rsidRDefault="00A3247A" w:rsidP="00A3247A">
            <w:pPr>
              <w:spacing w:before="60" w:line="240" w:lineRule="atLeast"/>
              <w:jc w:val="center"/>
              <w:rPr>
                <w:rFonts w:eastAsia="Times New Roman" w:cs="Times New Roman"/>
                <w:sz w:val="20"/>
                <w:lang w:eastAsia="en-AU"/>
              </w:rPr>
            </w:pPr>
          </w:p>
          <w:p w:rsidR="00A3247A" w:rsidRPr="00A3247A" w:rsidRDefault="00A3247A" w:rsidP="00A3247A">
            <w:pPr>
              <w:spacing w:before="60" w:line="240" w:lineRule="atLeast"/>
              <w:jc w:val="center"/>
              <w:rPr>
                <w:rFonts w:eastAsia="Times New Roman" w:cs="Times New Roman"/>
                <w:sz w:val="20"/>
                <w:lang w:eastAsia="en-AU"/>
              </w:rPr>
            </w:pPr>
          </w:p>
          <w:p w:rsidR="00A3247A" w:rsidRPr="00A3247A" w:rsidRDefault="00A3247A" w:rsidP="00A3247A">
            <w:pPr>
              <w:spacing w:before="60" w:line="240" w:lineRule="atLeast"/>
              <w:jc w:val="center"/>
              <w:rPr>
                <w:rFonts w:eastAsia="Times New Roman" w:cs="Times New Roman"/>
                <w:sz w:val="20"/>
                <w:lang w:eastAsia="en-AU"/>
              </w:rPr>
            </w:pPr>
          </w:p>
          <w:p w:rsidR="00A3247A" w:rsidRPr="00A3247A" w:rsidRDefault="00A3247A" w:rsidP="00A3247A">
            <w:pPr>
              <w:spacing w:before="60" w:line="240" w:lineRule="atLeast"/>
              <w:jc w:val="center"/>
              <w:rPr>
                <w:rFonts w:eastAsia="Times New Roman" w:cs="Times New Roman"/>
                <w:sz w:val="20"/>
                <w:lang w:eastAsia="en-AU"/>
              </w:rPr>
            </w:pPr>
            <w:r w:rsidRPr="00A3247A">
              <w:rPr>
                <w:rFonts w:eastAsia="Times New Roman" w:cs="Times New Roman"/>
                <w:sz w:val="20"/>
                <w:lang w:eastAsia="en-AU"/>
              </w:rPr>
              <w:t>98%</w:t>
            </w:r>
          </w:p>
          <w:p w:rsidR="00A3247A" w:rsidRPr="00A3247A" w:rsidRDefault="00A3247A" w:rsidP="00A3247A">
            <w:pPr>
              <w:spacing w:before="60" w:line="240" w:lineRule="atLeast"/>
              <w:jc w:val="center"/>
              <w:rPr>
                <w:rFonts w:eastAsia="Times New Roman" w:cs="Times New Roman"/>
                <w:sz w:val="20"/>
                <w:lang w:eastAsia="en-AU"/>
              </w:rPr>
            </w:pPr>
          </w:p>
          <w:p w:rsidR="00A3247A" w:rsidRPr="00A3247A" w:rsidRDefault="00A3247A" w:rsidP="00A3247A">
            <w:pPr>
              <w:spacing w:before="60" w:line="240" w:lineRule="atLeast"/>
              <w:jc w:val="center"/>
              <w:rPr>
                <w:rFonts w:eastAsia="Times New Roman" w:cs="Times New Roman"/>
                <w:sz w:val="20"/>
                <w:lang w:eastAsia="en-AU"/>
              </w:rPr>
            </w:pPr>
          </w:p>
          <w:p w:rsidR="00A3247A" w:rsidRPr="00A3247A" w:rsidRDefault="00A3247A" w:rsidP="00A3247A">
            <w:pPr>
              <w:spacing w:before="60" w:line="240" w:lineRule="atLeast"/>
              <w:jc w:val="center"/>
              <w:rPr>
                <w:rFonts w:eastAsia="Times New Roman" w:cs="Times New Roman"/>
                <w:sz w:val="20"/>
                <w:lang w:eastAsia="en-AU"/>
              </w:rPr>
            </w:pPr>
          </w:p>
          <w:p w:rsidR="00A3247A" w:rsidRPr="00A3247A" w:rsidRDefault="00A3247A" w:rsidP="00A3247A">
            <w:pPr>
              <w:spacing w:before="60" w:line="240" w:lineRule="atLeast"/>
              <w:jc w:val="center"/>
              <w:rPr>
                <w:rFonts w:eastAsia="Times New Roman" w:cs="Times New Roman"/>
                <w:sz w:val="20"/>
                <w:lang w:eastAsia="en-AU"/>
              </w:rPr>
            </w:pPr>
          </w:p>
          <w:p w:rsidR="0015237B" w:rsidRDefault="0015237B" w:rsidP="00A3247A">
            <w:pPr>
              <w:spacing w:before="60" w:line="240" w:lineRule="atLeast"/>
              <w:jc w:val="center"/>
              <w:rPr>
                <w:rFonts w:eastAsia="Times New Roman" w:cs="Times New Roman"/>
                <w:sz w:val="20"/>
                <w:lang w:eastAsia="en-AU"/>
              </w:rPr>
            </w:pPr>
          </w:p>
          <w:p w:rsidR="00A3247A" w:rsidRPr="00A3247A" w:rsidRDefault="00A3247A" w:rsidP="00A3247A">
            <w:pPr>
              <w:spacing w:before="60" w:line="240" w:lineRule="atLeast"/>
              <w:jc w:val="center"/>
              <w:rPr>
                <w:rFonts w:eastAsia="Times New Roman" w:cs="Times New Roman"/>
                <w:sz w:val="20"/>
                <w:lang w:eastAsia="en-AU"/>
              </w:rPr>
            </w:pPr>
            <w:r w:rsidRPr="00A3247A">
              <w:rPr>
                <w:rFonts w:eastAsia="Times New Roman" w:cs="Times New Roman"/>
                <w:sz w:val="20"/>
                <w:lang w:eastAsia="en-AU"/>
              </w:rPr>
              <w:t>98%</w:t>
            </w:r>
          </w:p>
          <w:p w:rsidR="00A3247A" w:rsidRPr="00A3247A" w:rsidRDefault="00A3247A" w:rsidP="00A3247A">
            <w:pPr>
              <w:spacing w:before="60" w:line="240" w:lineRule="atLeast"/>
              <w:jc w:val="center"/>
              <w:rPr>
                <w:rFonts w:eastAsia="Times New Roman" w:cs="Times New Roman"/>
                <w:sz w:val="20"/>
                <w:lang w:eastAsia="en-AU"/>
              </w:rPr>
            </w:pPr>
          </w:p>
          <w:p w:rsidR="00A3247A" w:rsidRPr="00A3247A" w:rsidRDefault="00A3247A" w:rsidP="00A3247A">
            <w:pPr>
              <w:spacing w:before="60" w:line="240" w:lineRule="atLeast"/>
              <w:jc w:val="center"/>
              <w:rPr>
                <w:rFonts w:eastAsia="Times New Roman" w:cs="Times New Roman"/>
                <w:sz w:val="20"/>
                <w:lang w:eastAsia="en-AU"/>
              </w:rPr>
            </w:pPr>
          </w:p>
          <w:p w:rsidR="00A3247A" w:rsidRPr="00A3247A" w:rsidRDefault="00A3247A" w:rsidP="00A3247A">
            <w:pPr>
              <w:spacing w:before="60" w:line="240" w:lineRule="atLeast"/>
              <w:jc w:val="center"/>
              <w:rPr>
                <w:rFonts w:eastAsia="Times New Roman" w:cs="Times New Roman"/>
                <w:sz w:val="20"/>
                <w:lang w:eastAsia="en-AU"/>
              </w:rPr>
            </w:pPr>
          </w:p>
          <w:p w:rsidR="00A3247A" w:rsidRPr="00A3247A" w:rsidRDefault="0081411E" w:rsidP="00A3247A">
            <w:pPr>
              <w:spacing w:before="60" w:line="240" w:lineRule="atLeast"/>
              <w:jc w:val="center"/>
              <w:rPr>
                <w:rFonts w:eastAsia="Times New Roman" w:cs="Times New Roman"/>
                <w:sz w:val="20"/>
                <w:lang w:eastAsia="en-AU"/>
              </w:rPr>
            </w:pPr>
            <w:r>
              <w:rPr>
                <w:rFonts w:eastAsia="Times New Roman" w:cs="Times New Roman"/>
                <w:sz w:val="20"/>
                <w:lang w:eastAsia="en-AU"/>
              </w:rPr>
              <w:t>90</w:t>
            </w:r>
            <w:r w:rsidR="00A3247A" w:rsidRPr="00A3247A">
              <w:rPr>
                <w:rFonts w:eastAsia="Times New Roman" w:cs="Times New Roman"/>
                <w:sz w:val="20"/>
                <w:lang w:eastAsia="en-AU"/>
              </w:rPr>
              <w:t>%</w:t>
            </w:r>
          </w:p>
        </w:tc>
        <w:tc>
          <w:tcPr>
            <w:tcW w:w="992" w:type="dxa"/>
            <w:gridSpan w:val="2"/>
            <w:tcBorders>
              <w:bottom w:val="single" w:sz="12" w:space="0" w:color="auto"/>
            </w:tcBorders>
            <w:shd w:val="clear" w:color="auto" w:fill="auto"/>
          </w:tcPr>
          <w:p w:rsidR="00A3247A" w:rsidRPr="00A3247A" w:rsidRDefault="00A3247A" w:rsidP="00A3247A">
            <w:pPr>
              <w:spacing w:before="60" w:line="240" w:lineRule="atLeast"/>
              <w:jc w:val="center"/>
              <w:rPr>
                <w:rFonts w:eastAsia="Times New Roman" w:cs="Times New Roman"/>
                <w:sz w:val="20"/>
                <w:lang w:eastAsia="en-AU"/>
              </w:rPr>
            </w:pPr>
          </w:p>
          <w:p w:rsidR="00A3247A" w:rsidRPr="00A3247A" w:rsidRDefault="00A3247A" w:rsidP="00A3247A">
            <w:pPr>
              <w:spacing w:before="60" w:line="240" w:lineRule="atLeast"/>
              <w:jc w:val="center"/>
              <w:rPr>
                <w:rFonts w:eastAsia="Times New Roman" w:cs="Times New Roman"/>
                <w:sz w:val="20"/>
                <w:lang w:eastAsia="en-AU"/>
              </w:rPr>
            </w:pPr>
            <w:r w:rsidRPr="00A3247A">
              <w:rPr>
                <w:rFonts w:eastAsia="Times New Roman" w:cs="Times New Roman"/>
                <w:sz w:val="20"/>
                <w:lang w:eastAsia="en-AU"/>
              </w:rPr>
              <w:t>100%</w:t>
            </w:r>
          </w:p>
          <w:p w:rsidR="00A3247A" w:rsidRPr="00A3247A" w:rsidRDefault="00A3247A" w:rsidP="00A3247A">
            <w:pPr>
              <w:spacing w:before="60" w:line="240" w:lineRule="atLeast"/>
              <w:jc w:val="center"/>
              <w:rPr>
                <w:rFonts w:eastAsia="Times New Roman" w:cs="Times New Roman"/>
                <w:sz w:val="20"/>
                <w:lang w:eastAsia="en-AU"/>
              </w:rPr>
            </w:pPr>
          </w:p>
          <w:p w:rsidR="00A3247A" w:rsidRPr="00A3247A" w:rsidRDefault="00A3247A" w:rsidP="00A3247A">
            <w:pPr>
              <w:spacing w:before="60" w:line="240" w:lineRule="atLeast"/>
              <w:jc w:val="center"/>
              <w:rPr>
                <w:rFonts w:eastAsia="Times New Roman" w:cs="Times New Roman"/>
                <w:sz w:val="20"/>
                <w:lang w:eastAsia="en-AU"/>
              </w:rPr>
            </w:pPr>
          </w:p>
          <w:p w:rsidR="00A3247A" w:rsidRPr="00A3247A" w:rsidRDefault="00A3247A" w:rsidP="00A3247A">
            <w:pPr>
              <w:spacing w:before="60" w:line="240" w:lineRule="atLeast"/>
              <w:jc w:val="center"/>
              <w:rPr>
                <w:rFonts w:eastAsia="Times New Roman" w:cs="Times New Roman"/>
                <w:sz w:val="20"/>
                <w:lang w:eastAsia="en-AU"/>
              </w:rPr>
            </w:pPr>
          </w:p>
          <w:p w:rsidR="00A3247A" w:rsidRPr="00A3247A" w:rsidRDefault="00A3247A" w:rsidP="00A3247A">
            <w:pPr>
              <w:spacing w:before="60" w:line="240" w:lineRule="atLeast"/>
              <w:jc w:val="center"/>
              <w:rPr>
                <w:rFonts w:eastAsia="Times New Roman" w:cs="Times New Roman"/>
                <w:sz w:val="20"/>
                <w:lang w:eastAsia="en-AU"/>
              </w:rPr>
            </w:pPr>
            <w:r w:rsidRPr="00A3247A">
              <w:rPr>
                <w:rFonts w:eastAsia="Times New Roman" w:cs="Times New Roman"/>
                <w:sz w:val="20"/>
                <w:lang w:eastAsia="en-AU"/>
              </w:rPr>
              <w:t>98%</w:t>
            </w:r>
          </w:p>
          <w:p w:rsidR="00A3247A" w:rsidRPr="00A3247A" w:rsidRDefault="00A3247A" w:rsidP="00A3247A">
            <w:pPr>
              <w:spacing w:before="60" w:line="240" w:lineRule="atLeast"/>
              <w:jc w:val="center"/>
              <w:rPr>
                <w:rFonts w:eastAsia="Times New Roman" w:cs="Times New Roman"/>
                <w:sz w:val="20"/>
                <w:lang w:eastAsia="en-AU"/>
              </w:rPr>
            </w:pPr>
          </w:p>
          <w:p w:rsidR="00A3247A" w:rsidRPr="00A3247A" w:rsidRDefault="00A3247A" w:rsidP="00A3247A">
            <w:pPr>
              <w:spacing w:before="60" w:line="240" w:lineRule="atLeast"/>
              <w:jc w:val="center"/>
              <w:rPr>
                <w:rFonts w:eastAsia="Times New Roman" w:cs="Times New Roman"/>
                <w:sz w:val="20"/>
                <w:lang w:eastAsia="en-AU"/>
              </w:rPr>
            </w:pPr>
          </w:p>
          <w:p w:rsidR="00A3247A" w:rsidRPr="00A3247A" w:rsidRDefault="00A3247A" w:rsidP="00A3247A">
            <w:pPr>
              <w:spacing w:before="60" w:line="240" w:lineRule="atLeast"/>
              <w:jc w:val="center"/>
              <w:rPr>
                <w:rFonts w:eastAsia="Times New Roman" w:cs="Times New Roman"/>
                <w:sz w:val="20"/>
                <w:lang w:eastAsia="en-AU"/>
              </w:rPr>
            </w:pPr>
          </w:p>
          <w:p w:rsidR="00A3247A" w:rsidRPr="00A3247A" w:rsidRDefault="00A3247A" w:rsidP="00A3247A">
            <w:pPr>
              <w:spacing w:before="60" w:line="240" w:lineRule="atLeast"/>
              <w:jc w:val="center"/>
              <w:rPr>
                <w:rFonts w:eastAsia="Times New Roman" w:cs="Times New Roman"/>
                <w:sz w:val="20"/>
                <w:lang w:eastAsia="en-AU"/>
              </w:rPr>
            </w:pPr>
          </w:p>
          <w:p w:rsidR="0015237B" w:rsidRDefault="0015237B" w:rsidP="00A3247A">
            <w:pPr>
              <w:spacing w:before="60" w:line="240" w:lineRule="atLeast"/>
              <w:jc w:val="center"/>
              <w:rPr>
                <w:rFonts w:eastAsia="Times New Roman" w:cs="Times New Roman"/>
                <w:sz w:val="20"/>
                <w:lang w:eastAsia="en-AU"/>
              </w:rPr>
            </w:pPr>
          </w:p>
          <w:p w:rsidR="00A3247A" w:rsidRPr="00A3247A" w:rsidRDefault="00A3247A" w:rsidP="00A3247A">
            <w:pPr>
              <w:spacing w:before="60" w:line="240" w:lineRule="atLeast"/>
              <w:jc w:val="center"/>
              <w:rPr>
                <w:rFonts w:eastAsia="Times New Roman" w:cs="Times New Roman"/>
                <w:sz w:val="20"/>
                <w:lang w:eastAsia="en-AU"/>
              </w:rPr>
            </w:pPr>
            <w:r w:rsidRPr="00A3247A">
              <w:rPr>
                <w:rFonts w:eastAsia="Times New Roman" w:cs="Times New Roman"/>
                <w:sz w:val="20"/>
                <w:lang w:eastAsia="en-AU"/>
              </w:rPr>
              <w:t>98%</w:t>
            </w:r>
          </w:p>
          <w:p w:rsidR="00A3247A" w:rsidRPr="00A3247A" w:rsidRDefault="00A3247A" w:rsidP="00A3247A">
            <w:pPr>
              <w:spacing w:before="60" w:line="240" w:lineRule="atLeast"/>
              <w:jc w:val="center"/>
              <w:rPr>
                <w:rFonts w:eastAsia="Times New Roman" w:cs="Times New Roman"/>
                <w:sz w:val="20"/>
                <w:lang w:eastAsia="en-AU"/>
              </w:rPr>
            </w:pPr>
          </w:p>
          <w:p w:rsidR="00A3247A" w:rsidRPr="00A3247A" w:rsidRDefault="00A3247A" w:rsidP="00A3247A">
            <w:pPr>
              <w:spacing w:before="60" w:line="240" w:lineRule="atLeast"/>
              <w:jc w:val="center"/>
              <w:rPr>
                <w:rFonts w:eastAsia="Times New Roman" w:cs="Times New Roman"/>
                <w:sz w:val="20"/>
                <w:lang w:eastAsia="en-AU"/>
              </w:rPr>
            </w:pPr>
          </w:p>
          <w:p w:rsidR="00A3247A" w:rsidRPr="00A3247A" w:rsidRDefault="00A3247A" w:rsidP="00A3247A">
            <w:pPr>
              <w:spacing w:before="60" w:line="240" w:lineRule="atLeast"/>
              <w:jc w:val="center"/>
              <w:rPr>
                <w:rFonts w:eastAsia="Times New Roman" w:cs="Times New Roman"/>
                <w:sz w:val="20"/>
                <w:lang w:eastAsia="en-AU"/>
              </w:rPr>
            </w:pPr>
          </w:p>
          <w:p w:rsidR="00A3247A" w:rsidRPr="00A3247A" w:rsidRDefault="0081411E" w:rsidP="00A3247A">
            <w:pPr>
              <w:spacing w:before="60" w:line="240" w:lineRule="atLeast"/>
              <w:jc w:val="center"/>
              <w:rPr>
                <w:rFonts w:eastAsia="Times New Roman" w:cs="Times New Roman"/>
                <w:sz w:val="20"/>
                <w:lang w:eastAsia="en-AU"/>
              </w:rPr>
            </w:pPr>
            <w:r>
              <w:rPr>
                <w:rFonts w:eastAsia="Times New Roman" w:cs="Times New Roman"/>
                <w:sz w:val="20"/>
                <w:lang w:eastAsia="en-AU"/>
              </w:rPr>
              <w:t>90</w:t>
            </w:r>
            <w:r w:rsidR="00A3247A" w:rsidRPr="00A3247A">
              <w:rPr>
                <w:rFonts w:eastAsia="Times New Roman" w:cs="Times New Roman"/>
                <w:sz w:val="20"/>
                <w:lang w:eastAsia="en-AU"/>
              </w:rPr>
              <w:t>%</w:t>
            </w:r>
          </w:p>
        </w:tc>
        <w:tc>
          <w:tcPr>
            <w:tcW w:w="807" w:type="dxa"/>
            <w:tcBorders>
              <w:bottom w:val="single" w:sz="12" w:space="0" w:color="auto"/>
            </w:tcBorders>
            <w:shd w:val="clear" w:color="auto" w:fill="auto"/>
          </w:tcPr>
          <w:p w:rsidR="00A3247A" w:rsidRPr="00A3247A" w:rsidRDefault="00A3247A" w:rsidP="00A3247A">
            <w:pPr>
              <w:spacing w:before="60" w:line="240" w:lineRule="atLeast"/>
              <w:jc w:val="center"/>
              <w:rPr>
                <w:rFonts w:eastAsia="Times New Roman" w:cs="Times New Roman"/>
                <w:sz w:val="20"/>
                <w:lang w:eastAsia="en-AU"/>
              </w:rPr>
            </w:pPr>
          </w:p>
          <w:p w:rsidR="00A3247A" w:rsidRPr="00A3247A" w:rsidRDefault="00A3247A" w:rsidP="00A3247A">
            <w:pPr>
              <w:spacing w:before="60" w:line="240" w:lineRule="atLeast"/>
              <w:jc w:val="center"/>
              <w:rPr>
                <w:rFonts w:eastAsia="Times New Roman" w:cs="Times New Roman"/>
                <w:sz w:val="20"/>
                <w:lang w:eastAsia="en-AU"/>
              </w:rPr>
            </w:pPr>
            <w:r w:rsidRPr="00A3247A">
              <w:rPr>
                <w:rFonts w:eastAsia="Times New Roman" w:cs="Times New Roman"/>
                <w:sz w:val="20"/>
                <w:lang w:eastAsia="en-AU"/>
              </w:rPr>
              <w:t>100%</w:t>
            </w:r>
          </w:p>
          <w:p w:rsidR="00A3247A" w:rsidRPr="00A3247A" w:rsidRDefault="00A3247A" w:rsidP="00A3247A">
            <w:pPr>
              <w:spacing w:before="60" w:line="240" w:lineRule="atLeast"/>
              <w:jc w:val="center"/>
              <w:rPr>
                <w:rFonts w:eastAsia="Times New Roman" w:cs="Times New Roman"/>
                <w:sz w:val="20"/>
                <w:lang w:eastAsia="en-AU"/>
              </w:rPr>
            </w:pPr>
          </w:p>
          <w:p w:rsidR="00A3247A" w:rsidRPr="00A3247A" w:rsidRDefault="00A3247A" w:rsidP="00A3247A">
            <w:pPr>
              <w:spacing w:before="60" w:line="240" w:lineRule="atLeast"/>
              <w:jc w:val="center"/>
              <w:rPr>
                <w:rFonts w:eastAsia="Times New Roman" w:cs="Times New Roman"/>
                <w:sz w:val="20"/>
                <w:lang w:eastAsia="en-AU"/>
              </w:rPr>
            </w:pPr>
          </w:p>
          <w:p w:rsidR="00A3247A" w:rsidRPr="00A3247A" w:rsidRDefault="00A3247A" w:rsidP="00A3247A">
            <w:pPr>
              <w:spacing w:before="60" w:line="240" w:lineRule="atLeast"/>
              <w:jc w:val="center"/>
              <w:rPr>
                <w:rFonts w:eastAsia="Times New Roman" w:cs="Times New Roman"/>
                <w:sz w:val="20"/>
                <w:lang w:eastAsia="en-AU"/>
              </w:rPr>
            </w:pPr>
          </w:p>
          <w:p w:rsidR="00A3247A" w:rsidRPr="00A3247A" w:rsidRDefault="00A3247A" w:rsidP="00A3247A">
            <w:pPr>
              <w:spacing w:before="60" w:line="240" w:lineRule="atLeast"/>
              <w:jc w:val="center"/>
              <w:rPr>
                <w:rFonts w:eastAsia="Times New Roman" w:cs="Times New Roman"/>
                <w:sz w:val="20"/>
                <w:lang w:eastAsia="en-AU"/>
              </w:rPr>
            </w:pPr>
            <w:r w:rsidRPr="00A3247A">
              <w:rPr>
                <w:rFonts w:eastAsia="Times New Roman" w:cs="Times New Roman"/>
                <w:sz w:val="20"/>
                <w:lang w:eastAsia="en-AU"/>
              </w:rPr>
              <w:t>98%</w:t>
            </w:r>
          </w:p>
          <w:p w:rsidR="00A3247A" w:rsidRPr="00A3247A" w:rsidRDefault="00A3247A" w:rsidP="00A3247A">
            <w:pPr>
              <w:spacing w:before="60" w:line="240" w:lineRule="atLeast"/>
              <w:jc w:val="center"/>
              <w:rPr>
                <w:rFonts w:eastAsia="Times New Roman" w:cs="Times New Roman"/>
                <w:sz w:val="20"/>
                <w:lang w:eastAsia="en-AU"/>
              </w:rPr>
            </w:pPr>
          </w:p>
          <w:p w:rsidR="00A3247A" w:rsidRPr="00A3247A" w:rsidRDefault="00A3247A" w:rsidP="00A3247A">
            <w:pPr>
              <w:spacing w:before="60" w:line="240" w:lineRule="atLeast"/>
              <w:jc w:val="center"/>
              <w:rPr>
                <w:rFonts w:eastAsia="Times New Roman" w:cs="Times New Roman"/>
                <w:sz w:val="20"/>
                <w:lang w:eastAsia="en-AU"/>
              </w:rPr>
            </w:pPr>
          </w:p>
          <w:p w:rsidR="00A3247A" w:rsidRPr="00A3247A" w:rsidRDefault="00A3247A" w:rsidP="00A3247A">
            <w:pPr>
              <w:spacing w:before="60" w:line="240" w:lineRule="atLeast"/>
              <w:jc w:val="center"/>
              <w:rPr>
                <w:rFonts w:eastAsia="Times New Roman" w:cs="Times New Roman"/>
                <w:sz w:val="20"/>
                <w:lang w:eastAsia="en-AU"/>
              </w:rPr>
            </w:pPr>
          </w:p>
          <w:p w:rsidR="00A3247A" w:rsidRPr="00A3247A" w:rsidRDefault="00A3247A" w:rsidP="00A3247A">
            <w:pPr>
              <w:spacing w:before="60" w:line="240" w:lineRule="atLeast"/>
              <w:jc w:val="center"/>
              <w:rPr>
                <w:rFonts w:eastAsia="Times New Roman" w:cs="Times New Roman"/>
                <w:sz w:val="20"/>
                <w:lang w:eastAsia="en-AU"/>
              </w:rPr>
            </w:pPr>
          </w:p>
          <w:p w:rsidR="0015237B" w:rsidRDefault="0015237B" w:rsidP="00A3247A">
            <w:pPr>
              <w:spacing w:before="60" w:line="240" w:lineRule="atLeast"/>
              <w:jc w:val="center"/>
              <w:rPr>
                <w:rFonts w:eastAsia="Times New Roman" w:cs="Times New Roman"/>
                <w:sz w:val="20"/>
                <w:lang w:eastAsia="en-AU"/>
              </w:rPr>
            </w:pPr>
          </w:p>
          <w:p w:rsidR="00A3247A" w:rsidRPr="00A3247A" w:rsidRDefault="00A3247A" w:rsidP="00A3247A">
            <w:pPr>
              <w:spacing w:before="60" w:line="240" w:lineRule="atLeast"/>
              <w:jc w:val="center"/>
              <w:rPr>
                <w:rFonts w:eastAsia="Times New Roman" w:cs="Times New Roman"/>
                <w:sz w:val="20"/>
                <w:lang w:eastAsia="en-AU"/>
              </w:rPr>
            </w:pPr>
            <w:r w:rsidRPr="00A3247A">
              <w:rPr>
                <w:rFonts w:eastAsia="Times New Roman" w:cs="Times New Roman"/>
                <w:sz w:val="20"/>
                <w:lang w:eastAsia="en-AU"/>
              </w:rPr>
              <w:t>98%</w:t>
            </w:r>
          </w:p>
          <w:p w:rsidR="00A3247A" w:rsidRPr="00A3247A" w:rsidRDefault="00A3247A" w:rsidP="00A3247A">
            <w:pPr>
              <w:spacing w:before="60" w:line="240" w:lineRule="atLeast"/>
              <w:jc w:val="center"/>
              <w:rPr>
                <w:rFonts w:eastAsia="Times New Roman" w:cs="Times New Roman"/>
                <w:sz w:val="20"/>
                <w:lang w:eastAsia="en-AU"/>
              </w:rPr>
            </w:pPr>
          </w:p>
          <w:p w:rsidR="00A3247A" w:rsidRPr="00A3247A" w:rsidRDefault="00A3247A" w:rsidP="00A3247A">
            <w:pPr>
              <w:spacing w:before="60" w:line="240" w:lineRule="atLeast"/>
              <w:jc w:val="center"/>
              <w:rPr>
                <w:rFonts w:eastAsia="Times New Roman" w:cs="Times New Roman"/>
                <w:sz w:val="20"/>
                <w:lang w:eastAsia="en-AU"/>
              </w:rPr>
            </w:pPr>
          </w:p>
          <w:p w:rsidR="00A3247A" w:rsidRPr="00A3247A" w:rsidRDefault="00A3247A" w:rsidP="00A3247A">
            <w:pPr>
              <w:spacing w:before="60" w:line="240" w:lineRule="atLeast"/>
              <w:jc w:val="center"/>
              <w:rPr>
                <w:rFonts w:eastAsia="Times New Roman" w:cs="Times New Roman"/>
                <w:sz w:val="20"/>
                <w:lang w:eastAsia="en-AU"/>
              </w:rPr>
            </w:pPr>
          </w:p>
          <w:p w:rsidR="00A3247A" w:rsidRPr="00A3247A" w:rsidRDefault="0081411E" w:rsidP="00A3247A">
            <w:pPr>
              <w:spacing w:before="60" w:line="240" w:lineRule="atLeast"/>
              <w:jc w:val="center"/>
              <w:rPr>
                <w:rFonts w:eastAsia="Times New Roman" w:cs="Times New Roman"/>
                <w:sz w:val="20"/>
                <w:lang w:eastAsia="en-AU"/>
              </w:rPr>
            </w:pPr>
            <w:r>
              <w:rPr>
                <w:rFonts w:eastAsia="Times New Roman" w:cs="Times New Roman"/>
                <w:sz w:val="20"/>
                <w:lang w:eastAsia="en-AU"/>
              </w:rPr>
              <w:t>90</w:t>
            </w:r>
            <w:r w:rsidR="00A3247A" w:rsidRPr="00A3247A">
              <w:rPr>
                <w:rFonts w:eastAsia="Times New Roman" w:cs="Times New Roman"/>
                <w:sz w:val="20"/>
                <w:lang w:eastAsia="en-AU"/>
              </w:rPr>
              <w:t>%</w:t>
            </w:r>
          </w:p>
        </w:tc>
      </w:tr>
    </w:tbl>
    <w:p w:rsidR="00A3247A" w:rsidRPr="00A3247A" w:rsidRDefault="00A3247A" w:rsidP="00A3247A">
      <w:pPr>
        <w:spacing w:before="60" w:line="240" w:lineRule="atLeast"/>
        <w:rPr>
          <w:rFonts w:eastAsia="Times New Roman" w:cs="Times New Roman"/>
          <w:sz w:val="20"/>
          <w:lang w:eastAsia="en-AU"/>
        </w:rPr>
      </w:pPr>
      <w:r w:rsidRPr="00A3247A">
        <w:rPr>
          <w:rFonts w:eastAsia="Times New Roman" w:cs="Times New Roman"/>
          <w:sz w:val="20"/>
          <w:lang w:eastAsia="en-AU"/>
        </w:rPr>
        <w:t xml:space="preserve"> </w:t>
      </w:r>
    </w:p>
    <w:p w:rsidR="00A3247A" w:rsidRPr="00A3247A" w:rsidRDefault="00A3247A" w:rsidP="00A3247A">
      <w:pPr>
        <w:keepNext/>
        <w:spacing w:before="240" w:after="60" w:line="240" w:lineRule="auto"/>
        <w:outlineLvl w:val="2"/>
        <w:rPr>
          <w:rFonts w:ascii="Arial" w:eastAsia="Times New Roman" w:hAnsi="Arial" w:cs="Times New Roman"/>
          <w:b/>
          <w:i/>
          <w:kern w:val="28"/>
          <w:sz w:val="26"/>
          <w:lang w:eastAsia="en-AU"/>
        </w:rPr>
      </w:pPr>
      <w:bookmarkStart w:id="6" w:name="_Toc425345090"/>
      <w:r w:rsidRPr="00A3247A">
        <w:rPr>
          <w:rFonts w:ascii="Arial" w:eastAsia="Times New Roman" w:hAnsi="Arial" w:cs="Times New Roman"/>
          <w:b/>
          <w:i/>
          <w:kern w:val="28"/>
          <w:sz w:val="26"/>
          <w:lang w:eastAsia="en-AU"/>
        </w:rPr>
        <w:t>Risk oversight and management</w:t>
      </w:r>
      <w:bookmarkEnd w:id="6"/>
    </w:p>
    <w:p w:rsidR="00A3247A" w:rsidRPr="00A3247A" w:rsidRDefault="00A3247A" w:rsidP="00A3247A">
      <w:pPr>
        <w:numPr>
          <w:ilvl w:val="0"/>
          <w:numId w:val="13"/>
        </w:numPr>
        <w:spacing w:before="240" w:line="240" w:lineRule="auto"/>
        <w:rPr>
          <w:rFonts w:eastAsia="Times New Roman" w:cs="Times New Roman"/>
          <w:sz w:val="24"/>
          <w:lang w:eastAsia="en-AU"/>
        </w:rPr>
      </w:pPr>
      <w:r w:rsidRPr="00A3247A">
        <w:rPr>
          <w:rFonts w:eastAsia="Times New Roman" w:cs="Times New Roman"/>
          <w:sz w:val="24"/>
          <w:lang w:eastAsia="en-AU"/>
        </w:rPr>
        <w:t>OPC’s Risk Management framework, processes and plan is a formalised, integrated and visible framework to identify risk exposures across all of OPC’s activities and a plan for the treatment of risks. The Risk Management framework, processes and plan is a key part of improving OPC’s operations and services and ensuring that we achieve our organisational objectives.</w:t>
      </w:r>
    </w:p>
    <w:p w:rsidR="00A3247A" w:rsidRPr="00A3247A" w:rsidRDefault="00A3247A" w:rsidP="00A3247A">
      <w:pPr>
        <w:numPr>
          <w:ilvl w:val="0"/>
          <w:numId w:val="13"/>
        </w:numPr>
        <w:spacing w:before="240" w:line="240" w:lineRule="auto"/>
        <w:rPr>
          <w:rFonts w:eastAsia="Times New Roman" w:cs="Times New Roman"/>
          <w:sz w:val="24"/>
          <w:lang w:eastAsia="en-AU"/>
        </w:rPr>
      </w:pPr>
      <w:r w:rsidRPr="00A3247A">
        <w:rPr>
          <w:rFonts w:eastAsia="Times New Roman" w:cs="Times New Roman"/>
          <w:sz w:val="24"/>
          <w:lang w:eastAsia="en-AU"/>
        </w:rPr>
        <w:t xml:space="preserve">OPC’s framework complies with the </w:t>
      </w:r>
      <w:r w:rsidRPr="00A3247A">
        <w:rPr>
          <w:rFonts w:eastAsia="Times New Roman" w:cs="Times New Roman"/>
          <w:i/>
          <w:sz w:val="24"/>
          <w:lang w:eastAsia="en-AU"/>
        </w:rPr>
        <w:t>Commonwealth Risk Management Policy</w:t>
      </w:r>
      <w:r w:rsidRPr="00A3247A">
        <w:rPr>
          <w:rFonts w:eastAsia="Times New Roman" w:cs="Times New Roman"/>
          <w:sz w:val="24"/>
          <w:lang w:eastAsia="en-AU"/>
        </w:rPr>
        <w:t>, which supports the requirements of the PGPA Act.</w:t>
      </w:r>
    </w:p>
    <w:p w:rsidR="00A3247A" w:rsidRPr="00A3247A" w:rsidRDefault="00A3247A" w:rsidP="00A3247A">
      <w:pPr>
        <w:numPr>
          <w:ilvl w:val="0"/>
          <w:numId w:val="13"/>
        </w:numPr>
        <w:spacing w:before="240" w:line="240" w:lineRule="auto"/>
        <w:rPr>
          <w:rFonts w:eastAsia="Times New Roman" w:cs="Times New Roman"/>
          <w:sz w:val="24"/>
          <w:lang w:eastAsia="en-AU"/>
        </w:rPr>
      </w:pPr>
      <w:r w:rsidRPr="00A3247A">
        <w:rPr>
          <w:rFonts w:eastAsia="Times New Roman" w:cs="Times New Roman"/>
          <w:sz w:val="24"/>
          <w:lang w:eastAsia="en-AU"/>
        </w:rPr>
        <w:t>Overall accountability for risk management is with FPC. OPC’s Senior Management Team is responsible for developing, implementing and managing OPC’s risk management framework, processes and plan and for effective identification and management of OPC’s organis</w:t>
      </w:r>
      <w:r w:rsidR="0081411E">
        <w:rPr>
          <w:rFonts w:eastAsia="Times New Roman" w:cs="Times New Roman"/>
          <w:sz w:val="24"/>
          <w:lang w:eastAsia="en-AU"/>
        </w:rPr>
        <w:t>ational risks, including fraud.</w:t>
      </w:r>
    </w:p>
    <w:p w:rsidR="00A3247A" w:rsidRPr="00A3247A" w:rsidRDefault="00A3247A" w:rsidP="00A3247A">
      <w:pPr>
        <w:numPr>
          <w:ilvl w:val="0"/>
          <w:numId w:val="13"/>
        </w:numPr>
        <w:spacing w:before="240" w:line="240" w:lineRule="auto"/>
        <w:rPr>
          <w:rFonts w:eastAsia="Times New Roman" w:cs="Times New Roman"/>
          <w:sz w:val="24"/>
          <w:lang w:eastAsia="en-AU"/>
        </w:rPr>
      </w:pPr>
      <w:r w:rsidRPr="00A3247A">
        <w:rPr>
          <w:rFonts w:eastAsia="Times New Roman" w:cs="Times New Roman"/>
          <w:sz w:val="24"/>
          <w:lang w:eastAsia="en-AU"/>
        </w:rPr>
        <w:t>OPC’s key operational risks are matters affecting the availability of drafting resources and the availability of OPC’s information technology systems. The Senior Management Team regularly reviews and assesses the current and planned approach to managing key risk areas to determine future actions.</w:t>
      </w:r>
    </w:p>
    <w:p w:rsidR="008E17F3" w:rsidRPr="00A3247A" w:rsidRDefault="008E17F3" w:rsidP="00A3247A"/>
    <w:sectPr w:rsidR="008E17F3" w:rsidRPr="00A3247A" w:rsidSect="00F701C7">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47A" w:rsidRDefault="00A3247A" w:rsidP="008E17F3">
      <w:pPr>
        <w:spacing w:line="240" w:lineRule="auto"/>
      </w:pPr>
      <w:r>
        <w:separator/>
      </w:r>
    </w:p>
  </w:endnote>
  <w:endnote w:type="continuationSeparator" w:id="0">
    <w:p w:rsidR="00A3247A" w:rsidRDefault="00A3247A"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F3" w:rsidRDefault="006E2E9F" w:rsidP="008E17F3">
    <w:pPr>
      <w:pStyle w:val="Footer"/>
      <w:framePr w:wrap="around" w:vAnchor="text" w:hAnchor="margin" w:xAlign="right" w:y="1"/>
      <w:rPr>
        <w:rStyle w:val="PageNumber"/>
      </w:rPr>
    </w:pPr>
    <w:r>
      <w:rPr>
        <w:rStyle w:val="PageNumber"/>
      </w:rPr>
      <w:fldChar w:fldCharType="begin"/>
    </w:r>
    <w:r w:rsidR="008E17F3">
      <w:rPr>
        <w:rStyle w:val="PageNumber"/>
      </w:rPr>
      <w:instrText xml:space="preserve">PAGE  </w:instrText>
    </w:r>
    <w:r>
      <w:rPr>
        <w:rStyle w:val="PageNumber"/>
      </w:rPr>
      <w:fldChar w:fldCharType="separate"/>
    </w:r>
    <w:r w:rsidR="00F5390C">
      <w:rPr>
        <w:rStyle w:val="PageNumber"/>
        <w:noProof/>
      </w:rPr>
      <w:t>2</w:t>
    </w:r>
    <w:r>
      <w:rPr>
        <w:rStyle w:val="PageNumber"/>
      </w:rPr>
      <w:fldChar w:fldCharType="end"/>
    </w:r>
  </w:p>
  <w:p w:rsidR="008E17F3" w:rsidRDefault="008E17F3" w:rsidP="008E17F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F3" w:rsidRDefault="008E17F3" w:rsidP="008E17F3">
    <w:pPr>
      <w:pStyle w:val="Footer"/>
      <w:tabs>
        <w:tab w:val="clear" w:pos="4153"/>
        <w:tab w:val="clear" w:pos="8306"/>
        <w:tab w:val="left" w:pos="7680"/>
      </w:tabs>
      <w:ind w:right="27"/>
      <w:rPr>
        <w:sz w:val="16"/>
      </w:rPr>
    </w:pPr>
    <w:r>
      <w:rPr>
        <w:sz w:val="16"/>
      </w:rPr>
      <w:t>[</w:t>
    </w:r>
    <w:r w:rsidR="007323AA">
      <w:rPr>
        <w:noProof/>
        <w:sz w:val="16"/>
        <w:szCs w:val="16"/>
      </w:rPr>
      <w:t>S15GD110.v07.docx</w:t>
    </w:r>
    <w:r w:rsidRPr="00766393">
      <w:rPr>
        <w:sz w:val="16"/>
        <w:szCs w:val="16"/>
      </w:rPr>
      <w:t>] [</w:t>
    </w:r>
    <w:r w:rsidR="007323AA">
      <w:rPr>
        <w:noProof/>
        <w:sz w:val="16"/>
        <w:szCs w:val="16"/>
      </w:rPr>
      <w:t>27-Jun-17</w:t>
    </w:r>
    <w:r>
      <w:rPr>
        <w:sz w:val="16"/>
      </w:rPr>
      <w:t>] [</w:t>
    </w:r>
    <w:r w:rsidR="007323AA">
      <w:rPr>
        <w:noProof/>
        <w:sz w:val="16"/>
      </w:rPr>
      <w:t>1:13 PM</w:t>
    </w:r>
    <w:r>
      <w:rPr>
        <w:sz w:val="16"/>
      </w:rPr>
      <w:t>]</w:t>
    </w:r>
    <w:r>
      <w:rPr>
        <w:sz w:val="16"/>
      </w:rPr>
      <w:tab/>
    </w:r>
    <w:r>
      <w:rPr>
        <w:sz w:val="16"/>
      </w:rPr>
      <w:tab/>
    </w:r>
    <w:r>
      <w:t xml:space="preserve">Page  </w:t>
    </w:r>
    <w:r w:rsidR="005327A0">
      <w:fldChar w:fldCharType="begin"/>
    </w:r>
    <w:r w:rsidR="005327A0">
      <w:instrText xml:space="preserve"> PAGE  \* MERGEFORMAT </w:instrText>
    </w:r>
    <w:r w:rsidR="005327A0">
      <w:fldChar w:fldCharType="separate"/>
    </w:r>
    <w:r w:rsidR="002A7E19">
      <w:rPr>
        <w:noProof/>
      </w:rPr>
      <w:t>2</w:t>
    </w:r>
    <w:r w:rsidR="005327A0">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3AA" w:rsidRDefault="007323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47A" w:rsidRDefault="00A3247A" w:rsidP="008E17F3">
      <w:pPr>
        <w:spacing w:line="240" w:lineRule="auto"/>
      </w:pPr>
      <w:r>
        <w:separator/>
      </w:r>
    </w:p>
  </w:footnote>
  <w:footnote w:type="continuationSeparator" w:id="0">
    <w:p w:rsidR="00A3247A" w:rsidRDefault="00A3247A" w:rsidP="008E17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3AA" w:rsidRDefault="007323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3AA" w:rsidRDefault="007323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3AA" w:rsidRDefault="007323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C0EC2DE"/>
    <w:lvl w:ilvl="0">
      <w:start w:val="1"/>
      <w:numFmt w:val="decimal"/>
      <w:lvlText w:val="%1."/>
      <w:lvlJc w:val="left"/>
      <w:pPr>
        <w:tabs>
          <w:tab w:val="num" w:pos="1492"/>
        </w:tabs>
        <w:ind w:left="1492" w:hanging="360"/>
      </w:pPr>
    </w:lvl>
  </w:abstractNum>
  <w:abstractNum w:abstractNumId="1">
    <w:nsid w:val="FFFFFF7D"/>
    <w:multiLevelType w:val="singleLevel"/>
    <w:tmpl w:val="6D8057A2"/>
    <w:lvl w:ilvl="0">
      <w:start w:val="1"/>
      <w:numFmt w:val="decimal"/>
      <w:lvlText w:val="%1."/>
      <w:lvlJc w:val="left"/>
      <w:pPr>
        <w:tabs>
          <w:tab w:val="num" w:pos="1209"/>
        </w:tabs>
        <w:ind w:left="1209" w:hanging="360"/>
      </w:pPr>
    </w:lvl>
  </w:abstractNum>
  <w:abstractNum w:abstractNumId="2">
    <w:nsid w:val="FFFFFF7E"/>
    <w:multiLevelType w:val="singleLevel"/>
    <w:tmpl w:val="39D4CAE0"/>
    <w:lvl w:ilvl="0">
      <w:start w:val="1"/>
      <w:numFmt w:val="decimal"/>
      <w:lvlText w:val="%1."/>
      <w:lvlJc w:val="left"/>
      <w:pPr>
        <w:tabs>
          <w:tab w:val="num" w:pos="926"/>
        </w:tabs>
        <w:ind w:left="926" w:hanging="360"/>
      </w:pPr>
    </w:lvl>
  </w:abstractNum>
  <w:abstractNum w:abstractNumId="3">
    <w:nsid w:val="FFFFFF7F"/>
    <w:multiLevelType w:val="singleLevel"/>
    <w:tmpl w:val="E7C02DA4"/>
    <w:lvl w:ilvl="0">
      <w:start w:val="1"/>
      <w:numFmt w:val="decimal"/>
      <w:lvlText w:val="%1."/>
      <w:lvlJc w:val="left"/>
      <w:pPr>
        <w:tabs>
          <w:tab w:val="num" w:pos="643"/>
        </w:tabs>
        <w:ind w:left="643" w:hanging="360"/>
      </w:pPr>
    </w:lvl>
  </w:abstractNum>
  <w:abstractNum w:abstractNumId="4">
    <w:nsid w:val="FFFFFF80"/>
    <w:multiLevelType w:val="singleLevel"/>
    <w:tmpl w:val="1738407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A88BA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A2606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84C155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ADA479E"/>
    <w:lvl w:ilvl="0">
      <w:start w:val="1"/>
      <w:numFmt w:val="decimal"/>
      <w:lvlText w:val="%1."/>
      <w:lvlJc w:val="left"/>
      <w:pPr>
        <w:tabs>
          <w:tab w:val="num" w:pos="360"/>
        </w:tabs>
        <w:ind w:left="360" w:hanging="360"/>
      </w:pPr>
    </w:lvl>
  </w:abstractNum>
  <w:abstractNum w:abstractNumId="9">
    <w:nsid w:val="FFFFFF89"/>
    <w:multiLevelType w:val="singleLevel"/>
    <w:tmpl w:val="9E9C4520"/>
    <w:lvl w:ilvl="0">
      <w:start w:val="1"/>
      <w:numFmt w:val="bullet"/>
      <w:lvlText w:val=""/>
      <w:lvlJc w:val="left"/>
      <w:pPr>
        <w:tabs>
          <w:tab w:val="num" w:pos="360"/>
        </w:tabs>
        <w:ind w:left="360" w:hanging="360"/>
      </w:pPr>
      <w:rPr>
        <w:rFonts w:ascii="Symbol" w:hAnsi="Symbol" w:hint="default"/>
      </w:rPr>
    </w:lvl>
  </w:abstractNum>
  <w:abstractNum w:abstractNumId="1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comments" w:enforcement="1"/>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47A"/>
    <w:rsid w:val="000136AF"/>
    <w:rsid w:val="00022B7E"/>
    <w:rsid w:val="000263B2"/>
    <w:rsid w:val="00036B0B"/>
    <w:rsid w:val="00056743"/>
    <w:rsid w:val="000614BF"/>
    <w:rsid w:val="000A0750"/>
    <w:rsid w:val="000C39D1"/>
    <w:rsid w:val="000C604C"/>
    <w:rsid w:val="000D05EF"/>
    <w:rsid w:val="00103BB0"/>
    <w:rsid w:val="0010745C"/>
    <w:rsid w:val="0015237B"/>
    <w:rsid w:val="00160C8D"/>
    <w:rsid w:val="00162CA1"/>
    <w:rsid w:val="00166C2F"/>
    <w:rsid w:val="001939E1"/>
    <w:rsid w:val="00195382"/>
    <w:rsid w:val="001C69C4"/>
    <w:rsid w:val="001E3590"/>
    <w:rsid w:val="001E7407"/>
    <w:rsid w:val="00253D1B"/>
    <w:rsid w:val="00295FBA"/>
    <w:rsid w:val="002970D7"/>
    <w:rsid w:val="00297ECB"/>
    <w:rsid w:val="002A7E19"/>
    <w:rsid w:val="002D043A"/>
    <w:rsid w:val="002D6A8E"/>
    <w:rsid w:val="00311448"/>
    <w:rsid w:val="00352B0F"/>
    <w:rsid w:val="00360FB0"/>
    <w:rsid w:val="003B5735"/>
    <w:rsid w:val="003D0BFE"/>
    <w:rsid w:val="003D5700"/>
    <w:rsid w:val="003D6F8A"/>
    <w:rsid w:val="003E4160"/>
    <w:rsid w:val="004116CD"/>
    <w:rsid w:val="00424CA9"/>
    <w:rsid w:val="0044291A"/>
    <w:rsid w:val="0045034F"/>
    <w:rsid w:val="004560FB"/>
    <w:rsid w:val="004653F8"/>
    <w:rsid w:val="00496F97"/>
    <w:rsid w:val="00516B8D"/>
    <w:rsid w:val="005327A0"/>
    <w:rsid w:val="00537FBC"/>
    <w:rsid w:val="00584811"/>
    <w:rsid w:val="00594161"/>
    <w:rsid w:val="00594749"/>
    <w:rsid w:val="00600219"/>
    <w:rsid w:val="006207A3"/>
    <w:rsid w:val="006279B8"/>
    <w:rsid w:val="00677CC2"/>
    <w:rsid w:val="00680F77"/>
    <w:rsid w:val="0069207B"/>
    <w:rsid w:val="006A282C"/>
    <w:rsid w:val="006C7F8C"/>
    <w:rsid w:val="006D77BA"/>
    <w:rsid w:val="006E2105"/>
    <w:rsid w:val="006E2E9F"/>
    <w:rsid w:val="006F567C"/>
    <w:rsid w:val="00704A73"/>
    <w:rsid w:val="007276BC"/>
    <w:rsid w:val="00731E00"/>
    <w:rsid w:val="007323AA"/>
    <w:rsid w:val="00733990"/>
    <w:rsid w:val="00755A1A"/>
    <w:rsid w:val="00766393"/>
    <w:rsid w:val="007715C9"/>
    <w:rsid w:val="007736E7"/>
    <w:rsid w:val="00774EDD"/>
    <w:rsid w:val="00775577"/>
    <w:rsid w:val="007757EC"/>
    <w:rsid w:val="007E4FAD"/>
    <w:rsid w:val="008006B2"/>
    <w:rsid w:val="0081411E"/>
    <w:rsid w:val="00856A31"/>
    <w:rsid w:val="00870DCE"/>
    <w:rsid w:val="008754D0"/>
    <w:rsid w:val="00884411"/>
    <w:rsid w:val="008A40EB"/>
    <w:rsid w:val="008C52DB"/>
    <w:rsid w:val="008E17F3"/>
    <w:rsid w:val="008E3B8C"/>
    <w:rsid w:val="00933288"/>
    <w:rsid w:val="0094622F"/>
    <w:rsid w:val="00946CF4"/>
    <w:rsid w:val="0098638B"/>
    <w:rsid w:val="00992724"/>
    <w:rsid w:val="009F5866"/>
    <w:rsid w:val="00A231E2"/>
    <w:rsid w:val="00A3247A"/>
    <w:rsid w:val="00A44CE4"/>
    <w:rsid w:val="00A64912"/>
    <w:rsid w:val="00A70A74"/>
    <w:rsid w:val="00A91B5C"/>
    <w:rsid w:val="00AD5641"/>
    <w:rsid w:val="00B30B4D"/>
    <w:rsid w:val="00B33B3C"/>
    <w:rsid w:val="00B47EDA"/>
    <w:rsid w:val="00B54C71"/>
    <w:rsid w:val="00BE719A"/>
    <w:rsid w:val="00BE720A"/>
    <w:rsid w:val="00BE7458"/>
    <w:rsid w:val="00C42158"/>
    <w:rsid w:val="00C42BF8"/>
    <w:rsid w:val="00C50043"/>
    <w:rsid w:val="00C61CDD"/>
    <w:rsid w:val="00C7573B"/>
    <w:rsid w:val="00C83868"/>
    <w:rsid w:val="00CB3D6B"/>
    <w:rsid w:val="00CB48D8"/>
    <w:rsid w:val="00CF0BB2"/>
    <w:rsid w:val="00D1098E"/>
    <w:rsid w:val="00D13441"/>
    <w:rsid w:val="00D34D2D"/>
    <w:rsid w:val="00D70DFB"/>
    <w:rsid w:val="00D766DF"/>
    <w:rsid w:val="00DB3CFE"/>
    <w:rsid w:val="00DC6094"/>
    <w:rsid w:val="00DE6168"/>
    <w:rsid w:val="00DE7073"/>
    <w:rsid w:val="00E27153"/>
    <w:rsid w:val="00E74DC7"/>
    <w:rsid w:val="00ED0C49"/>
    <w:rsid w:val="00EF2E3A"/>
    <w:rsid w:val="00F00715"/>
    <w:rsid w:val="00F04811"/>
    <w:rsid w:val="00F078DC"/>
    <w:rsid w:val="00F23E5F"/>
    <w:rsid w:val="00F51269"/>
    <w:rsid w:val="00F5390C"/>
    <w:rsid w:val="00F701C7"/>
    <w:rsid w:val="00F93870"/>
    <w:rsid w:val="00FE495E"/>
    <w:rsid w:val="00FF09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numbering" w:customStyle="1" w:styleId="OPCBodyList1">
    <w:name w:val="OPCBodyList1"/>
    <w:uiPriority w:val="99"/>
    <w:rsid w:val="00A3247A"/>
  </w:style>
  <w:style w:type="numbering" w:customStyle="1" w:styleId="OPCBodyList2">
    <w:name w:val="OPCBodyList2"/>
    <w:uiPriority w:val="99"/>
    <w:rsid w:val="00A324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numbering" w:customStyle="1" w:styleId="OPCBodyList1">
    <w:name w:val="OPCBodyList1"/>
    <w:uiPriority w:val="99"/>
    <w:rsid w:val="00A3247A"/>
  </w:style>
  <w:style w:type="numbering" w:customStyle="1" w:styleId="OPCBodyList2">
    <w:name w:val="OPCBodyList2"/>
    <w:uiPriority w:val="99"/>
    <w:rsid w:val="00A32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Sundry\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Sundry.dotx</Template>
  <TotalTime>0</TotalTime>
  <Pages>5</Pages>
  <Words>1317</Words>
  <Characters>7632</Characters>
  <Application>Microsoft Office Word</Application>
  <DocSecurity>12</DocSecurity>
  <Lines>318</Lines>
  <Paragraphs>102</Paragraphs>
  <ScaleCrop>false</ScaleCrop>
  <HeadingPairs>
    <vt:vector size="2" baseType="variant">
      <vt:variant>
        <vt:lpstr>Title</vt:lpstr>
      </vt:variant>
      <vt:variant>
        <vt:i4>1</vt:i4>
      </vt:variant>
    </vt:vector>
  </HeadingPairs>
  <TitlesOfParts>
    <vt:vector size="1" baseType="lpstr">
      <vt:lpstr>OPC's Corporate Plan</vt:lpstr>
    </vt:vector>
  </TitlesOfParts>
  <Company>Office of Parliamentary Counsel</Company>
  <LinksUpToDate>false</LinksUpToDate>
  <CharactersWithSpaces>8847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OPC's Corporate Plan</dc:title>
  <dc:creator>mcneillys</dc:creator>
  <cp:lastModifiedBy>Andrew Newbery</cp:lastModifiedBy>
  <cp:revision>2</cp:revision>
  <cp:lastPrinted>2016-07-14T23:55:00Z</cp:lastPrinted>
  <dcterms:created xsi:type="dcterms:W3CDTF">2017-08-29T00:09:00Z</dcterms:created>
  <dcterms:modified xsi:type="dcterms:W3CDTF">2017-08-29T00:09:00Z</dcterms:modified>
  <cp:category>Other - Final for publishing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ies>
</file>