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9.xml" ContentType="application/vnd.openxmlformats-officedocument.wordprocessingml.header+xml"/>
  <Override PartName="/word/footer3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54F" w:rsidRDefault="00CB554F">
      <w:pPr>
        <w:pStyle w:val="Blocks"/>
      </w:pPr>
      <w:bookmarkStart w:id="0" w:name="_GoBack"/>
      <w:bookmarkEnd w:id="0"/>
    </w:p>
    <w:p w:rsidR="00885363" w:rsidRDefault="00885363">
      <w:pPr>
        <w:pStyle w:val="Blocks"/>
      </w:pPr>
    </w:p>
    <w:p w:rsidR="00CB554F" w:rsidRDefault="00CB554F">
      <w:pPr>
        <w:pStyle w:val="Blocks"/>
      </w:pPr>
    </w:p>
    <w:p w:rsidR="00CB554F" w:rsidRDefault="00CB554F">
      <w:pPr>
        <w:pStyle w:val="Blocks"/>
      </w:pPr>
    </w:p>
    <w:p w:rsidR="00CB554F" w:rsidRDefault="00E8400B">
      <w:pPr>
        <w:pStyle w:val="Blocks"/>
      </w:pPr>
      <w:r>
        <w:rPr>
          <w:b/>
          <w:noProof/>
          <w:sz w:val="44"/>
          <w:szCs w:val="44"/>
        </w:rPr>
        <w:drawing>
          <wp:anchor distT="0" distB="0" distL="114300" distR="114300" simplePos="0" relativeHeight="251656192" behindDoc="0" locked="0" layoutInCell="0" allowOverlap="1" wp14:anchorId="6C8722CE" wp14:editId="174F2DBA">
            <wp:simplePos x="0" y="0"/>
            <wp:positionH relativeFrom="column">
              <wp:posOffset>-152400</wp:posOffset>
            </wp:positionH>
            <wp:positionV relativeFrom="paragraph">
              <wp:posOffset>87630</wp:posOffset>
            </wp:positionV>
            <wp:extent cx="3962400" cy="999490"/>
            <wp:effectExtent l="0" t="0" r="0" b="0"/>
            <wp:wrapNone/>
            <wp:docPr id="42" name="Picture 6" descr="O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C_inline"/>
                    <pic:cNvPicPr>
                      <a:picLocks noChangeAspect="1" noChangeArrowheads="1"/>
                    </pic:cNvPicPr>
                  </pic:nvPicPr>
                  <pic:blipFill>
                    <a:blip r:embed="rId9" cstate="print"/>
                    <a:srcRect/>
                    <a:stretch>
                      <a:fillRect/>
                    </a:stretch>
                  </pic:blipFill>
                  <pic:spPr bwMode="auto">
                    <a:xfrm>
                      <a:off x="0" y="0"/>
                      <a:ext cx="3962400" cy="999490"/>
                    </a:xfrm>
                    <a:prstGeom prst="rect">
                      <a:avLst/>
                    </a:prstGeom>
                    <a:noFill/>
                    <a:ln w="9525">
                      <a:noFill/>
                      <a:miter lim="800000"/>
                      <a:headEnd/>
                      <a:tailEnd/>
                    </a:ln>
                  </pic:spPr>
                </pic:pic>
              </a:graphicData>
            </a:graphic>
          </wp:anchor>
        </w:drawing>
      </w:r>
    </w:p>
    <w:p w:rsidR="00CB554F" w:rsidRDefault="00CB554F">
      <w:pPr>
        <w:pStyle w:val="Blocks"/>
      </w:pPr>
    </w:p>
    <w:p w:rsidR="00CB554F" w:rsidRDefault="00CB554F">
      <w:pPr>
        <w:pStyle w:val="Blocks"/>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CB554F">
      <w:pPr>
        <w:rPr>
          <w:b/>
          <w:sz w:val="44"/>
          <w:szCs w:val="44"/>
        </w:rPr>
      </w:pPr>
    </w:p>
    <w:p w:rsidR="00CB554F" w:rsidRDefault="00015835">
      <w:pPr>
        <w:pStyle w:val="Head1"/>
      </w:pPr>
      <w:r>
        <w:t>Annual Report 20</w:t>
      </w:r>
      <w:r w:rsidR="002A5F8D">
        <w:t>1</w:t>
      </w:r>
      <w:r w:rsidR="00017656">
        <w:t>6</w:t>
      </w:r>
      <w:r w:rsidR="00CB554F">
        <w:noBreakHyphen/>
        <w:t>20</w:t>
      </w:r>
      <w:r w:rsidR="00531DE8">
        <w:t>1</w:t>
      </w:r>
      <w:r w:rsidR="00017656">
        <w:t>7</w:t>
      </w:r>
    </w:p>
    <w:p w:rsidR="00322375" w:rsidRPr="00322375" w:rsidRDefault="00322375" w:rsidP="00322375">
      <w:pPr>
        <w:sectPr w:rsidR="00322375" w:rsidRPr="00322375">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134" w:right="2410" w:bottom="4253" w:left="2410" w:header="510" w:footer="3402" w:gutter="0"/>
          <w:pgNumType w:start="1"/>
          <w:cols w:space="709"/>
          <w:docGrid w:linePitch="326"/>
        </w:sectPr>
      </w:pPr>
    </w:p>
    <w:p w:rsidR="00CB554F" w:rsidRDefault="00CB554F" w:rsidP="00322375">
      <w:pPr>
        <w:pStyle w:val="PageBreak"/>
      </w:pPr>
      <w:r>
        <w:lastRenderedPageBreak/>
        <w:br w:type="page"/>
      </w:r>
    </w:p>
    <w:p w:rsidR="00CB554F" w:rsidRDefault="00CB554F">
      <w:pPr>
        <w:pStyle w:val="Body"/>
      </w:pPr>
    </w:p>
    <w:p w:rsidR="00CB554F" w:rsidRDefault="00CB554F">
      <w:pPr>
        <w:pStyle w:val="Body"/>
      </w:pPr>
      <w:r>
        <w:t>ISSN 1034-3202</w:t>
      </w:r>
    </w:p>
    <w:p w:rsidR="00CB554F" w:rsidRDefault="00CB554F">
      <w:pPr>
        <w:pStyle w:val="Body"/>
      </w:pPr>
    </w:p>
    <w:p w:rsidR="00CB554F" w:rsidRDefault="00CB554F">
      <w:pPr>
        <w:pStyle w:val="Body"/>
      </w:pPr>
    </w:p>
    <w:p w:rsidR="00821ED2" w:rsidRDefault="00821ED2" w:rsidP="00821ED2">
      <w:pPr>
        <w:pStyle w:val="NormalWeb"/>
        <w:rPr>
          <w:rFonts w:ascii="Arial" w:hAnsi="Arial" w:cs="Arial"/>
          <w:sz w:val="20"/>
          <w:szCs w:val="20"/>
        </w:rPr>
      </w:pPr>
      <w:r w:rsidRPr="00821ED2">
        <w:rPr>
          <w:rFonts w:ascii="Arial" w:hAnsi="Arial" w:cs="Arial"/>
          <w:sz w:val="20"/>
          <w:szCs w:val="20"/>
        </w:rPr>
        <w:t>With the exception of the Comm</w:t>
      </w:r>
      <w:r w:rsidR="00211BA1">
        <w:rPr>
          <w:rFonts w:ascii="Arial" w:hAnsi="Arial" w:cs="Arial"/>
          <w:sz w:val="20"/>
          <w:szCs w:val="20"/>
        </w:rPr>
        <w:t xml:space="preserve">onwealth Coat of Arms and where </w:t>
      </w:r>
      <w:r w:rsidRPr="00821ED2">
        <w:rPr>
          <w:rFonts w:ascii="Arial" w:hAnsi="Arial" w:cs="Arial"/>
          <w:sz w:val="20"/>
          <w:szCs w:val="20"/>
        </w:rPr>
        <w:t>otherwise noted, all material presented in this publication is provided under a Creative Commons Attr</w:t>
      </w:r>
      <w:r w:rsidR="003C39D9">
        <w:rPr>
          <w:rFonts w:ascii="Arial" w:hAnsi="Arial" w:cs="Arial"/>
          <w:sz w:val="20"/>
          <w:szCs w:val="20"/>
        </w:rPr>
        <w:t>ibution 2.5 Australia licence.</w:t>
      </w:r>
    </w:p>
    <w:p w:rsidR="00821ED2" w:rsidRPr="00821ED2" w:rsidRDefault="00821ED2" w:rsidP="00821ED2">
      <w:pPr>
        <w:pStyle w:val="NormalWeb"/>
        <w:rPr>
          <w:rFonts w:ascii="Arial" w:hAnsi="Arial" w:cs="Arial"/>
          <w:sz w:val="20"/>
          <w:szCs w:val="20"/>
        </w:rPr>
      </w:pPr>
    </w:p>
    <w:p w:rsidR="00821ED2" w:rsidRDefault="00821ED2" w:rsidP="00821ED2">
      <w:pPr>
        <w:pStyle w:val="NormalWeb"/>
        <w:rPr>
          <w:rFonts w:ascii="Arial" w:hAnsi="Arial" w:cs="Arial"/>
          <w:sz w:val="20"/>
          <w:szCs w:val="20"/>
        </w:rPr>
      </w:pPr>
      <w:r w:rsidRPr="00821ED2">
        <w:rPr>
          <w:rFonts w:ascii="Arial" w:hAnsi="Arial" w:cs="Arial"/>
          <w:sz w:val="20"/>
          <w:szCs w:val="20"/>
        </w:rPr>
        <w:t>The details of the relevant licence conditions are available on the Creative Commons website (http://creativecommons.o</w:t>
      </w:r>
      <w:r w:rsidR="003C39D9">
        <w:rPr>
          <w:rFonts w:ascii="Arial" w:hAnsi="Arial" w:cs="Arial"/>
          <w:sz w:val="20"/>
          <w:szCs w:val="20"/>
        </w:rPr>
        <w:t>rg/licenses/by/2.5/au/deed.en).</w:t>
      </w:r>
    </w:p>
    <w:p w:rsidR="00821ED2" w:rsidRPr="00821ED2" w:rsidRDefault="00821ED2" w:rsidP="00821ED2">
      <w:pPr>
        <w:pStyle w:val="NormalWeb"/>
        <w:rPr>
          <w:rFonts w:ascii="Arial" w:hAnsi="Arial" w:cs="Arial"/>
          <w:sz w:val="20"/>
          <w:szCs w:val="20"/>
        </w:rPr>
      </w:pPr>
    </w:p>
    <w:p w:rsidR="00821ED2" w:rsidRPr="00821ED2" w:rsidRDefault="00821ED2" w:rsidP="00821ED2">
      <w:pPr>
        <w:pStyle w:val="NormalWeb"/>
        <w:rPr>
          <w:rFonts w:ascii="Arial" w:hAnsi="Arial" w:cs="Arial"/>
          <w:sz w:val="20"/>
          <w:szCs w:val="20"/>
        </w:rPr>
      </w:pPr>
      <w:r w:rsidRPr="00821ED2">
        <w:rPr>
          <w:rFonts w:ascii="Arial" w:hAnsi="Arial" w:cs="Arial"/>
          <w:sz w:val="20"/>
          <w:szCs w:val="20"/>
        </w:rPr>
        <w:t>Content from this publication should be attributed to the Australian Office of Parliamentary Counsel.</w:t>
      </w:r>
    </w:p>
    <w:p w:rsidR="00CB554F" w:rsidRDefault="00CB554F">
      <w:pPr>
        <w:pStyle w:val="Body"/>
      </w:pPr>
    </w:p>
    <w:p w:rsidR="00CB554F" w:rsidRDefault="00CB554F">
      <w:pPr>
        <w:pStyle w:val="Body"/>
      </w:pPr>
    </w:p>
    <w:p w:rsidR="00CB554F" w:rsidRDefault="00CB554F">
      <w:pPr>
        <w:pStyle w:val="Body"/>
      </w:pPr>
      <w:r>
        <w:t xml:space="preserve">Produced by </w:t>
      </w:r>
      <w:proofErr w:type="spellStart"/>
      <w:r>
        <w:t>Canprint</w:t>
      </w:r>
      <w:proofErr w:type="spellEnd"/>
      <w:r>
        <w:t xml:space="preserve"> Communications Pty Ltd</w:t>
      </w:r>
    </w:p>
    <w:p w:rsidR="00C927E9" w:rsidRDefault="00CB554F">
      <w:pPr>
        <w:pStyle w:val="Body"/>
        <w:spacing w:before="0" w:line="240" w:lineRule="auto"/>
      </w:pPr>
      <w:r>
        <w:br w:type="page"/>
      </w:r>
    </w:p>
    <w:p w:rsidR="00CB554F" w:rsidRDefault="0006683E" w:rsidP="00322CC3">
      <w:pPr>
        <w:pStyle w:val="Body"/>
        <w:spacing w:before="0" w:line="240" w:lineRule="auto"/>
        <w:ind w:left="-142"/>
      </w:pPr>
      <w:r>
        <w:rPr>
          <w:noProof/>
        </w:rPr>
        <w:lastRenderedPageBreak/>
        <w:drawing>
          <wp:inline distT="0" distB="0" distL="0" distR="0" wp14:anchorId="1B49F604" wp14:editId="4213CB7F">
            <wp:extent cx="5401340" cy="8756679"/>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6595" cy="8765199"/>
                    </a:xfrm>
                    <a:prstGeom prst="rect">
                      <a:avLst/>
                    </a:prstGeom>
                  </pic:spPr>
                </pic:pic>
              </a:graphicData>
            </a:graphic>
          </wp:inline>
        </w:drawing>
      </w:r>
    </w:p>
    <w:p w:rsidR="00CB554F" w:rsidRDefault="00CB554F" w:rsidP="00322CC3">
      <w:pPr>
        <w:pStyle w:val="Body"/>
        <w:spacing w:line="240" w:lineRule="auto"/>
        <w:sectPr w:rsidR="00CB554F">
          <w:headerReference w:type="even" r:id="rId17"/>
          <w:headerReference w:type="default" r:id="rId18"/>
          <w:footerReference w:type="even" r:id="rId19"/>
          <w:footerReference w:type="default" r:id="rId20"/>
          <w:type w:val="continuous"/>
          <w:pgSz w:w="11907" w:h="16839" w:code="9"/>
          <w:pgMar w:top="1134" w:right="2410" w:bottom="4253" w:left="2410" w:header="510" w:footer="3402" w:gutter="0"/>
          <w:pgNumType w:fmt="lowerRoman" w:start="1"/>
          <w:cols w:space="709"/>
          <w:docGrid w:linePitch="326"/>
        </w:sectPr>
      </w:pPr>
    </w:p>
    <w:p w:rsidR="00CB554F" w:rsidRDefault="00CB554F">
      <w:pPr>
        <w:pStyle w:val="Contents"/>
      </w:pPr>
      <w:r>
        <w:lastRenderedPageBreak/>
        <w:t>Contents</w:t>
      </w:r>
    </w:p>
    <w:p w:rsidR="007632CE" w:rsidRDefault="00D93245">
      <w:pPr>
        <w:pStyle w:val="TOC2"/>
        <w:rPr>
          <w:rFonts w:asciiTheme="minorHAnsi" w:eastAsiaTheme="minorEastAsia" w:hAnsiTheme="minorHAnsi" w:cstheme="minorBidi"/>
          <w:b w:val="0"/>
          <w:iCs w:val="0"/>
          <w:kern w:val="0"/>
          <w:sz w:val="22"/>
          <w:szCs w:val="22"/>
        </w:rPr>
      </w:pPr>
      <w:r w:rsidRPr="007632CE">
        <w:fldChar w:fldCharType="begin"/>
      </w:r>
      <w:r>
        <w:instrText xml:space="preserve"> TOC \o "2-</w:instrText>
      </w:r>
      <w:r w:rsidR="002E10D1">
        <w:instrText>3</w:instrText>
      </w:r>
      <w:r>
        <w:instrText xml:space="preserve">" </w:instrText>
      </w:r>
      <w:r w:rsidRPr="007632CE">
        <w:fldChar w:fldCharType="separate"/>
      </w:r>
      <w:r w:rsidR="007632CE">
        <w:t>First Parliamentary Counsel’s Review</w:t>
      </w:r>
      <w:r w:rsidR="007632CE" w:rsidRPr="007632CE">
        <w:rPr>
          <w:rFonts w:ascii="Times New Roman" w:hAnsi="Times New Roman" w:cs="Times New Roman"/>
          <w:b w:val="0"/>
          <w:sz w:val="20"/>
        </w:rPr>
        <w:tab/>
      </w:r>
      <w:r w:rsidR="007632CE" w:rsidRPr="007632CE">
        <w:rPr>
          <w:rFonts w:ascii="Times New Roman" w:hAnsi="Times New Roman" w:cs="Times New Roman"/>
          <w:b w:val="0"/>
          <w:sz w:val="20"/>
        </w:rPr>
        <w:fldChar w:fldCharType="begin"/>
      </w:r>
      <w:r w:rsidR="007632CE" w:rsidRPr="007632CE">
        <w:rPr>
          <w:rFonts w:ascii="Times New Roman" w:hAnsi="Times New Roman" w:cs="Times New Roman"/>
          <w:b w:val="0"/>
          <w:sz w:val="20"/>
        </w:rPr>
        <w:instrText xml:space="preserve"> PAGEREF _Toc492656438 \h </w:instrText>
      </w:r>
      <w:r w:rsidR="007632CE" w:rsidRPr="007632CE">
        <w:rPr>
          <w:rFonts w:ascii="Times New Roman" w:hAnsi="Times New Roman" w:cs="Times New Roman"/>
          <w:b w:val="0"/>
          <w:sz w:val="20"/>
        </w:rPr>
      </w:r>
      <w:r w:rsidR="007632CE" w:rsidRPr="007632CE">
        <w:rPr>
          <w:rFonts w:ascii="Times New Roman" w:hAnsi="Times New Roman" w:cs="Times New Roman"/>
          <w:b w:val="0"/>
          <w:sz w:val="20"/>
        </w:rPr>
        <w:fldChar w:fldCharType="separate"/>
      </w:r>
      <w:r w:rsidR="0067044F">
        <w:rPr>
          <w:rFonts w:ascii="Times New Roman" w:hAnsi="Times New Roman" w:cs="Times New Roman"/>
          <w:b w:val="0"/>
          <w:sz w:val="20"/>
        </w:rPr>
        <w:t>1</w:t>
      </w:r>
      <w:r w:rsidR="007632CE" w:rsidRPr="007632CE">
        <w:rPr>
          <w:rFonts w:ascii="Times New Roman" w:hAnsi="Times New Roman" w:cs="Times New Roman"/>
          <w:b w:val="0"/>
          <w:sz w:val="20"/>
        </w:rPr>
        <w:fldChar w:fldCharType="end"/>
      </w:r>
    </w:p>
    <w:p w:rsidR="007632CE" w:rsidRDefault="007632CE" w:rsidP="007632CE">
      <w:pPr>
        <w:pStyle w:val="TOC3"/>
        <w:ind w:left="425" w:firstLine="0"/>
        <w:rPr>
          <w:rFonts w:asciiTheme="minorHAnsi" w:eastAsiaTheme="minorEastAsia" w:hAnsiTheme="minorHAnsi" w:cstheme="minorBidi"/>
          <w:b w:val="0"/>
          <w:kern w:val="0"/>
          <w:sz w:val="22"/>
          <w:szCs w:val="22"/>
        </w:rPr>
      </w:pPr>
      <w:r>
        <w:t>Bills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_Toc492656439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w:t>
      </w:r>
      <w:r w:rsidRPr="007632CE">
        <w:rPr>
          <w:rFonts w:ascii="Times New Roman" w:hAnsi="Times New Roman" w:cs="Times New Roman"/>
          <w:b w:val="0"/>
          <w:sz w:val="20"/>
        </w:rPr>
        <w:fldChar w:fldCharType="end"/>
      </w:r>
    </w:p>
    <w:p w:rsidR="007632CE" w:rsidRDefault="007632CE" w:rsidP="007632CE">
      <w:pPr>
        <w:pStyle w:val="TOC3"/>
        <w:ind w:left="425" w:firstLine="0"/>
        <w:rPr>
          <w:rFonts w:asciiTheme="minorHAnsi" w:eastAsiaTheme="minorEastAsia" w:hAnsiTheme="minorHAnsi" w:cstheme="minorBidi"/>
          <w:b w:val="0"/>
          <w:kern w:val="0"/>
          <w:sz w:val="22"/>
          <w:szCs w:val="22"/>
        </w:rPr>
      </w:pPr>
      <w:r>
        <w:t>Instruments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_Toc492656440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2</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Sunsetting instruments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_Toc492656441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2</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Review of Sunsetting</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_Toc492656442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2</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Encouraging high drafting standards for legislative instruments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_Toc492656443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3</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Drafting resources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_Toc492656444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3</w:t>
      </w:r>
      <w:r w:rsidRPr="007632CE">
        <w:rPr>
          <w:rFonts w:ascii="Times New Roman" w:hAnsi="Times New Roman" w:cs="Times New Roman"/>
          <w:b w:val="0"/>
          <w:sz w:val="20"/>
        </w:rPr>
        <w:fldChar w:fldCharType="end"/>
      </w:r>
    </w:p>
    <w:p w:rsidR="007632CE" w:rsidRDefault="007632CE" w:rsidP="007632CE">
      <w:pPr>
        <w:pStyle w:val="TOC3"/>
        <w:ind w:left="425" w:firstLine="0"/>
        <w:rPr>
          <w:rFonts w:asciiTheme="minorHAnsi" w:eastAsiaTheme="minorEastAsia" w:hAnsiTheme="minorHAnsi" w:cstheme="minorBidi"/>
          <w:b w:val="0"/>
          <w:kern w:val="0"/>
          <w:sz w:val="22"/>
          <w:szCs w:val="22"/>
        </w:rPr>
      </w:pPr>
      <w:r>
        <w:t>Publications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_Toc492656445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3</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Documentation and training</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_Toc492656446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Financial performance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_Toc492656447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Additional funding for Treasury drafting</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_Toc492656448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5</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Liaison outside OPC</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_Toc492656449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5</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Secondment to Scotland</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_Toc492656450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CALC Conference and Presidency</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_Toc492656451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Corporate Services support</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_Toc492656452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7</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Departure of Marina Farnan</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_Toc492656453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7</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Retirement of Paul Lanspeary</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_Toc492656454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8</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Placements in House and Senate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_Toc492656455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9</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Outlook for coming year</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_Toc492656456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9</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Chapter 1—Overview of OPC</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_Toc492656457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10</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Role and functions of OPC</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_Toc492656458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10</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Organisational structure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_Toc492656459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11</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Outcome and program structure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_Toc492656460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12</w:t>
      </w:r>
      <w:r w:rsidRPr="007632CE">
        <w:rPr>
          <w:rFonts w:ascii="Times New Roman" w:hAnsi="Times New Roman" w:cs="Times New Roman"/>
          <w:b w:val="0"/>
          <w:sz w:val="20"/>
        </w:rPr>
        <w:fldChar w:fldCharType="end"/>
      </w:r>
    </w:p>
    <w:p w:rsidR="007632CE" w:rsidRDefault="007632CE" w:rsidP="007632CE">
      <w:pPr>
        <w:pStyle w:val="TOC3"/>
        <w:ind w:left="425" w:firstLine="0"/>
        <w:rPr>
          <w:rFonts w:asciiTheme="minorHAnsi" w:eastAsiaTheme="minorEastAsia" w:hAnsiTheme="minorHAnsi" w:cstheme="minorBidi"/>
          <w:b w:val="0"/>
          <w:kern w:val="0"/>
          <w:sz w:val="22"/>
          <w:szCs w:val="22"/>
        </w:rPr>
      </w:pPr>
      <w:r>
        <w:t>Purpose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_Toc492656461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12</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Chapter 2—Annual Performance Statement</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_Toc492656462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13</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Introductory statement</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_Toc492656463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13</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OPC’s purposes and results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_Toc492656464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13</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Analysis of performance against Purpose 1: Legislative Drafting</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_Toc492656465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15</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Analysis of performance against Purpose 2: Publication</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_Toc492656466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33</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Influences on OPC’s performance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_Toc492656467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37</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OPC’s financial performance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_Toc492656468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38</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Chapter 3—Management and accountability</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_Toc492656469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40</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Corporate governance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_Toc492656470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40</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Risk management and fraud control</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_Toc492656471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42</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lastRenderedPageBreak/>
        <w:t>Operational risks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_Toc492656472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43</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Maintenance of ethical standards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_Toc492656473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44</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SES remuneration</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_Toc492656474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45</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External scrutiny</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_Toc492656475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45</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Chapter 4—Management of human resources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_Toc492656476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46</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Survey of OPC staff</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_Toc492656477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46</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Management and development of human resources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_Toc492656478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48</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Workplace diversity</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_Toc492656479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53</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Work health and safety</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_Toc492656480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57</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Chapter 5—Purchasing and consultants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_Toc492656481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60</w:t>
      </w:r>
      <w:r w:rsidRPr="007632CE">
        <w:rPr>
          <w:rFonts w:ascii="Times New Roman" w:hAnsi="Times New Roman" w:cs="Times New Roman"/>
          <w:b w:val="0"/>
          <w:sz w:val="20"/>
        </w:rPr>
        <w:fldChar w:fldCharType="end"/>
      </w:r>
    </w:p>
    <w:p w:rsidR="007632CE" w:rsidRDefault="007632CE" w:rsidP="007632CE">
      <w:pPr>
        <w:pStyle w:val="TOC3"/>
        <w:ind w:left="425" w:firstLine="0"/>
        <w:rPr>
          <w:rFonts w:asciiTheme="minorHAnsi" w:eastAsiaTheme="minorEastAsia" w:hAnsiTheme="minorHAnsi" w:cstheme="minorBidi"/>
          <w:b w:val="0"/>
          <w:kern w:val="0"/>
          <w:sz w:val="22"/>
          <w:szCs w:val="22"/>
        </w:rPr>
      </w:pPr>
      <w:r>
        <w:t>Purchasing</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_Toc492656482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60</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Procurement initiatives to support small business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_Toc492656483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60</w:t>
      </w:r>
      <w:r w:rsidRPr="007632CE">
        <w:rPr>
          <w:rFonts w:ascii="Times New Roman" w:hAnsi="Times New Roman" w:cs="Times New Roman"/>
          <w:b w:val="0"/>
          <w:sz w:val="20"/>
        </w:rPr>
        <w:fldChar w:fldCharType="end"/>
      </w:r>
    </w:p>
    <w:p w:rsidR="007632CE" w:rsidRDefault="007632CE" w:rsidP="007632CE">
      <w:pPr>
        <w:pStyle w:val="TOC3"/>
        <w:ind w:left="425" w:firstLine="0"/>
        <w:rPr>
          <w:rFonts w:asciiTheme="minorHAnsi" w:eastAsiaTheme="minorEastAsia" w:hAnsiTheme="minorHAnsi" w:cstheme="minorBidi"/>
          <w:b w:val="0"/>
          <w:kern w:val="0"/>
          <w:sz w:val="22"/>
          <w:szCs w:val="22"/>
        </w:rPr>
      </w:pPr>
      <w:r>
        <w:t>Consultants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_Toc492656484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60</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Chapter 6—Miscellaneous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_Toc492656485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62</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Freedom of information</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_Toc492656486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62</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Advertising and market research etc.</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_Toc492656487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62</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Ecologically sustainable development and environmental performance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_Toc492656488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62</w:t>
      </w:r>
      <w:r w:rsidRPr="007632CE">
        <w:rPr>
          <w:rFonts w:ascii="Times New Roman" w:hAnsi="Times New Roman" w:cs="Times New Roman"/>
          <w:b w:val="0"/>
          <w:sz w:val="20"/>
        </w:rPr>
        <w:fldChar w:fldCharType="end"/>
      </w:r>
    </w:p>
    <w:p w:rsidR="007632CE" w:rsidRDefault="007632CE">
      <w:pPr>
        <w:pStyle w:val="TOC3"/>
        <w:rPr>
          <w:rFonts w:asciiTheme="minorHAnsi" w:eastAsiaTheme="minorEastAsia" w:hAnsiTheme="minorHAnsi" w:cstheme="minorBidi"/>
          <w:b w:val="0"/>
          <w:kern w:val="0"/>
          <w:sz w:val="22"/>
          <w:szCs w:val="22"/>
        </w:rPr>
      </w:pPr>
      <w:r>
        <w:t>Additional information</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_Toc492656489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62</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Appendix A—Entity resource statement and Expenses by outcome</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_Toc492656490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63</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Appendix B—Staffing statistics and salary ranges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_Toc492656491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65</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 xml:space="preserve">Appendix C—Reporting required by section 516A of the </w:t>
      </w:r>
      <w:r w:rsidRPr="00531E91">
        <w:rPr>
          <w:i/>
        </w:rPr>
        <w:t>Environment Protection and Biodiversity Conservation Act 1999</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_Toc492656492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68</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Appendix D—Financial Statements 2016-2017</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_Toc492656493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72</w:t>
      </w:r>
      <w:r w:rsidRPr="007632CE">
        <w:rPr>
          <w:rFonts w:ascii="Times New Roman" w:hAnsi="Times New Roman" w:cs="Times New Roman"/>
          <w:b w:val="0"/>
          <w:sz w:val="20"/>
        </w:rPr>
        <w:fldChar w:fldCharType="end"/>
      </w:r>
    </w:p>
    <w:p w:rsidR="007632CE" w:rsidRDefault="007632CE">
      <w:pPr>
        <w:pStyle w:val="TOC2"/>
        <w:rPr>
          <w:rFonts w:asciiTheme="minorHAnsi" w:eastAsiaTheme="minorEastAsia" w:hAnsiTheme="minorHAnsi" w:cstheme="minorBidi"/>
          <w:b w:val="0"/>
          <w:iCs w:val="0"/>
          <w:kern w:val="0"/>
          <w:sz w:val="22"/>
          <w:szCs w:val="22"/>
        </w:rPr>
      </w:pPr>
      <w:r>
        <w:t>Appendix E—List of requirements</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_Toc492656494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97</w:t>
      </w:r>
      <w:r w:rsidRPr="007632CE">
        <w:rPr>
          <w:rFonts w:ascii="Times New Roman" w:hAnsi="Times New Roman" w:cs="Times New Roman"/>
          <w:b w:val="0"/>
          <w:sz w:val="20"/>
        </w:rPr>
        <w:fldChar w:fldCharType="end"/>
      </w:r>
    </w:p>
    <w:p w:rsidR="007632CE" w:rsidRDefault="007632CE" w:rsidP="007632CE">
      <w:pPr>
        <w:pStyle w:val="TOC2"/>
        <w:ind w:left="0" w:firstLine="0"/>
        <w:rPr>
          <w:rFonts w:asciiTheme="minorHAnsi" w:eastAsiaTheme="minorEastAsia" w:hAnsiTheme="minorHAnsi" w:cstheme="minorBidi"/>
          <w:b w:val="0"/>
          <w:iCs w:val="0"/>
          <w:kern w:val="0"/>
          <w:sz w:val="22"/>
          <w:szCs w:val="22"/>
        </w:rPr>
      </w:pPr>
      <w:r>
        <w:t>Glossary</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_Toc492656495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104</w:t>
      </w:r>
      <w:r w:rsidRPr="007632CE">
        <w:rPr>
          <w:rFonts w:ascii="Times New Roman" w:hAnsi="Times New Roman" w:cs="Times New Roman"/>
          <w:b w:val="0"/>
          <w:sz w:val="20"/>
        </w:rPr>
        <w:fldChar w:fldCharType="end"/>
      </w:r>
    </w:p>
    <w:p w:rsidR="007632CE" w:rsidRPr="007632CE" w:rsidRDefault="007632CE" w:rsidP="007632CE">
      <w:pPr>
        <w:pStyle w:val="TOC2"/>
        <w:ind w:left="0" w:firstLine="0"/>
        <w:rPr>
          <w:rFonts w:ascii="Times New Roman" w:eastAsiaTheme="minorEastAsia" w:hAnsi="Times New Roman" w:cs="Times New Roman"/>
          <w:b w:val="0"/>
          <w:iCs w:val="0"/>
          <w:kern w:val="0"/>
          <w:sz w:val="20"/>
          <w:szCs w:val="22"/>
        </w:rPr>
      </w:pPr>
      <w:r>
        <w:t>Index</w:t>
      </w:r>
      <w:r w:rsidRPr="007632CE">
        <w:rPr>
          <w:rFonts w:ascii="Times New Roman" w:hAnsi="Times New Roman" w:cs="Times New Roman"/>
          <w:b w:val="0"/>
          <w:sz w:val="20"/>
        </w:rPr>
        <w:tab/>
      </w:r>
      <w:r w:rsidRPr="007632CE">
        <w:rPr>
          <w:rFonts w:ascii="Times New Roman" w:hAnsi="Times New Roman" w:cs="Times New Roman"/>
          <w:b w:val="0"/>
          <w:sz w:val="20"/>
        </w:rPr>
        <w:fldChar w:fldCharType="begin"/>
      </w:r>
      <w:r w:rsidRPr="007632CE">
        <w:rPr>
          <w:rFonts w:ascii="Times New Roman" w:hAnsi="Times New Roman" w:cs="Times New Roman"/>
          <w:b w:val="0"/>
          <w:sz w:val="20"/>
        </w:rPr>
        <w:instrText xml:space="preserve"> PAGEREF _Toc492656496 \h </w:instrText>
      </w:r>
      <w:r w:rsidRPr="007632CE">
        <w:rPr>
          <w:rFonts w:ascii="Times New Roman" w:hAnsi="Times New Roman" w:cs="Times New Roman"/>
          <w:b w:val="0"/>
          <w:sz w:val="20"/>
        </w:rPr>
      </w:r>
      <w:r w:rsidRPr="007632CE">
        <w:rPr>
          <w:rFonts w:ascii="Times New Roman" w:hAnsi="Times New Roman" w:cs="Times New Roman"/>
          <w:b w:val="0"/>
          <w:sz w:val="20"/>
        </w:rPr>
        <w:fldChar w:fldCharType="separate"/>
      </w:r>
      <w:r w:rsidR="0067044F">
        <w:rPr>
          <w:rFonts w:ascii="Times New Roman" w:hAnsi="Times New Roman" w:cs="Times New Roman"/>
          <w:b w:val="0"/>
          <w:sz w:val="20"/>
        </w:rPr>
        <w:t>106</w:t>
      </w:r>
      <w:r w:rsidRPr="007632CE">
        <w:rPr>
          <w:rFonts w:ascii="Times New Roman" w:hAnsi="Times New Roman" w:cs="Times New Roman"/>
          <w:b w:val="0"/>
          <w:sz w:val="20"/>
        </w:rPr>
        <w:fldChar w:fldCharType="end"/>
      </w:r>
    </w:p>
    <w:p w:rsidR="00CB554F" w:rsidRDefault="00D93245" w:rsidP="007632CE">
      <w:r w:rsidRPr="007632CE">
        <w:rPr>
          <w:sz w:val="20"/>
        </w:rPr>
        <w:fldChar w:fldCharType="end"/>
      </w:r>
    </w:p>
    <w:p w:rsidR="00D93245" w:rsidRPr="00322375" w:rsidRDefault="00D93245" w:rsidP="00FE6514">
      <w:pPr>
        <w:sectPr w:rsidR="00D93245" w:rsidRPr="00322375">
          <w:headerReference w:type="even" r:id="rId21"/>
          <w:headerReference w:type="default" r:id="rId22"/>
          <w:footerReference w:type="even" r:id="rId23"/>
          <w:footerReference w:type="default" r:id="rId24"/>
          <w:pgSz w:w="11907" w:h="16839" w:code="9"/>
          <w:pgMar w:top="1134" w:right="2410" w:bottom="4253" w:left="2410" w:header="510" w:footer="3402" w:gutter="0"/>
          <w:pgNumType w:fmt="lowerRoman" w:start="1"/>
          <w:cols w:space="709"/>
          <w:docGrid w:linePitch="326"/>
        </w:sectPr>
      </w:pPr>
    </w:p>
    <w:p w:rsidR="00CB554F" w:rsidRDefault="00CB554F">
      <w:pPr>
        <w:pStyle w:val="Head2"/>
        <w:sectPr w:rsidR="00CB554F">
          <w:headerReference w:type="even" r:id="rId25"/>
          <w:headerReference w:type="default" r:id="rId26"/>
          <w:footerReference w:type="even" r:id="rId27"/>
          <w:footerReference w:type="default" r:id="rId28"/>
          <w:type w:val="oddPage"/>
          <w:pgSz w:w="11907" w:h="16839" w:code="9"/>
          <w:pgMar w:top="1134" w:right="2410" w:bottom="4253" w:left="2410" w:header="510" w:footer="3402" w:gutter="0"/>
          <w:pgNumType w:start="1"/>
          <w:cols w:space="709"/>
          <w:docGrid w:linePitch="326"/>
        </w:sectPr>
      </w:pPr>
      <w:bookmarkStart w:id="1" w:name="_Toc492656438"/>
      <w:r>
        <w:lastRenderedPageBreak/>
        <w:t>First Parliamentary Counsel</w:t>
      </w:r>
      <w:r w:rsidR="003C39D9">
        <w:t>’</w:t>
      </w:r>
      <w:r>
        <w:t xml:space="preserve">s </w:t>
      </w:r>
      <w:r w:rsidR="00557DF0">
        <w:t>R</w:t>
      </w:r>
      <w:r>
        <w:t>eview</w:t>
      </w:r>
      <w:bookmarkEnd w:id="1"/>
    </w:p>
    <w:p w:rsidR="00CB554F" w:rsidRDefault="00CE15C5">
      <w:r>
        <w:rPr>
          <w:noProof/>
        </w:rPr>
        <w:lastRenderedPageBreak/>
        <w:drawing>
          <wp:inline distT="0" distB="0" distL="0" distR="0" wp14:anchorId="356A060B" wp14:editId="3F7692C9">
            <wp:extent cx="1990344" cy="2983992"/>
            <wp:effectExtent l="0" t="0" r="0" b="6985"/>
            <wp:docPr id="2" name="Picture 2" descr="Photo of F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 - resis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0344" cy="2983992"/>
                    </a:xfrm>
                    <a:prstGeom prst="rect">
                      <a:avLst/>
                    </a:prstGeom>
                  </pic:spPr>
                </pic:pic>
              </a:graphicData>
            </a:graphic>
          </wp:inline>
        </w:drawing>
      </w:r>
    </w:p>
    <w:p w:rsidR="00DF7C4F" w:rsidRPr="00EF7F1C" w:rsidRDefault="00DF7C4F" w:rsidP="00DF7C4F">
      <w:pPr>
        <w:pStyle w:val="BodyNum"/>
      </w:pPr>
      <w:bookmarkStart w:id="2" w:name="_Ref144888830"/>
      <w:r w:rsidRPr="002A315C">
        <w:t xml:space="preserve">The year has been </w:t>
      </w:r>
      <w:r w:rsidR="00326EEB">
        <w:t>very successful</w:t>
      </w:r>
      <w:r>
        <w:t xml:space="preserve"> </w:t>
      </w:r>
      <w:r w:rsidRPr="002A315C">
        <w:t xml:space="preserve">for the Office of </w:t>
      </w:r>
      <w:r w:rsidRPr="00EF7F1C">
        <w:t>Parliamentary Counsel (</w:t>
      </w:r>
      <w:r w:rsidRPr="00EF7F1C">
        <w:rPr>
          <w:b/>
          <w:i/>
        </w:rPr>
        <w:t>OPC</w:t>
      </w:r>
      <w:r w:rsidRPr="00EF7F1C">
        <w:t>).</w:t>
      </w:r>
    </w:p>
    <w:p w:rsidR="00EF7F1C" w:rsidRPr="00EF7F1C" w:rsidRDefault="00EF7F1C" w:rsidP="00EF7F1C">
      <w:pPr>
        <w:pStyle w:val="Head3"/>
      </w:pPr>
      <w:bookmarkStart w:id="3" w:name="_Toc492656439"/>
      <w:bookmarkEnd w:id="2"/>
      <w:r w:rsidRPr="00EF7F1C">
        <w:t>Bills</w:t>
      </w:r>
      <w:bookmarkEnd w:id="3"/>
    </w:p>
    <w:p w:rsidR="00DF7C4F" w:rsidRPr="00EF7F1C" w:rsidRDefault="00DF7C4F" w:rsidP="00DF7C4F">
      <w:pPr>
        <w:pStyle w:val="BodyNum"/>
      </w:pPr>
      <w:r w:rsidRPr="00EF7F1C">
        <w:t xml:space="preserve">Over the year </w:t>
      </w:r>
      <w:r w:rsidR="00F422D4">
        <w:t>21</w:t>
      </w:r>
      <w:r w:rsidR="00172639">
        <w:t>7</w:t>
      </w:r>
      <w:r w:rsidRPr="00EF7F1C">
        <w:t xml:space="preserve"> Bills, totalling </w:t>
      </w:r>
      <w:r w:rsidR="00F422D4">
        <w:t>7,638</w:t>
      </w:r>
      <w:r w:rsidRPr="00EF7F1C">
        <w:t xml:space="preserve"> pages, were introduced. These figures </w:t>
      </w:r>
      <w:r w:rsidR="005167ED">
        <w:t>are</w:t>
      </w:r>
      <w:r w:rsidR="005873B7">
        <w:t xml:space="preserve"> a substantial increase over recent years.</w:t>
      </w:r>
    </w:p>
    <w:p w:rsidR="00E344F8" w:rsidRDefault="00DF7C4F" w:rsidP="00E344F8">
      <w:pPr>
        <w:pStyle w:val="BodyNum"/>
      </w:pPr>
      <w:r w:rsidRPr="00EF7F1C">
        <w:t xml:space="preserve">Major legislation </w:t>
      </w:r>
      <w:r w:rsidR="00E344F8">
        <w:t xml:space="preserve">that </w:t>
      </w:r>
      <w:r w:rsidRPr="00EF7F1C">
        <w:t>was introduced</w:t>
      </w:r>
      <w:r w:rsidR="00E344F8">
        <w:t xml:space="preserve"> included: </w:t>
      </w:r>
    </w:p>
    <w:p w:rsidR="00D65D9D" w:rsidRDefault="006863FB" w:rsidP="00D65D9D">
      <w:pPr>
        <w:pStyle w:val="AnnualReportBullet"/>
        <w:numPr>
          <w:ilvl w:val="0"/>
          <w:numId w:val="30"/>
        </w:numPr>
      </w:pPr>
      <w:r>
        <w:t>education funding legislation;</w:t>
      </w:r>
    </w:p>
    <w:p w:rsidR="006863FB" w:rsidRDefault="006863FB" w:rsidP="00D65D9D">
      <w:pPr>
        <w:pStyle w:val="AnnualReportBullet"/>
        <w:numPr>
          <w:ilvl w:val="0"/>
          <w:numId w:val="30"/>
        </w:numPr>
      </w:pPr>
      <w:r>
        <w:t>the reform of the Parliamentary entitlements scheme;</w:t>
      </w:r>
    </w:p>
    <w:p w:rsidR="006863FB" w:rsidRDefault="006863FB" w:rsidP="00D65D9D">
      <w:pPr>
        <w:pStyle w:val="AnnualReportBullet"/>
        <w:numPr>
          <w:ilvl w:val="0"/>
          <w:numId w:val="30"/>
        </w:numPr>
      </w:pPr>
      <w:r>
        <w:t>the introduction of VET student loans;</w:t>
      </w:r>
    </w:p>
    <w:p w:rsidR="0014749F" w:rsidRDefault="0014749F" w:rsidP="00D65D9D">
      <w:pPr>
        <w:pStyle w:val="AnnualReportBullet"/>
        <w:numPr>
          <w:ilvl w:val="0"/>
          <w:numId w:val="30"/>
        </w:numPr>
      </w:pPr>
      <w:r>
        <w:lastRenderedPageBreak/>
        <w:t>the telecommunications reform package;</w:t>
      </w:r>
    </w:p>
    <w:p w:rsidR="0014749F" w:rsidRDefault="0014749F" w:rsidP="00D65D9D">
      <w:pPr>
        <w:pStyle w:val="AnnualReportBullet"/>
        <w:numPr>
          <w:ilvl w:val="0"/>
          <w:numId w:val="30"/>
        </w:numPr>
      </w:pPr>
      <w:r>
        <w:t xml:space="preserve">new legislation to regulate </w:t>
      </w:r>
      <w:proofErr w:type="spellStart"/>
      <w:r>
        <w:t>radiocommunications</w:t>
      </w:r>
      <w:proofErr w:type="spellEnd"/>
      <w:r>
        <w:t>;</w:t>
      </w:r>
    </w:p>
    <w:p w:rsidR="0014749F" w:rsidRDefault="0014749F" w:rsidP="00D65D9D">
      <w:pPr>
        <w:pStyle w:val="AnnualReportBullet"/>
        <w:numPr>
          <w:ilvl w:val="0"/>
          <w:numId w:val="30"/>
        </w:numPr>
      </w:pPr>
      <w:r>
        <w:t>legislation to regulate on-line gambling;</w:t>
      </w:r>
    </w:p>
    <w:p w:rsidR="00D65D9D" w:rsidRDefault="00D65D9D" w:rsidP="009479E1">
      <w:pPr>
        <w:pStyle w:val="AnnualReportBullet"/>
        <w:numPr>
          <w:ilvl w:val="0"/>
          <w:numId w:val="30"/>
        </w:numPr>
      </w:pPr>
      <w:r>
        <w:t xml:space="preserve">amendments of the Ozone Protection and Synthetic Greenhouse Gas legislation (including related instruments) to implement a phase-down of </w:t>
      </w:r>
      <w:r w:rsidR="009479E1" w:rsidRPr="009479E1">
        <w:t>hydrofluorocarbon</w:t>
      </w:r>
      <w:r>
        <w:t>s;</w:t>
      </w:r>
    </w:p>
    <w:p w:rsidR="00E344F8" w:rsidRDefault="00D65D9D" w:rsidP="00D65D9D">
      <w:pPr>
        <w:pStyle w:val="AnnualReportBullet"/>
        <w:numPr>
          <w:ilvl w:val="0"/>
          <w:numId w:val="30"/>
        </w:numPr>
      </w:pPr>
      <w:r>
        <w:t xml:space="preserve">the </w:t>
      </w:r>
      <w:r w:rsidRPr="00D65D9D">
        <w:t>Migration Amendment (Regulation of Migration Agents) Bill 2017</w:t>
      </w:r>
      <w:r w:rsidR="00E344F8">
        <w:t>;</w:t>
      </w:r>
      <w:r w:rsidR="0014749F">
        <w:t xml:space="preserve"> and</w:t>
      </w:r>
    </w:p>
    <w:p w:rsidR="008C1733" w:rsidRDefault="00D65D9D" w:rsidP="004D7A61">
      <w:pPr>
        <w:pStyle w:val="AnnualReportBullet"/>
        <w:numPr>
          <w:ilvl w:val="0"/>
          <w:numId w:val="30"/>
        </w:numPr>
      </w:pPr>
      <w:r>
        <w:t xml:space="preserve">the </w:t>
      </w:r>
      <w:r w:rsidRPr="0014749F">
        <w:rPr>
          <w:i/>
        </w:rPr>
        <w:t>Native Title (Indigenous Land Use Agreements) Act 2017</w:t>
      </w:r>
      <w:r w:rsidR="00683B9D">
        <w:t>.</w:t>
      </w:r>
    </w:p>
    <w:p w:rsidR="00D65D9D" w:rsidRDefault="00D65D9D" w:rsidP="00D65D9D">
      <w:pPr>
        <w:pStyle w:val="BodyNum"/>
      </w:pPr>
      <w:r>
        <w:t>Legislation administered by the Treasury continues to be an area of substantial demand. Legislation that was introduced included:</w:t>
      </w:r>
    </w:p>
    <w:p w:rsidR="00D65D9D" w:rsidRDefault="00D65D9D" w:rsidP="00D65D9D">
      <w:pPr>
        <w:pStyle w:val="AnnualReportBullet"/>
        <w:numPr>
          <w:ilvl w:val="0"/>
          <w:numId w:val="30"/>
        </w:numPr>
      </w:pPr>
      <w:r>
        <w:t>major reform to the superannuation system;</w:t>
      </w:r>
    </w:p>
    <w:p w:rsidR="00D65D9D" w:rsidRDefault="00D65D9D" w:rsidP="00D65D9D">
      <w:pPr>
        <w:pStyle w:val="AnnualReportBullet"/>
        <w:numPr>
          <w:ilvl w:val="0"/>
          <w:numId w:val="30"/>
        </w:numPr>
      </w:pPr>
      <w:r>
        <w:t>laws providing for cuts to corporate and personal tax rates;</w:t>
      </w:r>
    </w:p>
    <w:p w:rsidR="00D65D9D" w:rsidRDefault="00D65D9D" w:rsidP="00D65D9D">
      <w:pPr>
        <w:pStyle w:val="AnnualReportBullet"/>
        <w:numPr>
          <w:ilvl w:val="0"/>
          <w:numId w:val="30"/>
        </w:numPr>
      </w:pPr>
      <w:r>
        <w:t>laws establishing a diverted profits tax to deal with multinational tax avoidance;</w:t>
      </w:r>
    </w:p>
    <w:p w:rsidR="00D65D9D" w:rsidRDefault="00D65D9D" w:rsidP="00D65D9D">
      <w:pPr>
        <w:pStyle w:val="AnnualReportBullet"/>
        <w:numPr>
          <w:ilvl w:val="0"/>
          <w:numId w:val="30"/>
        </w:numPr>
      </w:pPr>
      <w:r>
        <w:t>laws establishing a major bank levy;</w:t>
      </w:r>
    </w:p>
    <w:p w:rsidR="00D65D9D" w:rsidRDefault="00D65D9D" w:rsidP="00D65D9D">
      <w:pPr>
        <w:pStyle w:val="AnnualReportBullet"/>
        <w:numPr>
          <w:ilvl w:val="0"/>
          <w:numId w:val="30"/>
        </w:numPr>
      </w:pPr>
      <w:r>
        <w:lastRenderedPageBreak/>
        <w:t>laws implementing recommendations from the competition policy review; and</w:t>
      </w:r>
    </w:p>
    <w:p w:rsidR="00D65D9D" w:rsidRDefault="00D65D9D" w:rsidP="00D65D9D">
      <w:pPr>
        <w:pStyle w:val="AnnualReportBullet"/>
        <w:numPr>
          <w:ilvl w:val="0"/>
          <w:numId w:val="30"/>
        </w:numPr>
      </w:pPr>
      <w:r>
        <w:t>laws implementing GST on low value imports.</w:t>
      </w:r>
    </w:p>
    <w:p w:rsidR="00387C01" w:rsidRDefault="00387C01" w:rsidP="00387C01">
      <w:pPr>
        <w:pStyle w:val="Head3"/>
      </w:pPr>
      <w:bookmarkStart w:id="4" w:name="_Toc492656440"/>
      <w:r>
        <w:t>Instruments</w:t>
      </w:r>
      <w:bookmarkEnd w:id="4"/>
    </w:p>
    <w:p w:rsidR="00387C01" w:rsidRDefault="00387C01" w:rsidP="00387C01">
      <w:pPr>
        <w:pStyle w:val="BodyNum"/>
      </w:pPr>
      <w:r w:rsidRPr="0017157F">
        <w:t xml:space="preserve">During the year, </w:t>
      </w:r>
      <w:r w:rsidR="00A13A11">
        <w:t>2</w:t>
      </w:r>
      <w:r w:rsidR="00960AC6">
        <w:t>64</w:t>
      </w:r>
      <w:r w:rsidRPr="0017157F">
        <w:t xml:space="preserve"> Federal Executive Council (</w:t>
      </w:r>
      <w:proofErr w:type="spellStart"/>
      <w:r w:rsidRPr="0017157F">
        <w:rPr>
          <w:b/>
          <w:i/>
        </w:rPr>
        <w:t>ExCo</w:t>
      </w:r>
      <w:proofErr w:type="spellEnd"/>
      <w:r w:rsidRPr="0017157F">
        <w:t xml:space="preserve">) </w:t>
      </w:r>
      <w:r>
        <w:t>legislative and notifiable instruments</w:t>
      </w:r>
      <w:r w:rsidRPr="0017157F">
        <w:t xml:space="preserve">, totalling </w:t>
      </w:r>
      <w:r w:rsidR="00A13A11">
        <w:t>3,</w:t>
      </w:r>
      <w:r w:rsidR="00960AC6">
        <w:t>459</w:t>
      </w:r>
      <w:r w:rsidRPr="0017157F">
        <w:t xml:space="preserve"> pages, drafted by OPC were made and registered on the </w:t>
      </w:r>
      <w:r w:rsidR="00E06D16">
        <w:t>Federal Register of Legislation (</w:t>
      </w:r>
      <w:r w:rsidR="00E06D16" w:rsidRPr="00E06D16">
        <w:rPr>
          <w:b/>
          <w:i/>
        </w:rPr>
        <w:t xml:space="preserve">the </w:t>
      </w:r>
      <w:r w:rsidR="000C61BE" w:rsidRPr="00E06D16">
        <w:rPr>
          <w:b/>
          <w:i/>
        </w:rPr>
        <w:t>Legislation</w:t>
      </w:r>
      <w:r w:rsidRPr="00E06D16">
        <w:rPr>
          <w:b/>
          <w:i/>
        </w:rPr>
        <w:t xml:space="preserve"> Register</w:t>
      </w:r>
      <w:r w:rsidR="00E06D16">
        <w:t>)</w:t>
      </w:r>
      <w:r w:rsidRPr="0017157F">
        <w:t>.</w:t>
      </w:r>
    </w:p>
    <w:p w:rsidR="00CD2AFC" w:rsidRPr="00CD2AFC" w:rsidRDefault="00387C01" w:rsidP="00CD2AFC">
      <w:pPr>
        <w:pStyle w:val="BodyNum"/>
      </w:pPr>
      <w:r w:rsidRPr="0017157F">
        <w:t xml:space="preserve">OPC also drafted </w:t>
      </w:r>
      <w:r w:rsidR="00A13A11">
        <w:t>1</w:t>
      </w:r>
      <w:r w:rsidR="00960AC6">
        <w:t>08</w:t>
      </w:r>
      <w:r w:rsidRPr="0017157F">
        <w:t xml:space="preserve"> other legislative instruments, totalling </w:t>
      </w:r>
      <w:r w:rsidR="00A13A11">
        <w:t>1,</w:t>
      </w:r>
      <w:r w:rsidR="00960AC6">
        <w:t>308</w:t>
      </w:r>
      <w:r>
        <w:t xml:space="preserve"> pages, </w:t>
      </w:r>
      <w:r w:rsidRPr="0017157F">
        <w:t>for government agency clients.</w:t>
      </w:r>
      <w:r>
        <w:t xml:space="preserve"> </w:t>
      </w:r>
    </w:p>
    <w:p w:rsidR="00387C01" w:rsidRPr="00D6019F" w:rsidRDefault="00387C01" w:rsidP="00387C01">
      <w:pPr>
        <w:pStyle w:val="Head3"/>
      </w:pPr>
      <w:bookmarkStart w:id="5" w:name="_Toc492656441"/>
      <w:r w:rsidRPr="00D6019F">
        <w:t>Sunsetting instruments</w:t>
      </w:r>
      <w:bookmarkEnd w:id="5"/>
    </w:p>
    <w:p w:rsidR="00387C01" w:rsidRPr="00B84374" w:rsidRDefault="00387C01" w:rsidP="00387C01">
      <w:pPr>
        <w:pStyle w:val="BodyNum"/>
      </w:pPr>
      <w:r w:rsidRPr="00B84374">
        <w:t xml:space="preserve">OPC continued to play a key role </w:t>
      </w:r>
      <w:r>
        <w:t>i</w:t>
      </w:r>
      <w:r w:rsidRPr="00B84374">
        <w:t>n the management of the sunsetting of legislative instruments.</w:t>
      </w:r>
    </w:p>
    <w:p w:rsidR="006863FB" w:rsidRDefault="00387C01" w:rsidP="00465ECA">
      <w:pPr>
        <w:pStyle w:val="BodyNum"/>
      </w:pPr>
      <w:r w:rsidRPr="00B84374">
        <w:t xml:space="preserve">OPC worked closely with sunsetting coordinators in all portfolios to encourage early action on instruments due to sunset. Key legislative instruments that were reviewed by portfolios and redrafted by OPC before the instruments were due to sunset included the </w:t>
      </w:r>
      <w:r w:rsidR="006863FB" w:rsidRPr="00465ECA">
        <w:rPr>
          <w:i/>
        </w:rPr>
        <w:t xml:space="preserve">Human Services (Medicare) </w:t>
      </w:r>
      <w:r w:rsidR="006863FB" w:rsidRPr="00465ECA">
        <w:rPr>
          <w:i/>
        </w:rPr>
        <w:lastRenderedPageBreak/>
        <w:t>Regulations 2017</w:t>
      </w:r>
      <w:r w:rsidR="006863FB">
        <w:t xml:space="preserve">, the </w:t>
      </w:r>
      <w:proofErr w:type="spellStart"/>
      <w:r w:rsidR="006863FB" w:rsidRPr="00465ECA">
        <w:rPr>
          <w:i/>
        </w:rPr>
        <w:t>AusCheck</w:t>
      </w:r>
      <w:proofErr w:type="spellEnd"/>
      <w:r w:rsidR="006863FB" w:rsidRPr="00465ECA">
        <w:rPr>
          <w:i/>
        </w:rPr>
        <w:t xml:space="preserve"> Regulations 2017</w:t>
      </w:r>
      <w:r w:rsidR="00465ECA">
        <w:t xml:space="preserve">, </w:t>
      </w:r>
      <w:r w:rsidR="00F70550">
        <w:t xml:space="preserve">and </w:t>
      </w:r>
      <w:r w:rsidR="00465ECA">
        <w:t xml:space="preserve">the </w:t>
      </w:r>
      <w:r w:rsidR="00465ECA" w:rsidRPr="00465ECA">
        <w:rPr>
          <w:i/>
        </w:rPr>
        <w:t>National Health (Pharmaceutical Benefits) Regulations 2017</w:t>
      </w:r>
      <w:r w:rsidR="006863FB">
        <w:t>.</w:t>
      </w:r>
    </w:p>
    <w:p w:rsidR="00387C01" w:rsidRDefault="00387C01" w:rsidP="00387C01">
      <w:pPr>
        <w:pStyle w:val="BodyNum"/>
      </w:pPr>
      <w:r>
        <w:rPr>
          <w:i/>
        </w:rPr>
        <w:t xml:space="preserve"> </w:t>
      </w:r>
      <w:r>
        <w:t>OPC greatly improved the quality and readability of these instruments through this process.</w:t>
      </w:r>
    </w:p>
    <w:p w:rsidR="001C1900" w:rsidRDefault="001C1900" w:rsidP="00387C01">
      <w:pPr>
        <w:pStyle w:val="BodyNum"/>
      </w:pPr>
      <w:r>
        <w:t>This year OPC presented a number of seminars on sunsetting to staff of many agencies that are responsible for instruments. The seminars were presented at OPC in conjunction with the Attorney-General’s Department and with input from the Department of Defence.</w:t>
      </w:r>
    </w:p>
    <w:p w:rsidR="00387C01" w:rsidRDefault="00387C01" w:rsidP="00387C01">
      <w:pPr>
        <w:pStyle w:val="BodyNum"/>
      </w:pPr>
      <w:r w:rsidRPr="00D6019F">
        <w:t>OPC will continue to play an important role in repealing spent and redundant legislation and ensuring that the Commonwealth statute book is as coherent, readable and readily accessible as possible.</w:t>
      </w:r>
    </w:p>
    <w:p w:rsidR="001C1900" w:rsidRDefault="001C1900" w:rsidP="001C1900">
      <w:pPr>
        <w:pStyle w:val="Head3"/>
      </w:pPr>
      <w:bookmarkStart w:id="6" w:name="_Toc492656442"/>
      <w:r>
        <w:t>Review of Sunsetting</w:t>
      </w:r>
      <w:bookmarkEnd w:id="6"/>
    </w:p>
    <w:p w:rsidR="001C1900" w:rsidRDefault="001C1900" w:rsidP="001C1900">
      <w:pPr>
        <w:pStyle w:val="BodyNum"/>
      </w:pPr>
      <w:r>
        <w:t>I was appointed by the Attorney-General as a member of the panel to undertake the statutory review of sunsetting.</w:t>
      </w:r>
    </w:p>
    <w:p w:rsidR="001C1900" w:rsidRPr="001C1900" w:rsidRDefault="00A13A11" w:rsidP="001C1900">
      <w:pPr>
        <w:pStyle w:val="BodyNum"/>
      </w:pPr>
      <w:r>
        <w:t>The review is continuing and is expected to report to the Attorney-General in the final quarter of 2017.</w:t>
      </w:r>
    </w:p>
    <w:p w:rsidR="00387C01" w:rsidRPr="00B84374" w:rsidRDefault="00387C01" w:rsidP="00387C01">
      <w:pPr>
        <w:pStyle w:val="Head3"/>
      </w:pPr>
      <w:bookmarkStart w:id="7" w:name="_Toc492656443"/>
      <w:r>
        <w:lastRenderedPageBreak/>
        <w:t>Encouraging high drafting standards for legislative instruments</w:t>
      </w:r>
      <w:bookmarkEnd w:id="7"/>
    </w:p>
    <w:p w:rsidR="00387C01" w:rsidRDefault="00387C01" w:rsidP="00387C01">
      <w:pPr>
        <w:pStyle w:val="BodyNum"/>
      </w:pPr>
      <w:r w:rsidRPr="00B84374">
        <w:t xml:space="preserve">In 2012 the obligation to encourage high standards in the drafting of legislative instruments under section 16 of the </w:t>
      </w:r>
      <w:r w:rsidRPr="009A21DE">
        <w:rPr>
          <w:i/>
        </w:rPr>
        <w:t>Legislation Act</w:t>
      </w:r>
      <w:r w:rsidR="009A21DE" w:rsidRPr="009A21DE">
        <w:rPr>
          <w:i/>
        </w:rPr>
        <w:t xml:space="preserve"> 2003</w:t>
      </w:r>
      <w:r w:rsidR="009A21DE">
        <w:t xml:space="preserve"> (</w:t>
      </w:r>
      <w:r w:rsidR="009A21DE" w:rsidRPr="009A21DE">
        <w:rPr>
          <w:b/>
          <w:i/>
        </w:rPr>
        <w:t>the Legislation Act</w:t>
      </w:r>
      <w:r w:rsidR="009A21DE">
        <w:t>)</w:t>
      </w:r>
      <w:r w:rsidRPr="003534D7">
        <w:t xml:space="preserve"> </w:t>
      </w:r>
      <w:bookmarkStart w:id="8" w:name="BK_S5P4L54C14"/>
      <w:bookmarkEnd w:id="8"/>
      <w:r w:rsidRPr="00B84374">
        <w:t>was transferred to me from the Secretary of the Attorney-General’s Department</w:t>
      </w:r>
      <w:r>
        <w:t xml:space="preserve">. </w:t>
      </w:r>
      <w:r w:rsidRPr="00B84374">
        <w:t xml:space="preserve">Since 2012 I have </w:t>
      </w:r>
      <w:r>
        <w:t>taken a number of measures to fulfil my obligations under section 16 of the Legislation Act and enhance the Commonwealth’s overall statute book.</w:t>
      </w:r>
    </w:p>
    <w:p w:rsidR="00387C01" w:rsidRDefault="00387C01" w:rsidP="00387C01">
      <w:pPr>
        <w:pStyle w:val="BodyNum"/>
      </w:pPr>
      <w:r>
        <w:t>In 201</w:t>
      </w:r>
      <w:r w:rsidR="00A13A11">
        <w:t>6</w:t>
      </w:r>
      <w:r>
        <w:t>-201</w:t>
      </w:r>
      <w:r w:rsidR="00A13A11">
        <w:t>7</w:t>
      </w:r>
      <w:r>
        <w:t xml:space="preserve"> </w:t>
      </w:r>
      <w:r w:rsidRPr="00B84374">
        <w:t>OPC continued to engage</w:t>
      </w:r>
      <w:r w:rsidR="00FB1A63">
        <w:t xml:space="preserve"> actively</w:t>
      </w:r>
      <w:r w:rsidRPr="00B84374">
        <w:t xml:space="preserve"> with rule-making agencies </w:t>
      </w:r>
      <w:r>
        <w:t>to encourage high standards and provided services to assist agencies drafting legislative or notifiable instruments.</w:t>
      </w:r>
      <w:r w:rsidRPr="00B84374">
        <w:t xml:space="preserve"> This work expands on </w:t>
      </w:r>
      <w:proofErr w:type="spellStart"/>
      <w:r w:rsidRPr="00B84374">
        <w:t>OPC</w:t>
      </w:r>
      <w:r>
        <w:t>’</w:t>
      </w:r>
      <w:r w:rsidRPr="00B84374">
        <w:t>s</w:t>
      </w:r>
      <w:proofErr w:type="spellEnd"/>
      <w:r w:rsidRPr="00B84374">
        <w:t xml:space="preserve"> </w:t>
      </w:r>
      <w:r>
        <w:t>activities</w:t>
      </w:r>
      <w:r w:rsidRPr="00B84374">
        <w:t xml:space="preserve"> under </w:t>
      </w:r>
      <w:r w:rsidR="00683B9D">
        <w:t>the p</w:t>
      </w:r>
      <w:r>
        <w:t>rogram</w:t>
      </w:r>
      <w:r w:rsidRPr="00B84374">
        <w:t xml:space="preserve"> component standardisation and quality control of legislation.</w:t>
      </w:r>
    </w:p>
    <w:p w:rsidR="00560FB9" w:rsidRDefault="00560FB9" w:rsidP="00387C01">
      <w:pPr>
        <w:pStyle w:val="BodyNum"/>
      </w:pPr>
      <w:r>
        <w:t>A particular innovation this year was the introduction of a number of courses run by OPC for people involved in drafting legislative instruments.</w:t>
      </w:r>
    </w:p>
    <w:p w:rsidR="00387C01" w:rsidRPr="00D6019F" w:rsidRDefault="00387C01" w:rsidP="00387C01">
      <w:pPr>
        <w:pStyle w:val="BodyNum"/>
      </w:pPr>
      <w:r>
        <w:t>More information on these activities is set out in later sections of this Annual Report.</w:t>
      </w:r>
    </w:p>
    <w:p w:rsidR="00D6019F" w:rsidRDefault="00D6019F" w:rsidP="00D6019F">
      <w:pPr>
        <w:pStyle w:val="Head3"/>
      </w:pPr>
      <w:bookmarkStart w:id="9" w:name="_Toc492656444"/>
      <w:r>
        <w:lastRenderedPageBreak/>
        <w:t>Drafting resources</w:t>
      </w:r>
      <w:bookmarkEnd w:id="9"/>
    </w:p>
    <w:p w:rsidR="0044239B" w:rsidRDefault="0044239B" w:rsidP="00D6019F">
      <w:pPr>
        <w:pStyle w:val="BodyNum"/>
      </w:pPr>
      <w:r>
        <w:t xml:space="preserve">OPC </w:t>
      </w:r>
      <w:r w:rsidR="00A13A11">
        <w:t>has increased its drafting staff over the year. W</w:t>
      </w:r>
      <w:r w:rsidR="00683B9D">
        <w:t xml:space="preserve">e have </w:t>
      </w:r>
      <w:r w:rsidR="00A13A11">
        <w:t xml:space="preserve">been </w:t>
      </w:r>
      <w:r w:rsidR="00215B59">
        <w:t>recruiting new drafters to ensure that we will have sufficient capacity in the future</w:t>
      </w:r>
      <w:r>
        <w:t>.</w:t>
      </w:r>
    </w:p>
    <w:p w:rsidR="00D6019F" w:rsidRDefault="00215B59" w:rsidP="00D6019F">
      <w:pPr>
        <w:pStyle w:val="BodyNum"/>
      </w:pPr>
      <w:r>
        <w:t xml:space="preserve">During the year </w:t>
      </w:r>
      <w:r w:rsidR="003534D7">
        <w:t>2</w:t>
      </w:r>
      <w:r>
        <w:t xml:space="preserve"> new drafters started with OPC. We also </w:t>
      </w:r>
      <w:r w:rsidR="00A13A11">
        <w:t xml:space="preserve">completed </w:t>
      </w:r>
      <w:r>
        <w:t xml:space="preserve">a process to hire </w:t>
      </w:r>
      <w:r w:rsidR="00A13A11">
        <w:t>3</w:t>
      </w:r>
      <w:r>
        <w:t xml:space="preserve"> more drafters.</w:t>
      </w:r>
    </w:p>
    <w:p w:rsidR="00560FB9" w:rsidRPr="00D6019F" w:rsidRDefault="00560FB9" w:rsidP="00D6019F">
      <w:pPr>
        <w:pStyle w:val="BodyNum"/>
      </w:pPr>
      <w:r>
        <w:t xml:space="preserve">In addition, OPC engaged the services of Mr Richard Dennis </w:t>
      </w:r>
      <w:proofErr w:type="spellStart"/>
      <w:r>
        <w:t>PSM</w:t>
      </w:r>
      <w:proofErr w:type="spellEnd"/>
      <w:r>
        <w:t xml:space="preserve"> who had previously been the Parliamentary Counsel for South Australia.</w:t>
      </w:r>
    </w:p>
    <w:p w:rsidR="000F5520" w:rsidRDefault="000F5520">
      <w:pPr>
        <w:pStyle w:val="Head3"/>
      </w:pPr>
      <w:bookmarkStart w:id="10" w:name="_Toc492656445"/>
      <w:r>
        <w:t>Publications</w:t>
      </w:r>
      <w:bookmarkEnd w:id="10"/>
    </w:p>
    <w:p w:rsidR="00A76439" w:rsidRDefault="00A76439" w:rsidP="00A76439">
      <w:pPr>
        <w:pStyle w:val="BodyNum"/>
      </w:pPr>
      <w:r>
        <w:t>The Publications group functions include:</w:t>
      </w:r>
    </w:p>
    <w:p w:rsidR="00A76439" w:rsidRDefault="00A76439" w:rsidP="00A76439">
      <w:pPr>
        <w:pStyle w:val="AnnualReportBullet"/>
        <w:numPr>
          <w:ilvl w:val="0"/>
          <w:numId w:val="30"/>
        </w:numPr>
      </w:pPr>
      <w:r>
        <w:t xml:space="preserve">managing the </w:t>
      </w:r>
      <w:r w:rsidR="006848C2">
        <w:t>Legislation</w:t>
      </w:r>
      <w:r w:rsidR="003534D7">
        <w:t xml:space="preserve"> Register</w:t>
      </w:r>
      <w:r>
        <w:t>, including registering legislative instruments and lodging them for tabling in the Parliament;</w:t>
      </w:r>
    </w:p>
    <w:p w:rsidR="00A76439" w:rsidRDefault="00A76439" w:rsidP="00A76439">
      <w:pPr>
        <w:pStyle w:val="AnnualReportBullet"/>
        <w:numPr>
          <w:ilvl w:val="0"/>
          <w:numId w:val="30"/>
        </w:numPr>
      </w:pPr>
      <w:r>
        <w:t>preparing compilations and reprints of, and information relating to, Commonwealth laws;</w:t>
      </w:r>
    </w:p>
    <w:p w:rsidR="00A76439" w:rsidRDefault="00A76439" w:rsidP="00A76439">
      <w:pPr>
        <w:pStyle w:val="AnnualReportBullet"/>
        <w:numPr>
          <w:ilvl w:val="0"/>
          <w:numId w:val="30"/>
        </w:numPr>
      </w:pPr>
      <w:r>
        <w:t>publishing Commonwealth legislation and legislative information;</w:t>
      </w:r>
    </w:p>
    <w:p w:rsidR="00A76439" w:rsidRDefault="00A76439" w:rsidP="00A76439">
      <w:pPr>
        <w:pStyle w:val="AnnualReportBullet"/>
        <w:numPr>
          <w:ilvl w:val="0"/>
          <w:numId w:val="30"/>
        </w:numPr>
      </w:pPr>
      <w:r>
        <w:lastRenderedPageBreak/>
        <w:t>preparing and publishing the Government Notices Gazette; and</w:t>
      </w:r>
    </w:p>
    <w:p w:rsidR="00A76439" w:rsidRDefault="00A76439" w:rsidP="00A76439">
      <w:pPr>
        <w:pStyle w:val="AnnualReportBullet"/>
        <w:numPr>
          <w:ilvl w:val="0"/>
          <w:numId w:val="30"/>
        </w:numPr>
      </w:pPr>
      <w:r>
        <w:t xml:space="preserve">developing and operating </w:t>
      </w:r>
      <w:r w:rsidR="00683B9D">
        <w:t>the Legislation</w:t>
      </w:r>
      <w:r w:rsidR="00110EA7">
        <w:t xml:space="preserve"> Register</w:t>
      </w:r>
      <w:r>
        <w:t xml:space="preserve"> website (www.</w:t>
      </w:r>
      <w:r w:rsidR="00683B9D">
        <w:t>legislation</w:t>
      </w:r>
      <w:r>
        <w:t>.gov.au).</w:t>
      </w:r>
    </w:p>
    <w:p w:rsidR="00465B1B" w:rsidRPr="00465B1B" w:rsidRDefault="00683B9D" w:rsidP="00465B1B">
      <w:pPr>
        <w:pStyle w:val="BodyNum"/>
      </w:pPr>
      <w:r>
        <w:t>The main focus for the P</w:t>
      </w:r>
      <w:r w:rsidR="00465B1B" w:rsidRPr="00465B1B">
        <w:t xml:space="preserve">ublications group this year has been </w:t>
      </w:r>
      <w:r w:rsidR="00697CAA">
        <w:t xml:space="preserve">on data acquisition and cleansing to ensure quality is maintained and legislation is accessible on the Legislation Register. </w:t>
      </w:r>
      <w:r w:rsidR="00465B1B" w:rsidRPr="00465B1B">
        <w:t>This included:</w:t>
      </w:r>
    </w:p>
    <w:p w:rsidR="00465B1B" w:rsidRDefault="00697CAA" w:rsidP="00465B1B">
      <w:pPr>
        <w:pStyle w:val="AnnualReportBullet"/>
        <w:numPr>
          <w:ilvl w:val="0"/>
          <w:numId w:val="30"/>
        </w:numPr>
      </w:pPr>
      <w:r>
        <w:t>digitising and publishing General Notice Gazettes, Special and Periodical Gazettes back to 1901</w:t>
      </w:r>
      <w:r w:rsidR="008A41E2">
        <w:t>;</w:t>
      </w:r>
    </w:p>
    <w:p w:rsidR="00465B1B" w:rsidRDefault="00697CAA" w:rsidP="00465B1B">
      <w:pPr>
        <w:pStyle w:val="AnnualReportBullet"/>
        <w:numPr>
          <w:ilvl w:val="0"/>
          <w:numId w:val="30"/>
        </w:numPr>
      </w:pPr>
      <w:r>
        <w:t>preparing versions of as made legislation from 1901 in multiple formats</w:t>
      </w:r>
      <w:r w:rsidR="008A41E2">
        <w:t>;</w:t>
      </w:r>
      <w:r>
        <w:t xml:space="preserve"> and</w:t>
      </w:r>
    </w:p>
    <w:p w:rsidR="00465B1B" w:rsidRDefault="00697CAA" w:rsidP="00465B1B">
      <w:pPr>
        <w:pStyle w:val="AnnualReportBullet"/>
        <w:numPr>
          <w:ilvl w:val="0"/>
          <w:numId w:val="30"/>
        </w:numPr>
      </w:pPr>
      <w:r>
        <w:t>reviewing information about legislation to ensure its accuracy.</w:t>
      </w:r>
    </w:p>
    <w:p w:rsidR="00465B1B" w:rsidRDefault="00697CAA" w:rsidP="00697CAA">
      <w:pPr>
        <w:pStyle w:val="BodyNum"/>
      </w:pPr>
      <w:r>
        <w:t xml:space="preserve">This work will assist </w:t>
      </w:r>
      <w:r w:rsidR="004458FC">
        <w:t>with a project that begins next financial year to redevelop the Legislation Register.</w:t>
      </w:r>
    </w:p>
    <w:p w:rsidR="00D6019F" w:rsidRPr="00D6019F" w:rsidRDefault="00D6019F" w:rsidP="00D6019F">
      <w:pPr>
        <w:pStyle w:val="Head3"/>
      </w:pPr>
      <w:bookmarkStart w:id="11" w:name="_Toc492656446"/>
      <w:r w:rsidRPr="00D6019F">
        <w:t>Documentation and training</w:t>
      </w:r>
      <w:bookmarkEnd w:id="11"/>
    </w:p>
    <w:p w:rsidR="00D6019F" w:rsidRPr="00D6019F" w:rsidRDefault="00A76439" w:rsidP="00D6019F">
      <w:pPr>
        <w:pStyle w:val="BodyNum"/>
      </w:pPr>
      <w:r>
        <w:t xml:space="preserve">This year focus </w:t>
      </w:r>
      <w:r w:rsidR="00B8402C">
        <w:t>continued to be</w:t>
      </w:r>
      <w:r>
        <w:t xml:space="preserve"> given to documenting the matters that specifically related to the drafting of instruments.</w:t>
      </w:r>
    </w:p>
    <w:p w:rsidR="00D6019F" w:rsidRPr="00D6019F" w:rsidRDefault="00A76439" w:rsidP="00D6019F">
      <w:pPr>
        <w:pStyle w:val="BodyNum"/>
      </w:pPr>
      <w:r>
        <w:lastRenderedPageBreak/>
        <w:t xml:space="preserve">To provide greater training, drafters were rotated through Bill and instrument drafting positions. This will ensure that drafters can take on the full range of work that is now undertaken by </w:t>
      </w:r>
      <w:r w:rsidR="00C9756F">
        <w:t>OPC</w:t>
      </w:r>
      <w:r>
        <w:t>.</w:t>
      </w:r>
    </w:p>
    <w:p w:rsidR="00D6019F" w:rsidRPr="00D6019F" w:rsidRDefault="00A76439" w:rsidP="00D6019F">
      <w:pPr>
        <w:pStyle w:val="BodyNum"/>
      </w:pPr>
      <w:r w:rsidRPr="00D6019F">
        <w:t xml:space="preserve">The </w:t>
      </w:r>
      <w:r w:rsidR="00A13A11">
        <w:t>rewritten</w:t>
      </w:r>
      <w:r w:rsidR="00B462E1">
        <w:t xml:space="preserve"> Legislation Process C</w:t>
      </w:r>
      <w:r w:rsidRPr="00D6019F">
        <w:t xml:space="preserve">ourse </w:t>
      </w:r>
      <w:r w:rsidR="00A13A11">
        <w:t>has continued to be</w:t>
      </w:r>
      <w:r w:rsidR="00B8402C">
        <w:t xml:space="preserve"> very popular with high enrolments and excellent feedback.</w:t>
      </w:r>
    </w:p>
    <w:p w:rsidR="00B8402C" w:rsidRDefault="00A13A11" w:rsidP="00D6019F">
      <w:pPr>
        <w:pStyle w:val="BodyNum"/>
      </w:pPr>
      <w:r>
        <w:t>Two additional courses for staff from agencies have been developed and run. The first is an Advanced Legislation Process Course and the other is a basic course in drafting legislative instruments. These courses have also been very popular.</w:t>
      </w:r>
    </w:p>
    <w:p w:rsidR="009A584E" w:rsidRDefault="009A584E" w:rsidP="00D6019F">
      <w:pPr>
        <w:pStyle w:val="BodyNum"/>
      </w:pPr>
      <w:r>
        <w:t xml:space="preserve">Substantial work has been undertaken to prepare documentation of the processes and procedures of the </w:t>
      </w:r>
      <w:r w:rsidR="00683B9D">
        <w:t>P</w:t>
      </w:r>
      <w:r>
        <w:t xml:space="preserve">ublications group. This has assisted in training new staff and staff </w:t>
      </w:r>
      <w:r w:rsidR="00B462E1">
        <w:t>undertaking</w:t>
      </w:r>
      <w:r>
        <w:t xml:space="preserve"> additional duties.</w:t>
      </w:r>
    </w:p>
    <w:p w:rsidR="00C2021E" w:rsidRPr="00D6019F" w:rsidRDefault="00C2021E" w:rsidP="00C2021E">
      <w:pPr>
        <w:pStyle w:val="Head3"/>
      </w:pPr>
      <w:bookmarkStart w:id="12" w:name="_Toc492656447"/>
      <w:r>
        <w:t>Financial performance</w:t>
      </w:r>
      <w:bookmarkEnd w:id="12"/>
    </w:p>
    <w:p w:rsidR="00C2021E" w:rsidRPr="00D6019F" w:rsidRDefault="00C2021E" w:rsidP="00D6019F">
      <w:pPr>
        <w:pStyle w:val="BodyNum"/>
      </w:pPr>
      <w:r>
        <w:t>Financially, OPC is in a good position. OPC had a small surplus for the year and is budgeting for a break-even position in 201</w:t>
      </w:r>
      <w:r w:rsidR="00AC3339">
        <w:t>7</w:t>
      </w:r>
      <w:r>
        <w:t>-201</w:t>
      </w:r>
      <w:r w:rsidR="00AC3339">
        <w:t>8</w:t>
      </w:r>
      <w:r>
        <w:t>.</w:t>
      </w:r>
    </w:p>
    <w:p w:rsidR="00CD2AFC" w:rsidRDefault="00CD2AFC" w:rsidP="00D6019F">
      <w:pPr>
        <w:pStyle w:val="Head3"/>
      </w:pPr>
      <w:bookmarkStart w:id="13" w:name="_Toc492656448"/>
      <w:r>
        <w:lastRenderedPageBreak/>
        <w:t>Additional funding for Treasury drafting</w:t>
      </w:r>
      <w:bookmarkEnd w:id="13"/>
    </w:p>
    <w:p w:rsidR="00560FB9" w:rsidRDefault="00560FB9" w:rsidP="00560FB9">
      <w:pPr>
        <w:pStyle w:val="BodyNum"/>
      </w:pPr>
      <w:r>
        <w:t>Additional funding was provided to OPC in the 2017 budget to assist OPC to meet the drafting needs of the Treasury.</w:t>
      </w:r>
    </w:p>
    <w:p w:rsidR="00560FB9" w:rsidRPr="00560FB9" w:rsidRDefault="00560FB9" w:rsidP="00560FB9">
      <w:pPr>
        <w:pStyle w:val="BodyNum"/>
      </w:pPr>
      <w:r>
        <w:t>These funds will be available from 2017-2018 onwards.</w:t>
      </w:r>
    </w:p>
    <w:p w:rsidR="00D6019F" w:rsidRPr="00D6019F" w:rsidRDefault="00D6019F" w:rsidP="00D6019F">
      <w:pPr>
        <w:pStyle w:val="Head3"/>
      </w:pPr>
      <w:bookmarkStart w:id="14" w:name="_Toc492656449"/>
      <w:r w:rsidRPr="00D6019F">
        <w:t>Liaison outside OPC</w:t>
      </w:r>
      <w:bookmarkEnd w:id="14"/>
    </w:p>
    <w:p w:rsidR="00D6019F" w:rsidRPr="00D6019F" w:rsidRDefault="00A76439" w:rsidP="00D6019F">
      <w:pPr>
        <w:pStyle w:val="BodyNum"/>
      </w:pPr>
      <w:r w:rsidRPr="00D6019F">
        <w:t>Over the year, OPC has continued to work on building closer relations with a number of key stakeholders. These have been in the Treasury, in the Attorney-General’s Department</w:t>
      </w:r>
      <w:r w:rsidR="00762035">
        <w:t>, in the Department of Agriculture and Water Resources</w:t>
      </w:r>
      <w:r w:rsidRPr="00D6019F">
        <w:t xml:space="preserve"> and in the Department of the Prime Minister and Cabinet.</w:t>
      </w:r>
    </w:p>
    <w:p w:rsidR="00D6019F" w:rsidRDefault="00A76439" w:rsidP="00D6019F">
      <w:pPr>
        <w:pStyle w:val="BodyNum"/>
      </w:pPr>
      <w:r w:rsidRPr="00D6019F">
        <w:t xml:space="preserve">OPC </w:t>
      </w:r>
      <w:r w:rsidR="00B8402C">
        <w:t xml:space="preserve">continued our close </w:t>
      </w:r>
      <w:r w:rsidRPr="00D6019F">
        <w:t xml:space="preserve">ties with a range of areas within the Attorney-General’s Department on matters of mutual interest. In particular, I </w:t>
      </w:r>
      <w:r w:rsidR="00B8402C">
        <w:t>continued as</w:t>
      </w:r>
      <w:r w:rsidRPr="00D6019F">
        <w:t xml:space="preserve"> a member of the Department’s Legislation Committee</w:t>
      </w:r>
      <w:r w:rsidR="006C4405">
        <w:t xml:space="preserve"> and the Significant Legal Issues Committee</w:t>
      </w:r>
      <w:r w:rsidRPr="00D6019F">
        <w:t>.</w:t>
      </w:r>
    </w:p>
    <w:p w:rsidR="007C7980" w:rsidRPr="00D6019F" w:rsidRDefault="007C7980" w:rsidP="00D6019F">
      <w:pPr>
        <w:pStyle w:val="BodyNum"/>
      </w:pPr>
      <w:r>
        <w:t xml:space="preserve">OPC </w:t>
      </w:r>
      <w:r w:rsidR="00B8402C">
        <w:t xml:space="preserve">also </w:t>
      </w:r>
      <w:r>
        <w:t>has regular meetings with the Department of Immigration and Border Protection to assist with the management of their legislative program.</w:t>
      </w:r>
    </w:p>
    <w:p w:rsidR="00D6019F" w:rsidRDefault="00A76439" w:rsidP="00D6019F">
      <w:pPr>
        <w:pStyle w:val="BodyNum"/>
      </w:pPr>
      <w:r w:rsidRPr="00D6019F">
        <w:lastRenderedPageBreak/>
        <w:t>Through my membership of the Board of Taxation, I continued to maintain a close involvement in developments in taxation law and the implementation of that law.</w:t>
      </w:r>
    </w:p>
    <w:p w:rsidR="00D56795" w:rsidRPr="00D6019F" w:rsidRDefault="00A76439" w:rsidP="00D6019F">
      <w:pPr>
        <w:pStyle w:val="BodyNum"/>
      </w:pPr>
      <w:r>
        <w:t xml:space="preserve">Staff involved in Publications and Information Technology continued to be involved in the Australasian Parliamentary Counsel’s Committee IT Forum. This year the meeting was </w:t>
      </w:r>
      <w:r w:rsidR="00A13A11">
        <w:t>hosted by the Queensland Parliamentary Counsel Office</w:t>
      </w:r>
      <w:r>
        <w:t>.</w:t>
      </w:r>
    </w:p>
    <w:p w:rsidR="00A13A11" w:rsidRDefault="00A13A11" w:rsidP="00FB1A63">
      <w:pPr>
        <w:pStyle w:val="BodyNum"/>
      </w:pPr>
      <w:r>
        <w:t>I gave speeches to a wide variety of organisations including:</w:t>
      </w:r>
    </w:p>
    <w:p w:rsidR="00A13A11" w:rsidRDefault="00A13A11" w:rsidP="00A13A11">
      <w:pPr>
        <w:pStyle w:val="AnnualReportBullet"/>
        <w:numPr>
          <w:ilvl w:val="0"/>
          <w:numId w:val="30"/>
        </w:numPr>
      </w:pPr>
      <w:r>
        <w:t>the Australian Government Lawyers Network;</w:t>
      </w:r>
    </w:p>
    <w:p w:rsidR="00A13A11" w:rsidRDefault="00A13A11" w:rsidP="00A13A11">
      <w:pPr>
        <w:pStyle w:val="AnnualReportBullet"/>
        <w:numPr>
          <w:ilvl w:val="0"/>
          <w:numId w:val="30"/>
        </w:numPr>
      </w:pPr>
      <w:r>
        <w:t>the Parliamentary Library;</w:t>
      </w:r>
    </w:p>
    <w:p w:rsidR="00A13A11" w:rsidRDefault="00A13A11" w:rsidP="00A13A11">
      <w:pPr>
        <w:pStyle w:val="AnnualReportBullet"/>
        <w:numPr>
          <w:ilvl w:val="0"/>
          <w:numId w:val="30"/>
        </w:numPr>
      </w:pPr>
      <w:r>
        <w:t>Flinders University;</w:t>
      </w:r>
    </w:p>
    <w:p w:rsidR="00A13A11" w:rsidRDefault="000528F1" w:rsidP="00A13A11">
      <w:pPr>
        <w:pStyle w:val="AnnualReportBullet"/>
        <w:numPr>
          <w:ilvl w:val="0"/>
          <w:numId w:val="30"/>
        </w:numPr>
      </w:pPr>
      <w:r>
        <w:t>the South Australian Parliamentary Counsel Office;</w:t>
      </w:r>
    </w:p>
    <w:p w:rsidR="000528F1" w:rsidRDefault="000528F1" w:rsidP="00A13A11">
      <w:pPr>
        <w:pStyle w:val="AnnualReportBullet"/>
        <w:numPr>
          <w:ilvl w:val="0"/>
          <w:numId w:val="30"/>
        </w:numPr>
      </w:pPr>
      <w:r>
        <w:t>the Courts and Tribunals Branch of the Attorney-General’s Department;</w:t>
      </w:r>
    </w:p>
    <w:p w:rsidR="000528F1" w:rsidRDefault="000528F1" w:rsidP="00A13A11">
      <w:pPr>
        <w:pStyle w:val="AnnualReportBullet"/>
        <w:numPr>
          <w:ilvl w:val="0"/>
          <w:numId w:val="30"/>
        </w:numPr>
      </w:pPr>
      <w:r>
        <w:t>the Law Society of Western Australia;</w:t>
      </w:r>
    </w:p>
    <w:p w:rsidR="000528F1" w:rsidRDefault="000528F1" w:rsidP="000528F1">
      <w:pPr>
        <w:pStyle w:val="AnnualReportBullet"/>
        <w:numPr>
          <w:ilvl w:val="0"/>
          <w:numId w:val="30"/>
        </w:numPr>
      </w:pPr>
      <w:r>
        <w:t>the Western Australian Parliamentary Counsel Office;</w:t>
      </w:r>
    </w:p>
    <w:p w:rsidR="000528F1" w:rsidRDefault="000528F1" w:rsidP="000528F1">
      <w:pPr>
        <w:pStyle w:val="AnnualReportBullet"/>
        <w:numPr>
          <w:ilvl w:val="0"/>
          <w:numId w:val="30"/>
        </w:numPr>
      </w:pPr>
      <w:r>
        <w:t>the New Zealand Parliamentary Counsel Office;</w:t>
      </w:r>
    </w:p>
    <w:p w:rsidR="000528F1" w:rsidRDefault="000528F1" w:rsidP="00A13A11">
      <w:pPr>
        <w:pStyle w:val="AnnualReportBullet"/>
        <w:numPr>
          <w:ilvl w:val="0"/>
          <w:numId w:val="30"/>
        </w:numPr>
      </w:pPr>
      <w:r>
        <w:t>a conference on the use of standards in regulation;</w:t>
      </w:r>
      <w:r w:rsidR="009A21DE">
        <w:t xml:space="preserve"> and</w:t>
      </w:r>
    </w:p>
    <w:p w:rsidR="000528F1" w:rsidRDefault="000528F1" w:rsidP="00A13A11">
      <w:pPr>
        <w:pStyle w:val="AnnualReportBullet"/>
        <w:numPr>
          <w:ilvl w:val="0"/>
          <w:numId w:val="30"/>
        </w:numPr>
      </w:pPr>
      <w:r>
        <w:lastRenderedPageBreak/>
        <w:t>a symposium at La Trobe University</w:t>
      </w:r>
      <w:r w:rsidR="009A21DE">
        <w:t>.</w:t>
      </w:r>
    </w:p>
    <w:p w:rsidR="000528F1" w:rsidRDefault="000528F1" w:rsidP="00B8402C">
      <w:pPr>
        <w:pStyle w:val="BodyNum"/>
      </w:pPr>
      <w:r>
        <w:t>Other staff spoke at a variety of universities and to other bodies.</w:t>
      </w:r>
    </w:p>
    <w:p w:rsidR="00F70BE4" w:rsidRDefault="00BA0936" w:rsidP="00F70BE4">
      <w:pPr>
        <w:pStyle w:val="BodyNum"/>
      </w:pPr>
      <w:r>
        <w:t xml:space="preserve">Ms </w:t>
      </w:r>
      <w:r w:rsidR="00F70BE4" w:rsidRPr="00F70BE4">
        <w:t>Meredith Leigh, Second Parliamentary Counsel, attended, on behalf of the Attorney-General’s Department, the International Symposium on Comparative Perspectives on Legislation Making and Constitutional Rights Fulfilment in Indonesia. The Symposium brought together participants from legislation-making agencies from over 10 countries to share perspectives on the legislative drafting process.</w:t>
      </w:r>
    </w:p>
    <w:p w:rsidR="00BA0936" w:rsidRDefault="00BA0936" w:rsidP="00BA0936">
      <w:pPr>
        <w:pStyle w:val="BodyNum"/>
      </w:pPr>
      <w:r>
        <w:t>During the year Ms Louise Finucane, First Assistant Parliamentary Counsel, represented Austr</w:t>
      </w:r>
      <w:r w:rsidR="00B462E1">
        <w:t>alia, on behalf of the Attorney-</w:t>
      </w:r>
      <w:r>
        <w:t>General’s Department, on the review of Liechtenstein’s compliance with Chapters II and V of the United Nation Convention Against Corruption (</w:t>
      </w:r>
      <w:proofErr w:type="spellStart"/>
      <w:r w:rsidRPr="009A21DE">
        <w:rPr>
          <w:b/>
          <w:i/>
        </w:rPr>
        <w:t>UNCAC</w:t>
      </w:r>
      <w:proofErr w:type="spellEnd"/>
      <w:r>
        <w:t>). As part of the review, Louise took part as a member of the expert panel at the country visit in Liechtenstein.</w:t>
      </w:r>
    </w:p>
    <w:p w:rsidR="00BA0936" w:rsidRDefault="00BA0936" w:rsidP="00BA0936">
      <w:pPr>
        <w:pStyle w:val="BodyNum"/>
      </w:pPr>
      <w:r>
        <w:t>Louise also represented Australia, on behalf of the Attorney</w:t>
      </w:r>
      <w:r w:rsidR="00B462E1">
        <w:t>-</w:t>
      </w:r>
      <w:r>
        <w:t xml:space="preserve"> General’s Department, at the meeting of the </w:t>
      </w:r>
      <w:proofErr w:type="spellStart"/>
      <w:r>
        <w:t>UNCAC</w:t>
      </w:r>
      <w:proofErr w:type="spellEnd"/>
      <w:r>
        <w:t xml:space="preserve"> </w:t>
      </w:r>
      <w:r>
        <w:lastRenderedPageBreak/>
        <w:t>Implementation Review Group in Vienna. At that meeting, Louise presented a paper about Australia’s experience of the review, and participated as a member of a panel discussing that topic.</w:t>
      </w:r>
    </w:p>
    <w:p w:rsidR="00844178" w:rsidRPr="00D6019F" w:rsidRDefault="00BA0936" w:rsidP="00B8402C">
      <w:pPr>
        <w:pStyle w:val="BodyNum"/>
      </w:pPr>
      <w:r>
        <w:t>OPC staff</w:t>
      </w:r>
      <w:r w:rsidR="00844178">
        <w:t xml:space="preserve"> also met with delegations from South Korea</w:t>
      </w:r>
      <w:r w:rsidR="00096157">
        <w:t xml:space="preserve"> and India</w:t>
      </w:r>
      <w:r w:rsidR="00683B9D">
        <w:t>.</w:t>
      </w:r>
    </w:p>
    <w:p w:rsidR="00560FB9" w:rsidRDefault="00560FB9" w:rsidP="00560FB9">
      <w:pPr>
        <w:pStyle w:val="Head3"/>
      </w:pPr>
      <w:bookmarkStart w:id="15" w:name="_Toc492656450"/>
      <w:r>
        <w:t>Secondment to Scotland</w:t>
      </w:r>
      <w:bookmarkEnd w:id="15"/>
    </w:p>
    <w:p w:rsidR="00560FB9" w:rsidRDefault="00560FB9" w:rsidP="00560FB9">
      <w:pPr>
        <w:pStyle w:val="BodyNum"/>
      </w:pPr>
      <w:r>
        <w:t>One of our senior drafters, Ms Olivia Gossip, went on a secondment to Scotland for 3 months during the year.</w:t>
      </w:r>
    </w:p>
    <w:p w:rsidR="00560FB9" w:rsidRDefault="00560FB9" w:rsidP="00560FB9">
      <w:pPr>
        <w:pStyle w:val="BodyNum"/>
      </w:pPr>
      <w:r>
        <w:t xml:space="preserve">In addition to working in the drafting office in Edinburgh, she also visited and spoke at the drafting offices in London, Belfast, Dublin and Cardiff. </w:t>
      </w:r>
    </w:p>
    <w:p w:rsidR="00560FB9" w:rsidRPr="00560FB9" w:rsidRDefault="006C4405" w:rsidP="006C4405">
      <w:pPr>
        <w:pStyle w:val="BodyNum"/>
      </w:pPr>
      <w:r w:rsidRPr="006C4405">
        <w:t>The secondment was valuable to Ms Gossip and to all the drafting offices. Secondments provide an opportunity to consider the approaches and working methods of different drafting offices and to select the best approaches to be used</w:t>
      </w:r>
      <w:r w:rsidR="00560FB9">
        <w:t>.</w:t>
      </w:r>
    </w:p>
    <w:p w:rsidR="005563BB" w:rsidRDefault="005563BB" w:rsidP="00301173">
      <w:pPr>
        <w:pStyle w:val="Head3"/>
      </w:pPr>
      <w:bookmarkStart w:id="16" w:name="_Toc492656451"/>
      <w:r>
        <w:t>CALC Conference and Presidency</w:t>
      </w:r>
      <w:bookmarkEnd w:id="16"/>
    </w:p>
    <w:p w:rsidR="00322B90" w:rsidRDefault="005563BB" w:rsidP="005563BB">
      <w:pPr>
        <w:pStyle w:val="BodyNum"/>
      </w:pPr>
      <w:r>
        <w:t>The conference of the Commonwealth Association of Legislative Counsel (</w:t>
      </w:r>
      <w:r w:rsidRPr="005563BB">
        <w:rPr>
          <w:b/>
          <w:i/>
        </w:rPr>
        <w:t>CALC</w:t>
      </w:r>
      <w:r>
        <w:t xml:space="preserve">) was </w:t>
      </w:r>
      <w:r>
        <w:lastRenderedPageBreak/>
        <w:t>held in Melbourne with a workshop in Sydney. The conference and workshop were largely organised by staff from OPC assisted by staff from the Victorian and NSW drafting offices and CALC Council members.</w:t>
      </w:r>
      <w:r w:rsidR="00322B90">
        <w:t xml:space="preserve"> </w:t>
      </w:r>
    </w:p>
    <w:p w:rsidR="005563BB" w:rsidRDefault="00322B90" w:rsidP="005563BB">
      <w:pPr>
        <w:pStyle w:val="BodyNum"/>
      </w:pPr>
      <w:r>
        <w:t xml:space="preserve">A number of drafters from OPC attended the conference and workshop and </w:t>
      </w:r>
      <w:r w:rsidR="00DA7446">
        <w:t xml:space="preserve">3 drafters </w:t>
      </w:r>
      <w:r>
        <w:t>presented papers.</w:t>
      </w:r>
    </w:p>
    <w:p w:rsidR="005563BB" w:rsidRDefault="005563BB" w:rsidP="005563BB">
      <w:pPr>
        <w:pStyle w:val="BodyNum"/>
      </w:pPr>
      <w:r>
        <w:t xml:space="preserve">At the CALC Conference, I stood down from the position of President having served 3 terms </w:t>
      </w:r>
      <w:r w:rsidR="008C6E61">
        <w:t>totalling</w:t>
      </w:r>
      <w:r>
        <w:t xml:space="preserve"> 6 years.</w:t>
      </w:r>
    </w:p>
    <w:p w:rsidR="005563BB" w:rsidRPr="005563BB" w:rsidRDefault="005563BB" w:rsidP="005563BB">
      <w:pPr>
        <w:pStyle w:val="BodyNum"/>
      </w:pPr>
      <w:r>
        <w:t>As a result, responsibility for many of the secretariat functions, which had been done by OPC for many years, was transferred to the NZ Parliamentary Counsel’s Office.</w:t>
      </w:r>
    </w:p>
    <w:p w:rsidR="00CB554F" w:rsidRDefault="00E8400B" w:rsidP="00301173">
      <w:pPr>
        <w:pStyle w:val="Head3"/>
      </w:pPr>
      <w:bookmarkStart w:id="17" w:name="_Toc492656452"/>
      <w:r>
        <w:t>Corporate S</w:t>
      </w:r>
      <w:r w:rsidR="00CB554F">
        <w:t>ervices support</w:t>
      </w:r>
      <w:bookmarkEnd w:id="17"/>
    </w:p>
    <w:p w:rsidR="00CB554F" w:rsidRDefault="00A76439" w:rsidP="00A80292">
      <w:pPr>
        <w:pStyle w:val="BodyNum"/>
      </w:pPr>
      <w:proofErr w:type="spellStart"/>
      <w:r>
        <w:t>OPC’s</w:t>
      </w:r>
      <w:proofErr w:type="spellEnd"/>
      <w:r>
        <w:t xml:space="preserve"> Corporate Services group has continued to provide outstanding support to the whole of OPC. Due to the small size of our Corporate Services group, many staff have duties covering a wide range of disparate areas. All of the Corporate Services staff have worked well in the small team environment to ensure that the </w:t>
      </w:r>
      <w:r>
        <w:lastRenderedPageBreak/>
        <w:t xml:space="preserve">drafters, the </w:t>
      </w:r>
      <w:r w:rsidR="003534D7">
        <w:t>S</w:t>
      </w:r>
      <w:r>
        <w:t xml:space="preserve">enior </w:t>
      </w:r>
      <w:r w:rsidR="003534D7">
        <w:t>M</w:t>
      </w:r>
      <w:r>
        <w:t xml:space="preserve">anagement </w:t>
      </w:r>
      <w:r w:rsidR="003534D7">
        <w:t>T</w:t>
      </w:r>
      <w:r>
        <w:t>eam and other staff received all the support that they needed.</w:t>
      </w:r>
    </w:p>
    <w:p w:rsidR="00DE340C" w:rsidRPr="0017157F" w:rsidRDefault="00A76439" w:rsidP="00DE340C">
      <w:pPr>
        <w:pStyle w:val="BodyNum"/>
      </w:pPr>
      <w:r>
        <w:t xml:space="preserve">In addition to the ongoing administrative work of OPC, significant administrative activity during the year was devoted </w:t>
      </w:r>
      <w:r w:rsidR="00DE340C" w:rsidRPr="0017157F">
        <w:t>to:</w:t>
      </w:r>
    </w:p>
    <w:p w:rsidR="00AC3339" w:rsidRDefault="004C182F" w:rsidP="00DE340C">
      <w:pPr>
        <w:pStyle w:val="AnnualReportBullet"/>
        <w:numPr>
          <w:ilvl w:val="0"/>
          <w:numId w:val="30"/>
        </w:numPr>
      </w:pPr>
      <w:r>
        <w:t xml:space="preserve">transitioning </w:t>
      </w:r>
      <w:proofErr w:type="spellStart"/>
      <w:r>
        <w:t>OPC’s</w:t>
      </w:r>
      <w:proofErr w:type="spellEnd"/>
      <w:r>
        <w:t xml:space="preserve"> payroll processing</w:t>
      </w:r>
      <w:r w:rsidR="00790E21">
        <w:t xml:space="preserve"> and support</w:t>
      </w:r>
      <w:r>
        <w:t xml:space="preserve"> from the outsourced provider to the Department of Industry, Innova</w:t>
      </w:r>
      <w:r w:rsidR="00790E21">
        <w:t>tion and Science Shared Services</w:t>
      </w:r>
      <w:r w:rsidR="0048355F">
        <w:t xml:space="preserve"> arrangements</w:t>
      </w:r>
      <w:r w:rsidR="007B24E8">
        <w:t>;</w:t>
      </w:r>
    </w:p>
    <w:p w:rsidR="007B24E8" w:rsidRDefault="007B24E8" w:rsidP="00DE340C">
      <w:pPr>
        <w:pStyle w:val="AnnualReportBullet"/>
        <w:numPr>
          <w:ilvl w:val="0"/>
          <w:numId w:val="30"/>
        </w:numPr>
      </w:pPr>
      <w:r>
        <w:t>implementing a new library management system;</w:t>
      </w:r>
    </w:p>
    <w:p w:rsidR="008853BB" w:rsidRDefault="007B24E8" w:rsidP="008853BB">
      <w:pPr>
        <w:pStyle w:val="AnnualReportBullet"/>
        <w:numPr>
          <w:ilvl w:val="0"/>
          <w:numId w:val="30"/>
        </w:numPr>
      </w:pPr>
      <w:r>
        <w:t xml:space="preserve">implementing </w:t>
      </w:r>
      <w:proofErr w:type="spellStart"/>
      <w:r>
        <w:t>OPC’s</w:t>
      </w:r>
      <w:proofErr w:type="spellEnd"/>
      <w:r>
        <w:t xml:space="preserve"> 201</w:t>
      </w:r>
      <w:r w:rsidR="006551C7">
        <w:t>6-2017 Healthier Work Plan;</w:t>
      </w:r>
    </w:p>
    <w:p w:rsidR="00DE340C" w:rsidRDefault="00B310CE" w:rsidP="00DE340C">
      <w:pPr>
        <w:pStyle w:val="AnnualReportBullet"/>
        <w:numPr>
          <w:ilvl w:val="0"/>
          <w:numId w:val="30"/>
        </w:numPr>
      </w:pPr>
      <w:r>
        <w:t xml:space="preserve">reviewing and updating </w:t>
      </w:r>
      <w:r w:rsidR="00DE340C">
        <w:t>policies, procedures</w:t>
      </w:r>
      <w:r w:rsidR="00AC3339">
        <w:t xml:space="preserve"> and processes</w:t>
      </w:r>
      <w:r w:rsidR="008853BB">
        <w:t xml:space="preserve"> including business continuity management arrangements; and</w:t>
      </w:r>
    </w:p>
    <w:p w:rsidR="008853BB" w:rsidRDefault="00790E21" w:rsidP="00DE340C">
      <w:pPr>
        <w:pStyle w:val="AnnualReportBullet"/>
        <w:numPr>
          <w:ilvl w:val="0"/>
          <w:numId w:val="30"/>
        </w:numPr>
      </w:pPr>
      <w:r>
        <w:t xml:space="preserve">conducting </w:t>
      </w:r>
      <w:r w:rsidR="008853BB">
        <w:t>procurement processes for cleaning, printing and courier services.</w:t>
      </w:r>
    </w:p>
    <w:p w:rsidR="00CD2AFC" w:rsidRDefault="00CD2AFC" w:rsidP="00CD2AFC">
      <w:pPr>
        <w:pStyle w:val="Head3"/>
      </w:pPr>
      <w:bookmarkStart w:id="18" w:name="_Toc492656453"/>
      <w:r>
        <w:t>Departure of Marina Farnan</w:t>
      </w:r>
      <w:bookmarkEnd w:id="18"/>
    </w:p>
    <w:p w:rsidR="00A76439" w:rsidRPr="00560FB9" w:rsidRDefault="00A76439" w:rsidP="00560FB9">
      <w:pPr>
        <w:pStyle w:val="BodyNum"/>
      </w:pPr>
      <w:r w:rsidRPr="00560FB9">
        <w:t>M</w:t>
      </w:r>
      <w:r w:rsidR="00560FB9">
        <w:t xml:space="preserve">s Marina Farnan left </w:t>
      </w:r>
      <w:r w:rsidRPr="00560FB9">
        <w:t>OPC this year</w:t>
      </w:r>
      <w:r w:rsidR="00560FB9">
        <w:t xml:space="preserve"> to take up the position of </w:t>
      </w:r>
      <w:r w:rsidR="00560FB9" w:rsidRPr="00560FB9">
        <w:t>Chief Parliamentary Counsel of Victoria</w:t>
      </w:r>
      <w:r w:rsidRPr="00560FB9">
        <w:t>.</w:t>
      </w:r>
    </w:p>
    <w:p w:rsidR="00B8402C" w:rsidRPr="00560FB9" w:rsidRDefault="00714D06" w:rsidP="00A76439">
      <w:pPr>
        <w:pStyle w:val="BodyNum"/>
      </w:pPr>
      <w:r w:rsidRPr="00560FB9">
        <w:lastRenderedPageBreak/>
        <w:t>Until h</w:t>
      </w:r>
      <w:r w:rsidR="00560FB9">
        <w:t>er departure</w:t>
      </w:r>
      <w:r w:rsidRPr="00560FB9">
        <w:t xml:space="preserve">, </w:t>
      </w:r>
      <w:r w:rsidR="00560FB9">
        <w:t>Marina</w:t>
      </w:r>
      <w:r w:rsidRPr="00560FB9">
        <w:t xml:space="preserve"> held the position of Second Parliamentary Counsel.</w:t>
      </w:r>
    </w:p>
    <w:p w:rsidR="00714D06" w:rsidRDefault="00560FB9" w:rsidP="00A76439">
      <w:pPr>
        <w:pStyle w:val="BodyNum"/>
      </w:pPr>
      <w:r>
        <w:t>Marina</w:t>
      </w:r>
      <w:r w:rsidR="00714D06" w:rsidRPr="00560FB9">
        <w:t xml:space="preserve"> started work with OPC in </w:t>
      </w:r>
      <w:r w:rsidR="00E038E7">
        <w:t xml:space="preserve">April </w:t>
      </w:r>
      <w:r w:rsidR="00714D06" w:rsidRPr="00560FB9">
        <w:t>19</w:t>
      </w:r>
      <w:r>
        <w:t>9</w:t>
      </w:r>
      <w:r w:rsidR="00E038E7">
        <w:t>3 having previously worked in a number of Government Departments</w:t>
      </w:r>
      <w:r w:rsidR="00714D06" w:rsidRPr="00560FB9">
        <w:t>.</w:t>
      </w:r>
    </w:p>
    <w:p w:rsidR="00560FB9" w:rsidRPr="009A21DE" w:rsidRDefault="00560FB9" w:rsidP="009A21DE">
      <w:pPr>
        <w:pStyle w:val="BodyNum"/>
      </w:pPr>
      <w:r w:rsidRPr="00560FB9">
        <w:t xml:space="preserve">Marina </w:t>
      </w:r>
      <w:r w:rsidR="00714D06" w:rsidRPr="00560FB9">
        <w:t>worked on a vast range of legislation during h</w:t>
      </w:r>
      <w:r w:rsidRPr="00560FB9">
        <w:t>er</w:t>
      </w:r>
      <w:r w:rsidR="00714D06" w:rsidRPr="00560FB9">
        <w:t xml:space="preserve"> time with OPC. This included</w:t>
      </w:r>
      <w:r>
        <w:t>:</w:t>
      </w:r>
    </w:p>
    <w:p w:rsidR="00560FB9" w:rsidRDefault="00560FB9" w:rsidP="00560FB9">
      <w:pPr>
        <w:pStyle w:val="AnnualReportBullet"/>
        <w:numPr>
          <w:ilvl w:val="0"/>
          <w:numId w:val="30"/>
        </w:numPr>
      </w:pPr>
      <w:r w:rsidRPr="008C6E61">
        <w:rPr>
          <w:i/>
        </w:rPr>
        <w:t>Succession to the Crown Act 2015</w:t>
      </w:r>
      <w:r>
        <w:t>;</w:t>
      </w:r>
    </w:p>
    <w:p w:rsidR="00560FB9" w:rsidRDefault="00560FB9" w:rsidP="00560FB9">
      <w:pPr>
        <w:pStyle w:val="AnnualReportBullet"/>
        <w:numPr>
          <w:ilvl w:val="0"/>
          <w:numId w:val="30"/>
        </w:numPr>
      </w:pPr>
      <w:r w:rsidRPr="008C6E61">
        <w:rPr>
          <w:i/>
        </w:rPr>
        <w:t>National Disability Insurance Scheme Act 2013</w:t>
      </w:r>
      <w:r>
        <w:t>;</w:t>
      </w:r>
    </w:p>
    <w:p w:rsidR="00560FB9" w:rsidRDefault="00B462E1" w:rsidP="00560FB9">
      <w:pPr>
        <w:pStyle w:val="AnnualReportBullet"/>
        <w:numPr>
          <w:ilvl w:val="0"/>
          <w:numId w:val="30"/>
        </w:numPr>
      </w:pPr>
      <w:r>
        <w:rPr>
          <w:i/>
        </w:rPr>
        <w:t>Navigation Act 2</w:t>
      </w:r>
      <w:r w:rsidR="00560FB9" w:rsidRPr="008C6E61">
        <w:rPr>
          <w:i/>
        </w:rPr>
        <w:t>012</w:t>
      </w:r>
      <w:r w:rsidR="00560FB9">
        <w:t>;</w:t>
      </w:r>
    </w:p>
    <w:p w:rsidR="00560FB9" w:rsidRDefault="00560FB9" w:rsidP="00560FB9">
      <w:pPr>
        <w:pStyle w:val="AnnualReportBullet"/>
        <w:numPr>
          <w:ilvl w:val="0"/>
          <w:numId w:val="30"/>
        </w:numPr>
      </w:pPr>
      <w:r w:rsidRPr="008C6E61">
        <w:rPr>
          <w:i/>
        </w:rPr>
        <w:t>Personally Controlled Electronic Records Act 2012</w:t>
      </w:r>
      <w:r>
        <w:t>;</w:t>
      </w:r>
    </w:p>
    <w:p w:rsidR="00560FB9" w:rsidRDefault="00560FB9" w:rsidP="00560FB9">
      <w:pPr>
        <w:pStyle w:val="AnnualReportBullet"/>
        <w:numPr>
          <w:ilvl w:val="0"/>
          <w:numId w:val="30"/>
        </w:numPr>
      </w:pPr>
      <w:r w:rsidRPr="008C6E61">
        <w:rPr>
          <w:i/>
        </w:rPr>
        <w:t>Military Justice (Interim Measures) Act (No. 1) 2009</w:t>
      </w:r>
      <w:r>
        <w:t>;</w:t>
      </w:r>
    </w:p>
    <w:p w:rsidR="00560FB9" w:rsidRDefault="00560FB9" w:rsidP="00560FB9">
      <w:pPr>
        <w:pStyle w:val="AnnualReportBullet"/>
        <w:numPr>
          <w:ilvl w:val="0"/>
          <w:numId w:val="30"/>
        </w:numPr>
      </w:pPr>
      <w:r w:rsidRPr="008C6E61">
        <w:rPr>
          <w:i/>
        </w:rPr>
        <w:t>Fair Work Act 2009</w:t>
      </w:r>
      <w:r>
        <w:t>;</w:t>
      </w:r>
    </w:p>
    <w:p w:rsidR="00560FB9" w:rsidRDefault="00560FB9" w:rsidP="00560FB9">
      <w:pPr>
        <w:pStyle w:val="AnnualReportBullet"/>
        <w:numPr>
          <w:ilvl w:val="0"/>
          <w:numId w:val="30"/>
        </w:numPr>
      </w:pPr>
      <w:r w:rsidRPr="008C6E61">
        <w:rPr>
          <w:i/>
        </w:rPr>
        <w:t>Designs Act 2003</w:t>
      </w:r>
      <w:r>
        <w:t>; and</w:t>
      </w:r>
    </w:p>
    <w:p w:rsidR="00560FB9" w:rsidRDefault="00560FB9" w:rsidP="00560FB9">
      <w:pPr>
        <w:pStyle w:val="AnnualReportBullet"/>
        <w:numPr>
          <w:ilvl w:val="0"/>
          <w:numId w:val="30"/>
        </w:numPr>
      </w:pPr>
      <w:r w:rsidRPr="008C6E61">
        <w:rPr>
          <w:i/>
        </w:rPr>
        <w:t>Gene Technology Act 2000</w:t>
      </w:r>
      <w:r>
        <w:t>.</w:t>
      </w:r>
    </w:p>
    <w:p w:rsidR="00714D06" w:rsidRDefault="00714D06" w:rsidP="00714D06">
      <w:pPr>
        <w:pStyle w:val="BodyNum"/>
      </w:pPr>
      <w:r w:rsidRPr="00271104">
        <w:t xml:space="preserve">In addition to </w:t>
      </w:r>
      <w:r w:rsidR="00271104">
        <w:t>her</w:t>
      </w:r>
      <w:r w:rsidRPr="00271104">
        <w:t xml:space="preserve"> contribution through drafting, </w:t>
      </w:r>
      <w:r w:rsidR="00271104">
        <w:t>Marina</w:t>
      </w:r>
      <w:r w:rsidRPr="00271104">
        <w:t xml:space="preserve"> made an enormous contribution as a member of </w:t>
      </w:r>
      <w:proofErr w:type="spellStart"/>
      <w:r w:rsidRPr="00271104">
        <w:t>OPC’s</w:t>
      </w:r>
      <w:proofErr w:type="spellEnd"/>
      <w:r w:rsidRPr="00271104">
        <w:t xml:space="preserve"> Senior Management Team for </w:t>
      </w:r>
      <w:r w:rsidR="00271104">
        <w:t>9</w:t>
      </w:r>
      <w:r w:rsidRPr="00271104">
        <w:t xml:space="preserve"> years. </w:t>
      </w:r>
    </w:p>
    <w:p w:rsidR="00271104" w:rsidRDefault="00271104" w:rsidP="00271104">
      <w:pPr>
        <w:pStyle w:val="BodyNum"/>
      </w:pPr>
      <w:r>
        <w:t>In particular</w:t>
      </w:r>
      <w:r w:rsidR="002D1BE0">
        <w:t>,</w:t>
      </w:r>
      <w:r>
        <w:t xml:space="preserve"> she contributed to the </w:t>
      </w:r>
      <w:r w:rsidRPr="00271104">
        <w:t>drafting knowledge and overall management of OP</w:t>
      </w:r>
      <w:r>
        <w:t>C.</w:t>
      </w:r>
    </w:p>
    <w:p w:rsidR="00271104" w:rsidRDefault="00271104" w:rsidP="00271104">
      <w:pPr>
        <w:pStyle w:val="BodyNum"/>
      </w:pPr>
      <w:r>
        <w:lastRenderedPageBreak/>
        <w:t xml:space="preserve">She also had </w:t>
      </w:r>
      <w:r w:rsidRPr="00271104">
        <w:t xml:space="preserve">numerous periods acting </w:t>
      </w:r>
      <w:r>
        <w:t xml:space="preserve">as </w:t>
      </w:r>
      <w:r w:rsidRPr="00271104">
        <w:t>FPC</w:t>
      </w:r>
      <w:r>
        <w:t>.</w:t>
      </w:r>
    </w:p>
    <w:p w:rsidR="00271104" w:rsidRPr="00271104" w:rsidRDefault="00271104" w:rsidP="00271104">
      <w:pPr>
        <w:pStyle w:val="BodyNum"/>
      </w:pPr>
      <w:r>
        <w:t>She had a substantial</w:t>
      </w:r>
      <w:r w:rsidRPr="00271104">
        <w:t xml:space="preserve"> role in contributing to a positive culture and in implementing</w:t>
      </w:r>
      <w:r w:rsidR="009A21DE">
        <w:t xml:space="preserve"> the</w:t>
      </w:r>
      <w:r w:rsidRPr="00271104">
        <w:t xml:space="preserve"> transfer of subordinate legislation function to OPC. </w:t>
      </w:r>
    </w:p>
    <w:p w:rsidR="00C82FEF" w:rsidRDefault="00C82FEF">
      <w:pPr>
        <w:pStyle w:val="Head3"/>
      </w:pPr>
      <w:bookmarkStart w:id="19" w:name="_Toc492656454"/>
      <w:r>
        <w:t>Retirement of Paul Lanspeary</w:t>
      </w:r>
      <w:bookmarkEnd w:id="19"/>
    </w:p>
    <w:p w:rsidR="00322B90" w:rsidRDefault="00322B90" w:rsidP="00322B90">
      <w:pPr>
        <w:pStyle w:val="BodyNum"/>
      </w:pPr>
      <w:r>
        <w:t xml:space="preserve">Paul Lanspeary retired from his position as First Assistant Parliamentary Counsel in </w:t>
      </w:r>
      <w:r w:rsidR="009359D5">
        <w:t>November 2016.</w:t>
      </w:r>
    </w:p>
    <w:p w:rsidR="00322B90" w:rsidRDefault="00322B90" w:rsidP="00322B90">
      <w:pPr>
        <w:pStyle w:val="BodyNum"/>
      </w:pPr>
      <w:r>
        <w:t>Paul joined OPC in January 1983.</w:t>
      </w:r>
    </w:p>
    <w:p w:rsidR="00322B90" w:rsidRDefault="009359D5" w:rsidP="00322B90">
      <w:pPr>
        <w:pStyle w:val="BodyNum"/>
      </w:pPr>
      <w:r>
        <w:t xml:space="preserve">During his time at OPC </w:t>
      </w:r>
      <w:r w:rsidR="00322B90">
        <w:t xml:space="preserve">Paul drafted many major pieces of legislation. </w:t>
      </w:r>
      <w:r>
        <w:t>O</w:t>
      </w:r>
      <w:r w:rsidR="00322B90">
        <w:t>ne of the most important and mem</w:t>
      </w:r>
      <w:r w:rsidR="002D1BE0">
        <w:t xml:space="preserve">orable is the GST legislation. </w:t>
      </w:r>
      <w:r w:rsidR="00322B90">
        <w:t xml:space="preserve">Other major projects include the Minerals Rent Resource Tax, the Evidence Act, the Higher Education Support Act, the Australian Consumer Law, and the proceeds of crime legislation. </w:t>
      </w:r>
      <w:r>
        <w:t xml:space="preserve">In addition, </w:t>
      </w:r>
      <w:r w:rsidR="00322B90">
        <w:t>there have been many, many other</w:t>
      </w:r>
      <w:r w:rsidR="00E959B6">
        <w:t>s</w:t>
      </w:r>
      <w:r w:rsidR="00322B90">
        <w:t xml:space="preserve"> covering almost every major po</w:t>
      </w:r>
      <w:r w:rsidR="00F70550">
        <w:t>licy area</w:t>
      </w:r>
      <w:r w:rsidR="00322B90">
        <w:t>: health, attorney-general’s, workplace relations, environment</w:t>
      </w:r>
      <w:r>
        <w:t xml:space="preserve"> and</w:t>
      </w:r>
      <w:r w:rsidR="00322B90">
        <w:t xml:space="preserve"> treasury.</w:t>
      </w:r>
    </w:p>
    <w:p w:rsidR="00322B90" w:rsidRDefault="00322B90" w:rsidP="00322B90">
      <w:pPr>
        <w:pStyle w:val="BodyNum"/>
      </w:pPr>
      <w:r>
        <w:t xml:space="preserve">Paul’s ability to take on the largest and highest profile jobs and </w:t>
      </w:r>
      <w:r>
        <w:lastRenderedPageBreak/>
        <w:t>to get them done with no fuss has been an incredible asset to OPC.</w:t>
      </w:r>
    </w:p>
    <w:p w:rsidR="006E0822" w:rsidRDefault="006E0822">
      <w:pPr>
        <w:pStyle w:val="Head3"/>
      </w:pPr>
      <w:bookmarkStart w:id="20" w:name="_Toc492656455"/>
      <w:r>
        <w:t>Placements in House and Senate</w:t>
      </w:r>
      <w:bookmarkEnd w:id="20"/>
    </w:p>
    <w:p w:rsidR="00A76439" w:rsidRDefault="00A76439" w:rsidP="00A76439">
      <w:pPr>
        <w:pStyle w:val="BodyNum"/>
      </w:pPr>
      <w:r>
        <w:t xml:space="preserve">During the year we continued the arrangements with each of the </w:t>
      </w:r>
      <w:r w:rsidR="003534D7">
        <w:t>2</w:t>
      </w:r>
      <w:r>
        <w:t xml:space="preserve"> Houses of Parliament to have drafters working in Parliament House.</w:t>
      </w:r>
    </w:p>
    <w:p w:rsidR="00A76439" w:rsidRDefault="00A76439" w:rsidP="00A76439">
      <w:pPr>
        <w:pStyle w:val="BodyNum"/>
      </w:pPr>
      <w:r>
        <w:t>The arrangement with the Senate is a secondment to the procedure office for one of our assis</w:t>
      </w:r>
      <w:r w:rsidR="005A63E1">
        <w:t xml:space="preserve">tant drafters. </w:t>
      </w:r>
      <w:r>
        <w:t>This position is a valuable learning exercise for the drafters who are involved</w:t>
      </w:r>
      <w:r w:rsidR="003534D7">
        <w:t>,</w:t>
      </w:r>
      <w:r>
        <w:t xml:space="preserve"> as well as a practical way of OPC providing some assistance to the Senate.</w:t>
      </w:r>
    </w:p>
    <w:p w:rsidR="00043C4A" w:rsidRPr="00043C4A" w:rsidRDefault="00A76439" w:rsidP="00A76439">
      <w:pPr>
        <w:pStyle w:val="BodyNum"/>
      </w:pPr>
      <w:r>
        <w:t xml:space="preserve">We also provided a senior drafter to assist the House of Representatives to deal with Private Members’ work. This arrangement has been quite successful and is being continued </w:t>
      </w:r>
      <w:r w:rsidR="00DB3B1E">
        <w:t>with the drafter</w:t>
      </w:r>
      <w:r>
        <w:t xml:space="preserve"> predominately </w:t>
      </w:r>
      <w:r w:rsidR="00DB3B1E">
        <w:t xml:space="preserve">working </w:t>
      </w:r>
      <w:r>
        <w:t xml:space="preserve">from </w:t>
      </w:r>
      <w:proofErr w:type="spellStart"/>
      <w:r>
        <w:t>OPC’s</w:t>
      </w:r>
      <w:proofErr w:type="spellEnd"/>
      <w:r>
        <w:t xml:space="preserve"> offices.</w:t>
      </w:r>
    </w:p>
    <w:p w:rsidR="00CB554F" w:rsidRDefault="00CB554F">
      <w:pPr>
        <w:pStyle w:val="Head3"/>
      </w:pPr>
      <w:bookmarkStart w:id="21" w:name="_Toc492656456"/>
      <w:r>
        <w:lastRenderedPageBreak/>
        <w:t>Outlook for coming year</w:t>
      </w:r>
      <w:bookmarkEnd w:id="21"/>
    </w:p>
    <w:p w:rsidR="00A76439" w:rsidRDefault="00A76439" w:rsidP="00A76439">
      <w:pPr>
        <w:pStyle w:val="BodyNum"/>
      </w:pPr>
      <w:r>
        <w:t xml:space="preserve">I believe that the next year will see a </w:t>
      </w:r>
      <w:r w:rsidR="001A0E48">
        <w:t xml:space="preserve">substantial increase in the already </w:t>
      </w:r>
      <w:r>
        <w:t>very high level of deman</w:t>
      </w:r>
      <w:r w:rsidR="005A63E1">
        <w:t xml:space="preserve">d for </w:t>
      </w:r>
      <w:proofErr w:type="spellStart"/>
      <w:r w:rsidR="005A63E1">
        <w:t>OPC’s</w:t>
      </w:r>
      <w:proofErr w:type="spellEnd"/>
      <w:r w:rsidR="005A63E1">
        <w:t xml:space="preserve"> drafting resources.</w:t>
      </w:r>
    </w:p>
    <w:p w:rsidR="00071BE9" w:rsidRDefault="00A76439" w:rsidP="00071BE9">
      <w:pPr>
        <w:pStyle w:val="BodyNum"/>
      </w:pPr>
      <w:r>
        <w:t xml:space="preserve">At the same time, OPC will continue to concentrate on the need to </w:t>
      </w:r>
      <w:r w:rsidR="00762035">
        <w:t xml:space="preserve">recruit, </w:t>
      </w:r>
      <w:r>
        <w:t xml:space="preserve">train and retain the highest quality staff in order to meet the demands of the future. OPC will also need to recruit new drafters to ensure the long-term viability of </w:t>
      </w:r>
      <w:r w:rsidR="00C9756F">
        <w:t>OPC</w:t>
      </w:r>
      <w:r>
        <w:t>.</w:t>
      </w:r>
    </w:p>
    <w:p w:rsidR="00CB554F" w:rsidRDefault="00A76439" w:rsidP="00071BE9">
      <w:pPr>
        <w:pStyle w:val="BodyNum"/>
      </w:pPr>
      <w:r>
        <w:t xml:space="preserve">Work </w:t>
      </w:r>
      <w:r w:rsidR="001A0E48">
        <w:t xml:space="preserve">has </w:t>
      </w:r>
      <w:r>
        <w:t xml:space="preserve">also </w:t>
      </w:r>
      <w:r w:rsidR="008A41E2">
        <w:t>commence</w:t>
      </w:r>
      <w:r w:rsidR="001A0E48">
        <w:t>d</w:t>
      </w:r>
      <w:r w:rsidR="008A41E2">
        <w:t xml:space="preserve"> </w:t>
      </w:r>
      <w:r w:rsidR="00DB3B1E">
        <w:t xml:space="preserve">on the </w:t>
      </w:r>
      <w:r w:rsidR="00762035">
        <w:t>redevelopment</w:t>
      </w:r>
      <w:r w:rsidR="00DB3B1E">
        <w:t xml:space="preserve"> of the </w:t>
      </w:r>
      <w:r w:rsidR="00110EA7">
        <w:t>Legislation</w:t>
      </w:r>
      <w:r w:rsidR="00DB3B1E">
        <w:t xml:space="preserve"> Register and on </w:t>
      </w:r>
      <w:r>
        <w:t>continu</w:t>
      </w:r>
      <w:r w:rsidR="00DB3B1E">
        <w:t xml:space="preserve">ing to improve </w:t>
      </w:r>
      <w:r>
        <w:t>the effectiveness of the publications functions of OPC. These are critical in ensuring that the public has ready access to legislation.</w:t>
      </w:r>
    </w:p>
    <w:p w:rsidR="00A76439" w:rsidRDefault="00A76439" w:rsidP="003D018E">
      <w:pPr>
        <w:pStyle w:val="BodyNum"/>
        <w:numPr>
          <w:ilvl w:val="0"/>
          <w:numId w:val="0"/>
        </w:numPr>
      </w:pPr>
    </w:p>
    <w:p w:rsidR="003D018E" w:rsidRPr="003D018E" w:rsidRDefault="003D018E" w:rsidP="003D018E">
      <w:pPr>
        <w:spacing w:line="300" w:lineRule="exact"/>
        <w:rPr>
          <w:rFonts w:ascii="Arial" w:hAnsi="Arial"/>
          <w:sz w:val="20"/>
        </w:rPr>
      </w:pPr>
      <w:r w:rsidRPr="003D018E">
        <w:rPr>
          <w:rFonts w:ascii="Arial" w:hAnsi="Arial"/>
          <w:sz w:val="20"/>
        </w:rPr>
        <w:t xml:space="preserve">Peter Quiggin </w:t>
      </w:r>
      <w:proofErr w:type="spellStart"/>
      <w:r w:rsidRPr="003D018E">
        <w:rPr>
          <w:rFonts w:ascii="Arial" w:hAnsi="Arial"/>
          <w:sz w:val="20"/>
        </w:rPr>
        <w:t>PSM</w:t>
      </w:r>
      <w:proofErr w:type="spellEnd"/>
    </w:p>
    <w:p w:rsidR="003D018E" w:rsidRPr="003D018E" w:rsidRDefault="003D018E" w:rsidP="003D018E">
      <w:pPr>
        <w:spacing w:line="300" w:lineRule="exact"/>
        <w:rPr>
          <w:rFonts w:ascii="Arial" w:hAnsi="Arial"/>
          <w:sz w:val="20"/>
        </w:rPr>
        <w:sectPr w:rsidR="003D018E" w:rsidRPr="003D018E">
          <w:headerReference w:type="even" r:id="rId30"/>
          <w:headerReference w:type="default" r:id="rId31"/>
          <w:type w:val="continuous"/>
          <w:pgSz w:w="11907" w:h="16839" w:code="9"/>
          <w:pgMar w:top="1134" w:right="2410" w:bottom="4253" w:left="2410" w:header="510" w:footer="3402" w:gutter="0"/>
          <w:pgNumType w:start="1"/>
          <w:cols w:num="2" w:space="709"/>
          <w:docGrid w:linePitch="326"/>
        </w:sectPr>
      </w:pPr>
      <w:r w:rsidRPr="003D018E">
        <w:rPr>
          <w:rFonts w:ascii="Arial" w:hAnsi="Arial"/>
          <w:sz w:val="20"/>
        </w:rPr>
        <w:t>First Parliamentary Counsel</w:t>
      </w:r>
    </w:p>
    <w:p w:rsidR="00CB554F" w:rsidRDefault="00CB554F" w:rsidP="00A80292">
      <w:pPr>
        <w:pStyle w:val="BodyNum"/>
        <w:sectPr w:rsidR="00CB554F">
          <w:headerReference w:type="even" r:id="rId32"/>
          <w:headerReference w:type="default" r:id="rId33"/>
          <w:type w:val="continuous"/>
          <w:pgSz w:w="11907" w:h="16839" w:code="9"/>
          <w:pgMar w:top="1134" w:right="2410" w:bottom="4253" w:left="2410" w:header="510" w:footer="3402" w:gutter="0"/>
          <w:cols w:num="2" w:space="709"/>
          <w:docGrid w:linePitch="326"/>
        </w:sectPr>
      </w:pPr>
    </w:p>
    <w:p w:rsidR="00BF3A89" w:rsidRDefault="00BF3A89" w:rsidP="00BF3A89">
      <w:pPr>
        <w:pStyle w:val="Head2"/>
        <w:sectPr w:rsidR="00BF3A89">
          <w:headerReference w:type="even" r:id="rId34"/>
          <w:pgSz w:w="11907" w:h="16839" w:code="9"/>
          <w:pgMar w:top="1134" w:right="2410" w:bottom="4253" w:left="2410" w:header="510" w:footer="3402" w:gutter="0"/>
          <w:cols w:space="709"/>
          <w:docGrid w:linePitch="326"/>
        </w:sectPr>
      </w:pPr>
      <w:bookmarkStart w:id="22" w:name="_Toc492656457"/>
      <w:r>
        <w:lastRenderedPageBreak/>
        <w:t>Chapter 1—Overview of OPC</w:t>
      </w:r>
      <w:bookmarkEnd w:id="22"/>
    </w:p>
    <w:p w:rsidR="00BF3A89" w:rsidRDefault="00BF3A89" w:rsidP="00843579">
      <w:pPr>
        <w:pStyle w:val="Head3"/>
      </w:pPr>
      <w:bookmarkStart w:id="23" w:name="_Toc492656458"/>
      <w:r>
        <w:lastRenderedPageBreak/>
        <w:t>Role and functions of OPC</w:t>
      </w:r>
      <w:bookmarkStart w:id="24" w:name="_Ref113266728"/>
      <w:bookmarkEnd w:id="23"/>
    </w:p>
    <w:p w:rsidR="00BF3A89" w:rsidRDefault="000A396C" w:rsidP="00BF3A89">
      <w:pPr>
        <w:pStyle w:val="BodyNum"/>
      </w:pPr>
      <w:r>
        <w:t xml:space="preserve">OPC is the Commonwealth’s principal provider of professional legislative drafting and publishing services. OPC delivers timely, high quality drafting and advisory services for Bills, legislative instruments and other instruments, prepares compilations of laws as amended and publishes legislation and government notices on behalf of more than 70 agencies. OPC also provides comprehensive, free access to Commonwealth legislation and related material through the </w:t>
      </w:r>
      <w:r w:rsidR="003C2EB0">
        <w:t>Federal Register of Legislation (</w:t>
      </w:r>
      <w:r w:rsidR="003C2EB0" w:rsidRPr="003C2EB0">
        <w:rPr>
          <w:b/>
          <w:i/>
        </w:rPr>
        <w:t>the Legislation Register</w:t>
      </w:r>
      <w:r w:rsidR="003C2EB0">
        <w:t>)</w:t>
      </w:r>
      <w:r>
        <w:t xml:space="preserve"> website</w:t>
      </w:r>
      <w:r w:rsidR="00BF3A89">
        <w:t>.</w:t>
      </w:r>
    </w:p>
    <w:bookmarkEnd w:id="24"/>
    <w:p w:rsidR="000A396C" w:rsidRDefault="000A396C" w:rsidP="000A396C">
      <w:pPr>
        <w:pStyle w:val="BodyNum"/>
      </w:pPr>
      <w:r>
        <w:t xml:space="preserve">OPC was established under the </w:t>
      </w:r>
      <w:r>
        <w:rPr>
          <w:i/>
        </w:rPr>
        <w:t>Parliamentary Counsel Act 1970</w:t>
      </w:r>
      <w:r>
        <w:t>. Its functions</w:t>
      </w:r>
      <w:r w:rsidR="00C9756F">
        <w:t xml:space="preserve"> are set out in section 3 of that</w:t>
      </w:r>
      <w:r>
        <w:t xml:space="preserve"> Act. The</w:t>
      </w:r>
      <w:r w:rsidR="00DB5EF4">
        <w:t>y</w:t>
      </w:r>
      <w:r>
        <w:t xml:space="preserve"> are:</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drafting of proposed laws for introduction into either House of the Parliament;</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drafting of amendments of proposed laws that are being considered by either House of the Parliament;</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drafting of subordinate legislation;</w:t>
      </w:r>
    </w:p>
    <w:p w:rsidR="000A396C" w:rsidRDefault="000A396C" w:rsidP="000A396C">
      <w:pPr>
        <w:pStyle w:val="AnnualReportBullet"/>
        <w:tabs>
          <w:tab w:val="left" w:pos="360"/>
        </w:tabs>
        <w:ind w:left="360" w:hanging="360"/>
      </w:pPr>
      <w:r>
        <w:rPr>
          <w:rFonts w:ascii="Symbol" w:hAnsi="Symbol"/>
        </w:rPr>
        <w:lastRenderedPageBreak/>
        <w:t></w:t>
      </w:r>
      <w:r>
        <w:rPr>
          <w:rFonts w:ascii="Symbol" w:hAnsi="Symbol"/>
        </w:rPr>
        <w:tab/>
      </w:r>
      <w:r>
        <w:t>the preparing of compilations and reprints of, and information relating to, laws of the Commonwealth;</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publishing, and the making of arrangements for the printing and publishing, of:</w:t>
      </w:r>
    </w:p>
    <w:p w:rsidR="000A396C" w:rsidRPr="00AE7888" w:rsidRDefault="000A396C" w:rsidP="000A396C">
      <w:pPr>
        <w:pStyle w:val="BodyParaBulletSub"/>
      </w:pPr>
      <w:r>
        <w:t>-</w:t>
      </w:r>
      <w:r>
        <w:tab/>
        <w:t>laws, and proposed laws, of the Commonwealth</w:t>
      </w:r>
      <w:r w:rsidRPr="00AE7888">
        <w:t>;</w:t>
      </w:r>
    </w:p>
    <w:p w:rsidR="000A396C" w:rsidRPr="00AE7888" w:rsidRDefault="000A396C" w:rsidP="000A396C">
      <w:pPr>
        <w:pStyle w:val="BodyParaBulletSub"/>
      </w:pPr>
      <w:r w:rsidRPr="00AE7888">
        <w:t>-</w:t>
      </w:r>
      <w:r>
        <w:tab/>
        <w:t>compilations and reprints of laws of the Commonwealth</w:t>
      </w:r>
      <w:r w:rsidRPr="00AE7888">
        <w:t>;</w:t>
      </w:r>
      <w:r>
        <w:t xml:space="preserve"> and</w:t>
      </w:r>
    </w:p>
    <w:p w:rsidR="000A396C" w:rsidRPr="00AE7888" w:rsidRDefault="000A396C" w:rsidP="000A396C">
      <w:pPr>
        <w:pStyle w:val="BodyParaBulletSub"/>
      </w:pPr>
      <w:r w:rsidRPr="00AE7888">
        <w:t>-</w:t>
      </w:r>
      <w:r>
        <w:tab/>
        <w:t>information relating to laws of the Commonwealth;</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the preparing and publishing of Government Notices Gazettes, including Special and Periodic Gazettes;</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 xml:space="preserve">functions conferred on </w:t>
      </w:r>
      <w:r w:rsidR="00C9756F">
        <w:t>OPC</w:t>
      </w:r>
      <w:r>
        <w:t xml:space="preserve"> (or on First Parliamentary Counsel) under the </w:t>
      </w:r>
      <w:r w:rsidR="003C2EB0">
        <w:rPr>
          <w:i/>
        </w:rPr>
        <w:t>Legislation</w:t>
      </w:r>
      <w:r>
        <w:rPr>
          <w:i/>
        </w:rPr>
        <w:t xml:space="preserve"> Act </w:t>
      </w:r>
      <w:r w:rsidR="003C2EB0">
        <w:rPr>
          <w:i/>
        </w:rPr>
        <w:t>2003</w:t>
      </w:r>
      <w:r w:rsidR="003C2EB0">
        <w:t xml:space="preserve">, </w:t>
      </w:r>
      <w:r>
        <w:t>and any other laws of the Commonwealth;</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with the written approval of the Minister—the provision of assistance to a foreign country in relation to the drafting, printing or publishing of laws of the country or information relating to those laws;</w:t>
      </w:r>
    </w:p>
    <w:p w:rsidR="000A396C" w:rsidRDefault="000A396C" w:rsidP="000A396C">
      <w:pPr>
        <w:pStyle w:val="AnnualReportBullet"/>
        <w:tabs>
          <w:tab w:val="left" w:pos="360"/>
        </w:tabs>
        <w:ind w:left="360" w:hanging="360"/>
      </w:pPr>
      <w:r>
        <w:rPr>
          <w:rFonts w:ascii="Symbol" w:hAnsi="Symbol"/>
        </w:rPr>
        <w:t></w:t>
      </w:r>
      <w:r>
        <w:rPr>
          <w:rFonts w:ascii="Symbol" w:hAnsi="Symbol"/>
        </w:rPr>
        <w:tab/>
      </w:r>
      <w:r>
        <w:t>functions conferred by the regulations; and</w:t>
      </w:r>
    </w:p>
    <w:p w:rsidR="00BF3A89" w:rsidRPr="000F2F5D" w:rsidRDefault="000A396C" w:rsidP="000A396C">
      <w:pPr>
        <w:pStyle w:val="AnnualReportBullet"/>
        <w:tabs>
          <w:tab w:val="left" w:pos="360"/>
        </w:tabs>
        <w:ind w:left="360" w:hanging="360"/>
      </w:pPr>
      <w:r>
        <w:rPr>
          <w:rFonts w:ascii="Symbol" w:hAnsi="Symbol"/>
        </w:rPr>
        <w:lastRenderedPageBreak/>
        <w:t></w:t>
      </w:r>
      <w:r>
        <w:rPr>
          <w:rFonts w:ascii="Symbol" w:hAnsi="Symbol"/>
        </w:rPr>
        <w:tab/>
      </w:r>
      <w:r>
        <w:t>functions incidental to any of the preceding functions</w:t>
      </w:r>
      <w:r w:rsidR="00BF3A89">
        <w:t>.</w:t>
      </w:r>
    </w:p>
    <w:p w:rsidR="00BF3A89" w:rsidRDefault="00BF3A89" w:rsidP="00BF3A89">
      <w:pPr>
        <w:pStyle w:val="Head3"/>
      </w:pPr>
      <w:bookmarkStart w:id="25" w:name="_Toc492656459"/>
      <w:r>
        <w:t>Organisational structure</w:t>
      </w:r>
      <w:bookmarkEnd w:id="25"/>
    </w:p>
    <w:p w:rsidR="00CB530E" w:rsidRDefault="00CB530E" w:rsidP="004D5F0F">
      <w:pPr>
        <w:pStyle w:val="BodyNum"/>
      </w:pPr>
      <w:bookmarkStart w:id="26" w:name="_Ref113169245"/>
      <w:r>
        <w:t xml:space="preserve">OPC is headed by the First Parliamentary Counsel and </w:t>
      </w:r>
      <w:r w:rsidR="00C6754E">
        <w:t>two</w:t>
      </w:r>
      <w:r>
        <w:t xml:space="preserve"> Second Parliamentary Counsel.</w:t>
      </w:r>
    </w:p>
    <w:p w:rsidR="004D5F0F" w:rsidRPr="004D5F0F" w:rsidRDefault="00AA50C8" w:rsidP="004D5F0F">
      <w:pPr>
        <w:pStyle w:val="BodyNum"/>
      </w:pPr>
      <w:r w:rsidRPr="004D5F0F">
        <w:t>OPC ha</w:t>
      </w:r>
      <w:r>
        <w:t>s</w:t>
      </w:r>
      <w:r w:rsidRPr="004D5F0F">
        <w:t xml:space="preserve"> </w:t>
      </w:r>
      <w:r>
        <w:t>3</w:t>
      </w:r>
      <w:r w:rsidRPr="004D5F0F">
        <w:t xml:space="preserve"> groups: Drafting, Publ</w:t>
      </w:r>
      <w:r>
        <w:t>ications and Corporate Services</w:t>
      </w:r>
      <w:r w:rsidR="004D5F0F" w:rsidRPr="004D5F0F">
        <w:t>.</w:t>
      </w:r>
    </w:p>
    <w:p w:rsidR="00BF3A89" w:rsidRDefault="00AA50C8" w:rsidP="00BF3A89">
      <w:pPr>
        <w:pStyle w:val="BodyNum"/>
      </w:pPr>
      <w:r>
        <w:t xml:space="preserve">In the </w:t>
      </w:r>
      <w:r w:rsidR="00683B9D">
        <w:t>D</w:t>
      </w:r>
      <w:r>
        <w:t>rafting group, drafting is carried out in teams consisting of drafters (who are all lawyers) supported by administrative staff. Some of the teams involve only 2 drafters (a senior drafter and an assistant drafter) but some involve more drafters working together in a variety of arrangements</w:t>
      </w:r>
      <w:r w:rsidR="00BF3A89">
        <w:t>.</w:t>
      </w:r>
      <w:bookmarkEnd w:id="26"/>
    </w:p>
    <w:p w:rsidR="00BF3A89" w:rsidRDefault="003738D9" w:rsidP="00BF3A89">
      <w:pPr>
        <w:pStyle w:val="BodyNum"/>
      </w:pPr>
      <w:r>
        <w:t>The First Parliamentary Counsel,</w:t>
      </w:r>
      <w:r w:rsidR="00BF3A89">
        <w:t xml:space="preserve"> the Second Parliamentary Counsel, and all SES drafters are senior drafters. They each head a drafting team and report to </w:t>
      </w:r>
      <w:r>
        <w:t xml:space="preserve">the </w:t>
      </w:r>
      <w:r w:rsidR="00BF3A89">
        <w:t>F</w:t>
      </w:r>
      <w:r>
        <w:t xml:space="preserve">irst </w:t>
      </w:r>
      <w:r w:rsidR="00BF3A89">
        <w:t>P</w:t>
      </w:r>
      <w:r>
        <w:t xml:space="preserve">arliamentary </w:t>
      </w:r>
      <w:r w:rsidR="00BF3A89">
        <w:t>C</w:t>
      </w:r>
      <w:r>
        <w:t>ounsel</w:t>
      </w:r>
      <w:r w:rsidR="00BF3A89">
        <w:t>. The other drafters are called assistant drafters and are supervised by the senior drafter who heads their team.</w:t>
      </w:r>
    </w:p>
    <w:p w:rsidR="00BF3B3C" w:rsidRPr="007D2ECF" w:rsidRDefault="00BF3B3C" w:rsidP="00BF3B3C">
      <w:pPr>
        <w:pStyle w:val="BodyNum"/>
      </w:pPr>
      <w:proofErr w:type="spellStart"/>
      <w:r w:rsidRPr="007D2ECF">
        <w:t>OPC’s</w:t>
      </w:r>
      <w:proofErr w:type="spellEnd"/>
      <w:r w:rsidRPr="007D2ECF">
        <w:t xml:space="preserve"> Publications group, headed by the General Manager Publishing, consists of:</w:t>
      </w:r>
    </w:p>
    <w:p w:rsidR="00BF3B3C" w:rsidRPr="007D2ECF" w:rsidRDefault="00BF3B3C" w:rsidP="00BF3B3C">
      <w:pPr>
        <w:pStyle w:val="AnnualReportBullet"/>
        <w:tabs>
          <w:tab w:val="left" w:pos="360"/>
        </w:tabs>
        <w:ind w:left="360" w:hanging="360"/>
      </w:pPr>
      <w:r w:rsidRPr="007D2ECF">
        <w:rPr>
          <w:rFonts w:ascii="Symbol" w:hAnsi="Symbol"/>
        </w:rPr>
        <w:lastRenderedPageBreak/>
        <w:t></w:t>
      </w:r>
      <w:r w:rsidRPr="007D2ECF">
        <w:rPr>
          <w:rFonts w:ascii="Symbol" w:hAnsi="Symbol"/>
        </w:rPr>
        <w:tab/>
      </w:r>
      <w:r w:rsidRPr="007D2ECF">
        <w:t>a team responsible for publishing policy, including preparation of sunsetting and bulk repeal lists, the Legislation</w:t>
      </w:r>
      <w:r w:rsidR="006D1A4E">
        <w:t xml:space="preserve"> Register</w:t>
      </w:r>
      <w:r w:rsidRPr="007D2ECF">
        <w:t xml:space="preserve"> Helpdesk</w:t>
      </w:r>
      <w:r>
        <w:t>, performance management</w:t>
      </w:r>
      <w:r w:rsidRPr="007D2ECF">
        <w:t xml:space="preserve"> and contributions to OPC policies;</w:t>
      </w:r>
    </w:p>
    <w:p w:rsidR="00BF3B3C" w:rsidRDefault="00BF3B3C" w:rsidP="00BF3B3C">
      <w:pPr>
        <w:pStyle w:val="AnnualReportBullet"/>
        <w:tabs>
          <w:tab w:val="left" w:pos="360"/>
        </w:tabs>
        <w:ind w:left="360" w:hanging="360"/>
      </w:pPr>
      <w:r w:rsidRPr="007D2ECF">
        <w:rPr>
          <w:rFonts w:ascii="Symbol" w:hAnsi="Symbol"/>
        </w:rPr>
        <w:t></w:t>
      </w:r>
      <w:r w:rsidRPr="007D2ECF">
        <w:rPr>
          <w:rFonts w:ascii="Symbol" w:hAnsi="Symbol"/>
        </w:rPr>
        <w:tab/>
      </w:r>
      <w:r w:rsidRPr="007D2ECF">
        <w:t>a team responsible for preparing</w:t>
      </w:r>
      <w:r w:rsidRPr="00302949">
        <w:t xml:space="preserve"> </w:t>
      </w:r>
      <w:r w:rsidRPr="007D2ECF">
        <w:t>compilations,</w:t>
      </w:r>
      <w:r>
        <w:t xml:space="preserve"> </w:t>
      </w:r>
      <w:r w:rsidRPr="007D2ECF">
        <w:t xml:space="preserve">the operation of </w:t>
      </w:r>
      <w:r w:rsidR="006D1A4E" w:rsidRPr="007D2ECF">
        <w:t>the Legislation</w:t>
      </w:r>
      <w:r w:rsidR="006D1A4E">
        <w:t xml:space="preserve"> Register</w:t>
      </w:r>
      <w:r w:rsidRPr="007D2ECF">
        <w:t xml:space="preserve">, the publishing and the making of arrangements for the printing of Commonwealth legislation, and the publishing of the Government Notices </w:t>
      </w:r>
      <w:r>
        <w:t>Gazette</w:t>
      </w:r>
      <w:r w:rsidR="006D1A4E">
        <w:t>;</w:t>
      </w:r>
    </w:p>
    <w:p w:rsidR="00BF3B3C" w:rsidRPr="00302949" w:rsidRDefault="00BF3B3C" w:rsidP="00BF3B3C">
      <w:pPr>
        <w:pStyle w:val="AnnualReportBullet"/>
        <w:tabs>
          <w:tab w:val="left" w:pos="360"/>
        </w:tabs>
        <w:ind w:left="360" w:hanging="360"/>
      </w:pPr>
      <w:r w:rsidRPr="007D2ECF">
        <w:rPr>
          <w:rFonts w:ascii="Symbol" w:hAnsi="Symbol"/>
        </w:rPr>
        <w:t></w:t>
      </w:r>
      <w:r w:rsidRPr="007D2ECF">
        <w:rPr>
          <w:rFonts w:ascii="Symbol" w:hAnsi="Symbol"/>
        </w:rPr>
        <w:tab/>
      </w:r>
      <w:r w:rsidRPr="00FF3A11">
        <w:t>a team r</w:t>
      </w:r>
      <w:r>
        <w:t xml:space="preserve">esponsible for </w:t>
      </w:r>
      <w:r w:rsidRPr="00302949">
        <w:t>proofreading</w:t>
      </w:r>
      <w:r w:rsidRPr="007D2ECF">
        <w:t xml:space="preserve"> and editorial checking</w:t>
      </w:r>
      <w:r>
        <w:t xml:space="preserve"> of all draft legislation drafted in OPC</w:t>
      </w:r>
      <w:r w:rsidRPr="007D2ECF">
        <w:t>; and</w:t>
      </w:r>
    </w:p>
    <w:p w:rsidR="00BF3B3C" w:rsidRPr="007D2ECF" w:rsidRDefault="00BF3B3C" w:rsidP="00BF3B3C">
      <w:pPr>
        <w:pStyle w:val="AnnualReportBullet"/>
        <w:tabs>
          <w:tab w:val="left" w:pos="360"/>
        </w:tabs>
        <w:ind w:left="360" w:hanging="360"/>
      </w:pPr>
      <w:r w:rsidRPr="007D2ECF">
        <w:rPr>
          <w:rFonts w:ascii="Symbol" w:hAnsi="Symbol"/>
        </w:rPr>
        <w:t></w:t>
      </w:r>
      <w:r w:rsidRPr="007D2ECF">
        <w:rPr>
          <w:rFonts w:ascii="Symbol" w:hAnsi="Symbol"/>
        </w:rPr>
        <w:tab/>
      </w:r>
      <w:r w:rsidRPr="007D2ECF">
        <w:t xml:space="preserve">a team responsible for the development and operation of the </w:t>
      </w:r>
      <w:r w:rsidR="006D1A4E" w:rsidRPr="007D2ECF">
        <w:t>Legislation</w:t>
      </w:r>
      <w:r w:rsidR="006D1A4E">
        <w:t xml:space="preserve"> Register</w:t>
      </w:r>
      <w:r w:rsidRPr="007D2ECF">
        <w:t xml:space="preserve"> website.</w:t>
      </w:r>
    </w:p>
    <w:p w:rsidR="00AA50C8" w:rsidRDefault="00AA50C8" w:rsidP="00AA50C8">
      <w:pPr>
        <w:pStyle w:val="BodyNum"/>
      </w:pPr>
      <w:proofErr w:type="spellStart"/>
      <w:r>
        <w:t>OPC’s</w:t>
      </w:r>
      <w:proofErr w:type="spellEnd"/>
      <w:r>
        <w:t xml:space="preserve"> Corporate Services group, headed by the General Manager and Chief Finance Officer, consists of:</w:t>
      </w:r>
    </w:p>
    <w:p w:rsidR="00AA50C8" w:rsidRDefault="00AA50C8" w:rsidP="00AA50C8">
      <w:pPr>
        <w:pStyle w:val="AnnualReportBullet"/>
        <w:tabs>
          <w:tab w:val="left" w:pos="360"/>
        </w:tabs>
        <w:ind w:left="360" w:hanging="360"/>
      </w:pPr>
      <w:r>
        <w:rPr>
          <w:rFonts w:ascii="Symbol" w:hAnsi="Symbol"/>
        </w:rPr>
        <w:t></w:t>
      </w:r>
      <w:r>
        <w:rPr>
          <w:rFonts w:ascii="Symbol" w:hAnsi="Symbol"/>
        </w:rPr>
        <w:tab/>
      </w:r>
      <w:r>
        <w:t>an Information Technology (</w:t>
      </w:r>
      <w:r w:rsidRPr="009D5AD7">
        <w:rPr>
          <w:b/>
          <w:i/>
        </w:rPr>
        <w:t>IT</w:t>
      </w:r>
      <w:r>
        <w:t xml:space="preserve">) section that manages, maintains and supports </w:t>
      </w:r>
      <w:proofErr w:type="spellStart"/>
      <w:r>
        <w:t>OPC’s</w:t>
      </w:r>
      <w:proofErr w:type="spellEnd"/>
      <w:r>
        <w:t xml:space="preserve"> IT environment;</w:t>
      </w:r>
    </w:p>
    <w:p w:rsidR="001C6802" w:rsidRDefault="001C6802" w:rsidP="001C6802">
      <w:pPr>
        <w:pStyle w:val="AnnualReportBullet"/>
        <w:tabs>
          <w:tab w:val="left" w:pos="360"/>
        </w:tabs>
        <w:ind w:left="360" w:hanging="360"/>
      </w:pPr>
      <w:r>
        <w:rPr>
          <w:rFonts w:ascii="Symbol" w:hAnsi="Symbol"/>
        </w:rPr>
        <w:t></w:t>
      </w:r>
      <w:r>
        <w:rPr>
          <w:rFonts w:ascii="Symbol" w:hAnsi="Symbol"/>
        </w:rPr>
        <w:tab/>
      </w:r>
      <w:r>
        <w:t xml:space="preserve">staff </w:t>
      </w:r>
      <w:r w:rsidR="00FA27B8">
        <w:t xml:space="preserve">providing </w:t>
      </w:r>
      <w:r>
        <w:t>human resources and financial services</w:t>
      </w:r>
      <w:r w:rsidR="00FA27B8">
        <w:t>;</w:t>
      </w:r>
    </w:p>
    <w:p w:rsidR="00FA27B8" w:rsidRDefault="00FA27B8" w:rsidP="00FA27B8">
      <w:pPr>
        <w:pStyle w:val="AnnualReportBullet"/>
        <w:tabs>
          <w:tab w:val="left" w:pos="360"/>
        </w:tabs>
        <w:ind w:left="360" w:hanging="360"/>
      </w:pPr>
      <w:r>
        <w:rPr>
          <w:rFonts w:ascii="Symbol" w:hAnsi="Symbol"/>
        </w:rPr>
        <w:lastRenderedPageBreak/>
        <w:t></w:t>
      </w:r>
      <w:r>
        <w:rPr>
          <w:rFonts w:ascii="Symbol" w:hAnsi="Symbol"/>
        </w:rPr>
        <w:tab/>
      </w:r>
      <w:r>
        <w:t>staff providing administrative support, records management,</w:t>
      </w:r>
      <w:r w:rsidR="00C6754E">
        <w:t xml:space="preserve"> and</w:t>
      </w:r>
      <w:r>
        <w:t xml:space="preserve"> property and security services; and</w:t>
      </w:r>
    </w:p>
    <w:p w:rsidR="00AA50C8" w:rsidRDefault="00AA50C8" w:rsidP="00AA50C8">
      <w:pPr>
        <w:pStyle w:val="AnnualReportBullet"/>
        <w:tabs>
          <w:tab w:val="left" w:pos="360"/>
        </w:tabs>
        <w:ind w:left="360" w:hanging="360"/>
      </w:pPr>
      <w:r>
        <w:rPr>
          <w:rFonts w:ascii="Symbol" w:hAnsi="Symbol"/>
        </w:rPr>
        <w:t></w:t>
      </w:r>
      <w:r>
        <w:rPr>
          <w:rFonts w:ascii="Symbol" w:hAnsi="Symbol"/>
        </w:rPr>
        <w:tab/>
      </w:r>
      <w:r w:rsidR="00FA27B8">
        <w:t>a legislation team</w:t>
      </w:r>
      <w:r>
        <w:t xml:space="preserve"> re</w:t>
      </w:r>
      <w:r w:rsidR="00FA27B8">
        <w:t>sponsible for</w:t>
      </w:r>
      <w:r>
        <w:t xml:space="preserve"> arranging for Bills to be </w:t>
      </w:r>
      <w:r w:rsidR="00FA27B8">
        <w:t>printed, tabled and related tasks.</w:t>
      </w:r>
    </w:p>
    <w:p w:rsidR="00BF3A89" w:rsidRDefault="00BF3A89" w:rsidP="00BF3A89">
      <w:pPr>
        <w:pStyle w:val="Head3"/>
      </w:pPr>
      <w:bookmarkStart w:id="27" w:name="_Toc492656460"/>
      <w:r>
        <w:t>Outcome and program structure</w:t>
      </w:r>
      <w:bookmarkEnd w:id="27"/>
    </w:p>
    <w:p w:rsidR="007B7E67" w:rsidRDefault="00C6754E" w:rsidP="00AA50C8">
      <w:pPr>
        <w:pStyle w:val="BodyNum"/>
      </w:pPr>
      <w:bookmarkStart w:id="28" w:name="_Ref113169255"/>
      <w:proofErr w:type="spellStart"/>
      <w:r>
        <w:t>OPC’s</w:t>
      </w:r>
      <w:proofErr w:type="spellEnd"/>
      <w:r>
        <w:t xml:space="preserve"> outcome for</w:t>
      </w:r>
      <w:r w:rsidR="00AA50C8">
        <w:t xml:space="preserve"> 201</w:t>
      </w:r>
      <w:r w:rsidR="00017656">
        <w:t>6</w:t>
      </w:r>
      <w:r w:rsidR="00AA50C8">
        <w:t>-201</w:t>
      </w:r>
      <w:r w:rsidR="00017656">
        <w:t>7</w:t>
      </w:r>
      <w:r>
        <w:t xml:space="preserve"> i</w:t>
      </w:r>
      <w:r w:rsidR="00AA50C8">
        <w:t>s “A body of Commonwealth laws and instruments that give effect to intended policy, and that are coherent, readable and readily accessible, through the drafting and publication of those laws and instruments”.</w:t>
      </w:r>
    </w:p>
    <w:bookmarkEnd w:id="28"/>
    <w:p w:rsidR="00AA50C8" w:rsidRPr="007B7E67" w:rsidRDefault="00AA50C8" w:rsidP="00AA50C8">
      <w:pPr>
        <w:pStyle w:val="BodyNum"/>
        <w:tabs>
          <w:tab w:val="clear" w:pos="720"/>
        </w:tabs>
      </w:pPr>
      <w:r>
        <w:t>For 201</w:t>
      </w:r>
      <w:r w:rsidR="00017656">
        <w:t>6</w:t>
      </w:r>
      <w:r>
        <w:t>-201</w:t>
      </w:r>
      <w:r w:rsidR="00017656">
        <w:t>7</w:t>
      </w:r>
      <w:r>
        <w:t xml:space="preserve">, OPC had one program and 5 program components contributing to meeting the </w:t>
      </w:r>
      <w:r w:rsidRPr="007B7E67">
        <w:t xml:space="preserve">outcome. </w:t>
      </w:r>
      <w:r>
        <w:t xml:space="preserve">The program was legislative drafting and publication. </w:t>
      </w:r>
      <w:r w:rsidRPr="007B7E67">
        <w:t xml:space="preserve">The program components </w:t>
      </w:r>
      <w:r>
        <w:t>were</w:t>
      </w:r>
      <w:r w:rsidRPr="007B7E67">
        <w:t>:</w:t>
      </w:r>
    </w:p>
    <w:p w:rsidR="00AA50C8" w:rsidRPr="007B7E67"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sidRPr="007B7E67">
        <w:rPr>
          <w:rFonts w:ascii="Arial" w:hAnsi="Arial"/>
          <w:sz w:val="20"/>
        </w:rPr>
        <w:t>Legislation;</w:t>
      </w:r>
    </w:p>
    <w:p w:rsidR="00AA50C8" w:rsidRPr="007B7E67"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Pr>
          <w:rFonts w:ascii="Arial" w:hAnsi="Arial"/>
          <w:sz w:val="20"/>
        </w:rPr>
        <w:t>Program</w:t>
      </w:r>
      <w:r w:rsidRPr="007B7E67">
        <w:rPr>
          <w:rFonts w:ascii="Arial" w:hAnsi="Arial"/>
          <w:sz w:val="20"/>
        </w:rPr>
        <w:t xml:space="preserve"> and project management;</w:t>
      </w:r>
    </w:p>
    <w:p w:rsidR="00AA50C8"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lastRenderedPageBreak/>
        <w:t></w:t>
      </w:r>
      <w:r w:rsidRPr="007B7E67">
        <w:rPr>
          <w:rFonts w:ascii="Symbol" w:hAnsi="Symbol"/>
          <w:sz w:val="20"/>
        </w:rPr>
        <w:tab/>
      </w:r>
      <w:r w:rsidRPr="007B7E67">
        <w:rPr>
          <w:rFonts w:ascii="Arial" w:hAnsi="Arial"/>
          <w:sz w:val="20"/>
        </w:rPr>
        <w:t>Legi</w:t>
      </w:r>
      <w:r>
        <w:rPr>
          <w:rFonts w:ascii="Arial" w:hAnsi="Arial"/>
          <w:sz w:val="20"/>
        </w:rPr>
        <w:t>slative drafting capability;</w:t>
      </w:r>
    </w:p>
    <w:p w:rsidR="00AA50C8" w:rsidRPr="007B7E67"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Pr>
          <w:rFonts w:ascii="Arial" w:hAnsi="Arial"/>
          <w:sz w:val="20"/>
        </w:rPr>
        <w:t>Standardisation and quality control of legislation</w:t>
      </w:r>
      <w:r w:rsidRPr="007B7E67">
        <w:rPr>
          <w:rFonts w:ascii="Arial" w:hAnsi="Arial"/>
          <w:sz w:val="20"/>
        </w:rPr>
        <w:t>; and</w:t>
      </w:r>
    </w:p>
    <w:p w:rsidR="007B7E67" w:rsidRDefault="00AA50C8" w:rsidP="00AA50C8">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Pr>
          <w:rFonts w:ascii="Arial" w:hAnsi="Arial"/>
          <w:sz w:val="20"/>
        </w:rPr>
        <w:t>Publication.</w:t>
      </w:r>
    </w:p>
    <w:p w:rsidR="006F40BF" w:rsidRDefault="006F40BF" w:rsidP="006F40BF">
      <w:pPr>
        <w:pStyle w:val="Head3"/>
      </w:pPr>
      <w:bookmarkStart w:id="29" w:name="_Toc492656461"/>
      <w:r>
        <w:t>Purpose</w:t>
      </w:r>
      <w:bookmarkEnd w:id="29"/>
    </w:p>
    <w:p w:rsidR="00DD32A7" w:rsidRDefault="00DD32A7" w:rsidP="00DD32A7">
      <w:pPr>
        <w:pStyle w:val="BodyNum"/>
      </w:pPr>
      <w:proofErr w:type="spellStart"/>
      <w:r>
        <w:t>OPC’s</w:t>
      </w:r>
      <w:proofErr w:type="spellEnd"/>
      <w:r>
        <w:t xml:space="preserve"> purpose</w:t>
      </w:r>
      <w:r w:rsidR="00762035">
        <w:t>s</w:t>
      </w:r>
      <w:r>
        <w:t xml:space="preserve"> </w:t>
      </w:r>
      <w:r w:rsidR="00762035">
        <w:t>are</w:t>
      </w:r>
      <w:r>
        <w:t xml:space="preserve"> derived from our enabling legislation and our outcome under the appropriation Acts.</w:t>
      </w:r>
    </w:p>
    <w:p w:rsidR="006F40BF" w:rsidRDefault="006F40BF" w:rsidP="006F40BF">
      <w:pPr>
        <w:pStyle w:val="BodyNum"/>
      </w:pPr>
      <w:proofErr w:type="spellStart"/>
      <w:r>
        <w:t>OPC’s</w:t>
      </w:r>
      <w:proofErr w:type="spellEnd"/>
      <w:r>
        <w:t xml:space="preserve"> purpose</w:t>
      </w:r>
      <w:r w:rsidR="00762035">
        <w:t>s</w:t>
      </w:r>
      <w:r>
        <w:t xml:space="preserve"> </w:t>
      </w:r>
      <w:r w:rsidR="00762035">
        <w:t>are</w:t>
      </w:r>
      <w:r>
        <w:t xml:space="preserve"> to:</w:t>
      </w:r>
    </w:p>
    <w:p w:rsidR="006F40BF" w:rsidRPr="007B7E67" w:rsidRDefault="006F40BF" w:rsidP="006F40BF">
      <w:pPr>
        <w:tabs>
          <w:tab w:val="left" w:pos="360"/>
        </w:tabs>
        <w:spacing w:before="60" w:line="300" w:lineRule="exact"/>
        <w:ind w:left="360" w:hanging="360"/>
        <w:rPr>
          <w:rFonts w:ascii="Arial" w:hAnsi="Arial"/>
          <w:sz w:val="20"/>
        </w:rPr>
      </w:pPr>
      <w:r w:rsidRPr="007B7E67">
        <w:rPr>
          <w:rFonts w:ascii="Symbol" w:hAnsi="Symbol"/>
          <w:sz w:val="20"/>
        </w:rPr>
        <w:t></w:t>
      </w:r>
      <w:r w:rsidRPr="007B7E67">
        <w:rPr>
          <w:rFonts w:ascii="Symbol" w:hAnsi="Symbol"/>
          <w:sz w:val="20"/>
        </w:rPr>
        <w:tab/>
      </w:r>
      <w:r>
        <w:rPr>
          <w:rFonts w:ascii="Arial" w:hAnsi="Arial"/>
          <w:sz w:val="20"/>
        </w:rPr>
        <w:t>enable government to carry out its legislative program through the drafting of all Bills, all legislative instruments to be made or approved by the Governor-General (Federal Executive Council instruments) and a range of other instruments</w:t>
      </w:r>
      <w:r w:rsidRPr="007B7E67">
        <w:rPr>
          <w:rFonts w:ascii="Arial" w:hAnsi="Arial"/>
          <w:sz w:val="20"/>
        </w:rPr>
        <w:t>;</w:t>
      </w:r>
      <w:r>
        <w:rPr>
          <w:rFonts w:ascii="Arial" w:hAnsi="Arial"/>
          <w:sz w:val="20"/>
        </w:rPr>
        <w:t xml:space="preserve"> and</w:t>
      </w:r>
    </w:p>
    <w:p w:rsidR="006F40BF" w:rsidRPr="00DD32A7" w:rsidRDefault="006F40BF" w:rsidP="00DD32A7">
      <w:pPr>
        <w:tabs>
          <w:tab w:val="left" w:pos="360"/>
        </w:tabs>
        <w:spacing w:before="60" w:line="300" w:lineRule="exact"/>
        <w:ind w:left="360" w:hanging="360"/>
        <w:rPr>
          <w:rFonts w:ascii="Arial" w:hAnsi="Arial"/>
          <w:sz w:val="20"/>
        </w:rPr>
        <w:sectPr w:rsidR="006F40BF" w:rsidRPr="00DD32A7">
          <w:headerReference w:type="even" r:id="rId35"/>
          <w:headerReference w:type="default" r:id="rId36"/>
          <w:footerReference w:type="even" r:id="rId37"/>
          <w:footerReference w:type="default" r:id="rId38"/>
          <w:type w:val="continuous"/>
          <w:pgSz w:w="11907" w:h="16839" w:code="9"/>
          <w:pgMar w:top="1134" w:right="2410" w:bottom="4253" w:left="2410" w:header="510" w:footer="3402" w:gutter="0"/>
          <w:cols w:num="2" w:space="709"/>
          <w:docGrid w:linePitch="326"/>
        </w:sectPr>
      </w:pPr>
      <w:r w:rsidRPr="007B7E67">
        <w:rPr>
          <w:rFonts w:ascii="Symbol" w:hAnsi="Symbol"/>
          <w:sz w:val="20"/>
        </w:rPr>
        <w:t></w:t>
      </w:r>
      <w:r w:rsidRPr="007B7E67">
        <w:rPr>
          <w:rFonts w:ascii="Symbol" w:hAnsi="Symbol"/>
          <w:sz w:val="20"/>
        </w:rPr>
        <w:tab/>
      </w:r>
      <w:r>
        <w:rPr>
          <w:rFonts w:ascii="Arial" w:hAnsi="Arial"/>
          <w:sz w:val="20"/>
        </w:rPr>
        <w:t>ensure Commonwealth laws and instruments are freely available and accessible to everyone by publishing those laws and instruments</w:t>
      </w:r>
      <w:r w:rsidR="00926EA4">
        <w:rPr>
          <w:rFonts w:ascii="Arial" w:hAnsi="Arial"/>
          <w:sz w:val="20"/>
        </w:rPr>
        <w:t xml:space="preserve"> on the </w:t>
      </w:r>
      <w:r w:rsidR="003C6CE5">
        <w:rPr>
          <w:rFonts w:ascii="Arial" w:hAnsi="Arial"/>
          <w:sz w:val="20"/>
        </w:rPr>
        <w:t>Legislation</w:t>
      </w:r>
      <w:r w:rsidR="00926EA4">
        <w:rPr>
          <w:rFonts w:ascii="Arial" w:hAnsi="Arial"/>
          <w:sz w:val="20"/>
        </w:rPr>
        <w:t xml:space="preserve"> Register</w:t>
      </w:r>
      <w:r w:rsidR="003C6CE5">
        <w:rPr>
          <w:rFonts w:ascii="Arial" w:hAnsi="Arial"/>
          <w:sz w:val="20"/>
        </w:rPr>
        <w:t xml:space="preserve"> </w:t>
      </w:r>
      <w:r>
        <w:rPr>
          <w:rFonts w:ascii="Arial" w:hAnsi="Arial"/>
          <w:sz w:val="20"/>
        </w:rPr>
        <w:t>website.</w:t>
      </w:r>
    </w:p>
    <w:p w:rsidR="00BF3A89" w:rsidRDefault="00BF3A89" w:rsidP="00BF3A89">
      <w:pPr>
        <w:pStyle w:val="AnnualReportBullet"/>
        <w:tabs>
          <w:tab w:val="left" w:pos="360"/>
        </w:tabs>
        <w:ind w:left="360" w:hanging="360"/>
        <w:sectPr w:rsidR="00BF3A89">
          <w:headerReference w:type="even" r:id="rId39"/>
          <w:headerReference w:type="default" r:id="rId40"/>
          <w:footerReference w:type="even" r:id="rId41"/>
          <w:footerReference w:type="default" r:id="rId42"/>
          <w:type w:val="continuous"/>
          <w:pgSz w:w="11907" w:h="16839" w:code="9"/>
          <w:pgMar w:top="1134" w:right="2410" w:bottom="4253" w:left="2410" w:header="510" w:footer="3402" w:gutter="0"/>
          <w:cols w:num="2" w:space="709"/>
          <w:docGrid w:linePitch="326"/>
        </w:sectPr>
      </w:pPr>
    </w:p>
    <w:p w:rsidR="003B561A" w:rsidRDefault="00B37353" w:rsidP="005710B8">
      <w:pPr>
        <w:pStyle w:val="Head2"/>
        <w:pageBreakBefore/>
      </w:pPr>
      <w:bookmarkStart w:id="30" w:name="_Toc492656462"/>
      <w:r>
        <w:lastRenderedPageBreak/>
        <w:t>Chapter 2—</w:t>
      </w:r>
      <w:r w:rsidR="006A126B">
        <w:t>Annual Performance Statement</w:t>
      </w:r>
      <w:bookmarkEnd w:id="30"/>
    </w:p>
    <w:p w:rsidR="005710B8" w:rsidRDefault="00C72777" w:rsidP="005C7ADA">
      <w:pPr>
        <w:pStyle w:val="Head3"/>
      </w:pPr>
      <w:bookmarkStart w:id="31" w:name="_Toc492656463"/>
      <w:r>
        <w:t>I</w:t>
      </w:r>
      <w:r w:rsidR="003C6CE5">
        <w:t>ntroductory s</w:t>
      </w:r>
      <w:r>
        <w:t>tatement</w:t>
      </w:r>
      <w:bookmarkEnd w:id="31"/>
    </w:p>
    <w:p w:rsidR="005710B8" w:rsidRPr="005710B8" w:rsidRDefault="005710B8" w:rsidP="005710B8">
      <w:pPr>
        <w:pStyle w:val="BodyNum"/>
        <w:sectPr w:rsidR="005710B8" w:rsidRPr="005710B8" w:rsidSect="005710B8">
          <w:type w:val="continuous"/>
          <w:pgSz w:w="11907" w:h="16839" w:code="9"/>
          <w:pgMar w:top="1134" w:right="2410" w:bottom="4253" w:left="2410" w:header="510" w:footer="3402" w:gutter="0"/>
          <w:cols w:space="709"/>
          <w:docGrid w:linePitch="326"/>
        </w:sectPr>
      </w:pPr>
    </w:p>
    <w:p w:rsidR="005710B8" w:rsidRDefault="00C72777" w:rsidP="00BB5E83">
      <w:pPr>
        <w:pStyle w:val="BodyNum"/>
        <w:sectPr w:rsidR="005710B8" w:rsidSect="003B561A">
          <w:type w:val="continuous"/>
          <w:pgSz w:w="11907" w:h="16839" w:code="9"/>
          <w:pgMar w:top="1134" w:right="2410" w:bottom="4253" w:left="2410" w:header="510" w:footer="3402" w:gutter="0"/>
          <w:cols w:num="2" w:space="709"/>
          <w:docGrid w:linePitch="326"/>
        </w:sectPr>
      </w:pPr>
      <w:r>
        <w:lastRenderedPageBreak/>
        <w:t xml:space="preserve">The annual performance statement has been prepared in accordance with section 39(1)(a) of the </w:t>
      </w:r>
      <w:r w:rsidRPr="00BB5E83">
        <w:rPr>
          <w:i/>
        </w:rPr>
        <w:t>P</w:t>
      </w:r>
      <w:r w:rsidR="00BB5E83" w:rsidRPr="00BB5E83">
        <w:rPr>
          <w:i/>
        </w:rPr>
        <w:t xml:space="preserve">ublic </w:t>
      </w:r>
      <w:r w:rsidRPr="00BB5E83">
        <w:rPr>
          <w:i/>
        </w:rPr>
        <w:t>G</w:t>
      </w:r>
      <w:r w:rsidR="00BB5E83" w:rsidRPr="00BB5E83">
        <w:rPr>
          <w:i/>
        </w:rPr>
        <w:t xml:space="preserve">overnance, </w:t>
      </w:r>
      <w:r w:rsidRPr="00BB5E83">
        <w:rPr>
          <w:i/>
        </w:rPr>
        <w:t>P</w:t>
      </w:r>
      <w:r w:rsidR="00BB5E83" w:rsidRPr="00BB5E83">
        <w:rPr>
          <w:i/>
        </w:rPr>
        <w:t xml:space="preserve">erformance and </w:t>
      </w:r>
      <w:r w:rsidRPr="00BB5E83">
        <w:rPr>
          <w:i/>
        </w:rPr>
        <w:t>A</w:t>
      </w:r>
      <w:r w:rsidR="00BB5E83" w:rsidRPr="00BB5E83">
        <w:rPr>
          <w:i/>
        </w:rPr>
        <w:t>ccountability</w:t>
      </w:r>
      <w:r w:rsidRPr="00BB5E83">
        <w:rPr>
          <w:i/>
        </w:rPr>
        <w:t xml:space="preserve"> Act</w:t>
      </w:r>
      <w:r w:rsidR="00BB5E83" w:rsidRPr="00BB5E83">
        <w:rPr>
          <w:i/>
        </w:rPr>
        <w:t xml:space="preserve"> </w:t>
      </w:r>
      <w:r w:rsidR="00BB5E83" w:rsidRPr="00BB5E83">
        <w:rPr>
          <w:i/>
        </w:rPr>
        <w:lastRenderedPageBreak/>
        <w:t>2013</w:t>
      </w:r>
      <w:r w:rsidR="00BB5E83">
        <w:t xml:space="preserve"> (</w:t>
      </w:r>
      <w:r w:rsidR="00926EA4" w:rsidRPr="00926EA4">
        <w:rPr>
          <w:b/>
          <w:i/>
        </w:rPr>
        <w:t xml:space="preserve">the </w:t>
      </w:r>
      <w:proofErr w:type="spellStart"/>
      <w:r w:rsidR="00BB5E83" w:rsidRPr="00BB5E83">
        <w:rPr>
          <w:b/>
          <w:i/>
        </w:rPr>
        <w:t>PGPA</w:t>
      </w:r>
      <w:proofErr w:type="spellEnd"/>
      <w:r w:rsidR="00BB5E83" w:rsidRPr="00BB5E83">
        <w:rPr>
          <w:b/>
          <w:i/>
        </w:rPr>
        <w:t xml:space="preserve"> Act</w:t>
      </w:r>
      <w:r w:rsidR="00BB5E83">
        <w:t>)</w:t>
      </w:r>
      <w:r>
        <w:t xml:space="preserve"> for the 201</w:t>
      </w:r>
      <w:r w:rsidR="00440515">
        <w:t>6</w:t>
      </w:r>
      <w:r>
        <w:t>-1</w:t>
      </w:r>
      <w:r w:rsidR="00440515">
        <w:t>7</w:t>
      </w:r>
      <w:r>
        <w:t xml:space="preserve"> financial year and accurately presents </w:t>
      </w:r>
      <w:proofErr w:type="spellStart"/>
      <w:r>
        <w:t>OPC’s</w:t>
      </w:r>
      <w:proofErr w:type="spellEnd"/>
      <w:r>
        <w:t xml:space="preserve"> performance in accordance with section 39(2) of the </w:t>
      </w:r>
      <w:proofErr w:type="spellStart"/>
      <w:r>
        <w:t>PGPA</w:t>
      </w:r>
      <w:proofErr w:type="spellEnd"/>
      <w:r>
        <w:t xml:space="preserve"> Act.</w:t>
      </w:r>
    </w:p>
    <w:p w:rsidR="00C72777" w:rsidRPr="003C6CE5" w:rsidRDefault="00C72777" w:rsidP="005C7ADA">
      <w:pPr>
        <w:pStyle w:val="Head3"/>
      </w:pPr>
      <w:bookmarkStart w:id="32" w:name="_Toc492656464"/>
      <w:proofErr w:type="spellStart"/>
      <w:r>
        <w:lastRenderedPageBreak/>
        <w:t>OPC’s</w:t>
      </w:r>
      <w:proofErr w:type="spellEnd"/>
      <w:r>
        <w:t xml:space="preserve"> purposes</w:t>
      </w:r>
      <w:r w:rsidR="005C7ADA">
        <w:t xml:space="preserve"> and results</w:t>
      </w:r>
      <w:bookmarkEnd w:id="32"/>
    </w:p>
    <w:p w:rsidR="00C72777" w:rsidRPr="00C72777" w:rsidRDefault="00C72777" w:rsidP="00C72777">
      <w:pPr>
        <w:rPr>
          <w:rFonts w:ascii="Arial" w:hAnsi="Arial" w:cs="Arial"/>
          <w:b/>
          <w:i/>
          <w:color w:val="0000FF"/>
          <w:kern w:val="28"/>
          <w:sz w:val="26"/>
          <w:szCs w:val="36"/>
        </w:rPr>
      </w:pPr>
    </w:p>
    <w:tbl>
      <w:tblPr>
        <w:tblW w:w="0" w:type="auto"/>
        <w:tblBorders>
          <w:top w:val="single" w:sz="12" w:space="0" w:color="auto"/>
          <w:bottom w:val="single" w:sz="12" w:space="0" w:color="000000"/>
          <w:insideH w:val="single" w:sz="2" w:space="0" w:color="000000"/>
        </w:tblBorders>
        <w:tblLook w:val="0020" w:firstRow="1" w:lastRow="0" w:firstColumn="0" w:lastColumn="0" w:noHBand="0" w:noVBand="0"/>
      </w:tblPr>
      <w:tblGrid>
        <w:gridCol w:w="7303"/>
      </w:tblGrid>
      <w:tr w:rsidR="00885363" w:rsidRPr="00CB554F" w:rsidTr="00B52342">
        <w:trPr>
          <w:tblHeader/>
        </w:trPr>
        <w:tc>
          <w:tcPr>
            <w:tcW w:w="7303" w:type="dxa"/>
            <w:tcBorders>
              <w:top w:val="single" w:sz="12" w:space="0" w:color="auto"/>
              <w:bottom w:val="single" w:sz="12" w:space="0" w:color="auto"/>
            </w:tcBorders>
            <w:shd w:val="clear" w:color="auto" w:fill="auto"/>
            <w:vAlign w:val="center"/>
          </w:tcPr>
          <w:p w:rsidR="00885363" w:rsidRDefault="00885363" w:rsidP="00B52342">
            <w:pPr>
              <w:pStyle w:val="Tabletexthead"/>
              <w:spacing w:before="0" w:after="0"/>
            </w:pPr>
            <w:r>
              <w:t>Purpose 1—Legislative drafting</w:t>
            </w:r>
          </w:p>
          <w:p w:rsidR="00885363" w:rsidRDefault="00885363" w:rsidP="00B52342">
            <w:pPr>
              <w:pStyle w:val="Tabletext"/>
              <w:spacing w:before="0"/>
            </w:pPr>
            <w:r>
              <w:t>E</w:t>
            </w:r>
            <w:r w:rsidRPr="00D34211">
              <w:t>nable the government to carry out its legislative program through the drafting of all Bills, all legislative instruments to be made or approved by the Governor-General (Federal Executive Council (</w:t>
            </w:r>
            <w:proofErr w:type="spellStart"/>
            <w:r w:rsidRPr="008A41E2">
              <w:rPr>
                <w:b/>
                <w:i/>
              </w:rPr>
              <w:t>ExCo</w:t>
            </w:r>
            <w:proofErr w:type="spellEnd"/>
            <w:r w:rsidRPr="00D34211">
              <w:t>) instruments) and a range of other instruments</w:t>
            </w:r>
          </w:p>
        </w:tc>
      </w:tr>
    </w:tbl>
    <w:p w:rsidR="009B4F97" w:rsidRDefault="009B4F97"/>
    <w:tbl>
      <w:tblPr>
        <w:tblW w:w="0" w:type="auto"/>
        <w:tblBorders>
          <w:top w:val="single" w:sz="12" w:space="0" w:color="auto"/>
          <w:bottom w:val="single" w:sz="12" w:space="0" w:color="000000"/>
          <w:insideH w:val="single" w:sz="2" w:space="0" w:color="000000"/>
        </w:tblBorders>
        <w:tblLook w:val="0020" w:firstRow="1" w:lastRow="0" w:firstColumn="0" w:lastColumn="0" w:noHBand="0" w:noVBand="0"/>
      </w:tblPr>
      <w:tblGrid>
        <w:gridCol w:w="3085"/>
        <w:gridCol w:w="4218"/>
      </w:tblGrid>
      <w:tr w:rsidR="00885363" w:rsidRPr="00CB554F" w:rsidTr="00B52342">
        <w:trPr>
          <w:tblHeader/>
        </w:trPr>
        <w:tc>
          <w:tcPr>
            <w:tcW w:w="7303" w:type="dxa"/>
            <w:gridSpan w:val="2"/>
            <w:tcBorders>
              <w:top w:val="single" w:sz="12" w:space="0" w:color="auto"/>
            </w:tcBorders>
            <w:shd w:val="clear" w:color="auto" w:fill="auto"/>
            <w:vAlign w:val="center"/>
          </w:tcPr>
          <w:p w:rsidR="00885363" w:rsidRDefault="009C3C58" w:rsidP="00B52342">
            <w:pPr>
              <w:pStyle w:val="Tabletexthead"/>
              <w:spacing w:before="0" w:after="0"/>
            </w:pPr>
            <w:r>
              <w:t>Results for P</w:t>
            </w:r>
            <w:r w:rsidR="00885363">
              <w:t>urpose 1</w:t>
            </w: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Performance criteria 1.1</w:t>
            </w:r>
          </w:p>
        </w:tc>
      </w:tr>
      <w:tr w:rsidR="00885363" w:rsidRPr="00CB554F" w:rsidTr="006A126B">
        <w:tc>
          <w:tcPr>
            <w:tcW w:w="7303" w:type="dxa"/>
            <w:gridSpan w:val="2"/>
            <w:shd w:val="clear" w:color="auto" w:fill="auto"/>
          </w:tcPr>
          <w:p w:rsidR="00885363" w:rsidRPr="00AF65B6" w:rsidRDefault="00885363" w:rsidP="00AF65B6">
            <w:pPr>
              <w:pStyle w:val="Tabletext"/>
              <w:spacing w:before="0"/>
              <w:ind w:left="284"/>
            </w:pPr>
            <w:r w:rsidRPr="00AF65B6">
              <w:rPr>
                <w:b/>
                <w:i/>
              </w:rPr>
              <w:t>Criteria</w:t>
            </w:r>
            <w:r w:rsidR="00AF65B6" w:rsidRPr="00AF65B6">
              <w:rPr>
                <w:b/>
                <w:i/>
              </w:rPr>
              <w:t>:</w:t>
            </w:r>
            <w:r w:rsidR="00AF65B6" w:rsidRPr="00AF65B6">
              <w:t xml:space="preserve"> </w:t>
            </w:r>
            <w:r w:rsidRPr="00AF65B6">
              <w:t xml:space="preserve">Proportion of client surveys that indicate Bills and </w:t>
            </w:r>
            <w:proofErr w:type="spellStart"/>
            <w:r w:rsidRPr="00AF65B6">
              <w:t>ExCo</w:t>
            </w:r>
            <w:proofErr w:type="spellEnd"/>
            <w:r w:rsidRPr="00AF65B6">
              <w:t xml:space="preserve"> instruments reflect sponsors’ policy intentions and are legally effective</w:t>
            </w:r>
          </w:p>
          <w:p w:rsidR="00AF65B6" w:rsidRPr="00AF65B6" w:rsidRDefault="00885363" w:rsidP="007F2D9B">
            <w:pPr>
              <w:pStyle w:val="Tabletext"/>
              <w:spacing w:before="0"/>
              <w:ind w:left="284"/>
            </w:pPr>
            <w:r w:rsidRPr="00AF65B6">
              <w:rPr>
                <w:b/>
                <w:i/>
              </w:rPr>
              <w:t>Source</w:t>
            </w:r>
            <w:r w:rsidR="00AF65B6" w:rsidRPr="00AF65B6">
              <w:rPr>
                <w:b/>
                <w:i/>
              </w:rPr>
              <w:t>:</w:t>
            </w:r>
            <w:r w:rsidR="00AF65B6">
              <w:t xml:space="preserve"> </w:t>
            </w:r>
            <w:r w:rsidR="003544A9">
              <w:t>Corporate Plan 201</w:t>
            </w:r>
            <w:r w:rsidR="007F2D9B">
              <w:t>6</w:t>
            </w:r>
            <w:r w:rsidR="003544A9">
              <w:t>-</w:t>
            </w:r>
            <w:r>
              <w:t>1</w:t>
            </w:r>
            <w:r w:rsidR="007F2D9B">
              <w:t>7</w:t>
            </w:r>
            <w:r>
              <w:t>; P</w:t>
            </w:r>
            <w:r w:rsidR="00926EA4">
              <w:t xml:space="preserve">ortfolio </w:t>
            </w:r>
            <w:r>
              <w:t>B</w:t>
            </w:r>
            <w:r w:rsidR="00926EA4">
              <w:t xml:space="preserve">udget </w:t>
            </w:r>
            <w:r>
              <w:t>S</w:t>
            </w:r>
            <w:r w:rsidR="00926EA4">
              <w:t>tatement (</w:t>
            </w:r>
            <w:r w:rsidR="00926EA4" w:rsidRPr="00926EA4">
              <w:rPr>
                <w:b/>
                <w:i/>
              </w:rPr>
              <w:t>PBS</w:t>
            </w:r>
            <w:r w:rsidR="00926EA4">
              <w:t>)</w:t>
            </w:r>
            <w:r>
              <w:t xml:space="preserve"> 201</w:t>
            </w:r>
            <w:r w:rsidR="007F2D9B">
              <w:t>6</w:t>
            </w:r>
            <w:r w:rsidR="003544A9">
              <w:t>-</w:t>
            </w:r>
            <w:r>
              <w:t>1</w:t>
            </w:r>
            <w:r w:rsidR="007F2D9B">
              <w:t>7</w:t>
            </w:r>
            <w:r>
              <w:t xml:space="preserve">, page </w:t>
            </w:r>
            <w:r w:rsidR="007F2D9B">
              <w:t>291</w:t>
            </w:r>
          </w:p>
        </w:tc>
      </w:tr>
      <w:tr w:rsidR="00AF65B6" w:rsidRPr="00AF65B6" w:rsidTr="009B4F97">
        <w:tc>
          <w:tcPr>
            <w:tcW w:w="3085" w:type="dxa"/>
            <w:shd w:val="clear" w:color="auto" w:fill="auto"/>
          </w:tcPr>
          <w:p w:rsidR="009B4F97" w:rsidRPr="00AF65B6" w:rsidRDefault="009B4F97" w:rsidP="009B4F97">
            <w:pPr>
              <w:pStyle w:val="Tabletexthead"/>
              <w:spacing w:before="0" w:after="0"/>
              <w:ind w:left="284"/>
              <w:rPr>
                <w:i/>
                <w:color w:val="auto"/>
              </w:rPr>
            </w:pPr>
            <w:r w:rsidRPr="00AF65B6">
              <w:rPr>
                <w:i/>
                <w:color w:val="auto"/>
              </w:rPr>
              <w:t>Target</w:t>
            </w:r>
          </w:p>
          <w:p w:rsidR="009B4F97" w:rsidRPr="00AF65B6" w:rsidRDefault="009B4F97" w:rsidP="009B4F97">
            <w:pPr>
              <w:pStyle w:val="Tabletext"/>
              <w:spacing w:before="0"/>
              <w:ind w:left="284"/>
              <w:rPr>
                <w:i/>
              </w:rPr>
            </w:pPr>
            <w:r w:rsidRPr="00AF65B6">
              <w:t>100%</w:t>
            </w:r>
          </w:p>
        </w:tc>
        <w:tc>
          <w:tcPr>
            <w:tcW w:w="4218" w:type="dxa"/>
            <w:shd w:val="clear" w:color="auto" w:fill="auto"/>
          </w:tcPr>
          <w:p w:rsidR="009B4F97" w:rsidRPr="00AF65B6" w:rsidRDefault="003544A9" w:rsidP="009B4F97">
            <w:pPr>
              <w:pStyle w:val="Tabletexthead"/>
              <w:spacing w:before="0" w:after="0"/>
              <w:rPr>
                <w:i/>
                <w:color w:val="auto"/>
              </w:rPr>
            </w:pPr>
            <w:r>
              <w:rPr>
                <w:i/>
                <w:color w:val="auto"/>
              </w:rPr>
              <w:t>Result</w:t>
            </w:r>
          </w:p>
          <w:p w:rsidR="009B4F97" w:rsidRPr="00AF65B6" w:rsidRDefault="009B4F97" w:rsidP="009B4F97">
            <w:pPr>
              <w:pStyle w:val="Tabletext"/>
              <w:spacing w:before="0"/>
              <w:rPr>
                <w:i/>
              </w:rPr>
            </w:pPr>
            <w:r w:rsidRPr="00C82FEF">
              <w:t>100%</w:t>
            </w:r>
          </w:p>
        </w:tc>
      </w:tr>
      <w:tr w:rsidR="00885363" w:rsidRPr="00CB554F" w:rsidTr="006A126B">
        <w:tc>
          <w:tcPr>
            <w:tcW w:w="7303" w:type="dxa"/>
            <w:gridSpan w:val="2"/>
            <w:shd w:val="clear" w:color="auto" w:fill="auto"/>
          </w:tcPr>
          <w:p w:rsidR="00885363" w:rsidRDefault="00885363" w:rsidP="00B52342">
            <w:pPr>
              <w:pStyle w:val="Tabletext"/>
              <w:spacing w:before="0"/>
              <w:ind w:left="567"/>
              <w:rPr>
                <w:i/>
              </w:rPr>
            </w:pPr>
          </w:p>
          <w:p w:rsidR="00AF65B6" w:rsidRDefault="00AF65B6" w:rsidP="00B52342">
            <w:pPr>
              <w:pStyle w:val="Tabletext"/>
              <w:spacing w:before="0"/>
              <w:ind w:left="567"/>
              <w:rPr>
                <w:i/>
              </w:rPr>
            </w:pP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Performance criteria 1.2</w:t>
            </w:r>
          </w:p>
        </w:tc>
      </w:tr>
      <w:tr w:rsidR="00885363" w:rsidRPr="00CB554F" w:rsidTr="006A126B">
        <w:tc>
          <w:tcPr>
            <w:tcW w:w="7303" w:type="dxa"/>
            <w:gridSpan w:val="2"/>
            <w:shd w:val="clear" w:color="auto" w:fill="auto"/>
          </w:tcPr>
          <w:p w:rsidR="00885363" w:rsidRDefault="00885363" w:rsidP="00AF65B6">
            <w:pPr>
              <w:pStyle w:val="Tabletext"/>
              <w:spacing w:before="0"/>
              <w:ind w:left="284"/>
            </w:pPr>
            <w:r w:rsidRPr="00AF65B6">
              <w:rPr>
                <w:b/>
                <w:i/>
              </w:rPr>
              <w:t>Criteria</w:t>
            </w:r>
            <w:r w:rsidR="00AF65B6" w:rsidRPr="00AF65B6">
              <w:rPr>
                <w:b/>
                <w:i/>
              </w:rPr>
              <w:t>:</w:t>
            </w:r>
            <w:r w:rsidR="003544A9">
              <w:rPr>
                <w:b/>
                <w:i/>
              </w:rPr>
              <w:t xml:space="preserve"> </w:t>
            </w:r>
            <w:r w:rsidRPr="0098121C">
              <w:t>Average rating (rating scale 1-5) received on client survey forms for overall satisfaction with the drafting process and draft legislation</w:t>
            </w:r>
          </w:p>
          <w:p w:rsidR="00885363" w:rsidRPr="00AF65B6" w:rsidRDefault="00885363" w:rsidP="007F2D9B">
            <w:pPr>
              <w:pStyle w:val="Tabletext"/>
              <w:spacing w:before="0"/>
              <w:ind w:left="284"/>
            </w:pPr>
            <w:r w:rsidRPr="00AF65B6">
              <w:rPr>
                <w:b/>
                <w:i/>
              </w:rPr>
              <w:t>Source</w:t>
            </w:r>
            <w:r w:rsidR="00AF65B6" w:rsidRPr="00AF65B6">
              <w:rPr>
                <w:b/>
                <w:i/>
              </w:rPr>
              <w:t>:</w:t>
            </w:r>
            <w:r w:rsidR="00AF65B6">
              <w:t xml:space="preserve"> </w:t>
            </w:r>
            <w:r w:rsidR="003544A9">
              <w:t>Corporate Plan 201</w:t>
            </w:r>
            <w:r w:rsidR="007F2D9B">
              <w:t>6</w:t>
            </w:r>
            <w:r w:rsidR="003544A9">
              <w:t>-</w:t>
            </w:r>
            <w:r>
              <w:t>1</w:t>
            </w:r>
            <w:r w:rsidR="007F2D9B">
              <w:t>7</w:t>
            </w:r>
            <w:r>
              <w:t>; PB</w:t>
            </w:r>
            <w:r w:rsidR="003544A9">
              <w:t>S 201</w:t>
            </w:r>
            <w:r w:rsidR="007F2D9B">
              <w:t>6</w:t>
            </w:r>
            <w:r w:rsidR="003544A9">
              <w:t>-</w:t>
            </w:r>
            <w:r>
              <w:t>1</w:t>
            </w:r>
            <w:r w:rsidR="007F2D9B">
              <w:t>7</w:t>
            </w:r>
            <w:r>
              <w:t xml:space="preserve">, page </w:t>
            </w:r>
            <w:r w:rsidR="007F2D9B">
              <w:t>291</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9B4F97" w:rsidP="006D55AF">
            <w:pPr>
              <w:pStyle w:val="Tabletext"/>
              <w:spacing w:before="0"/>
              <w:ind w:left="284"/>
              <w:rPr>
                <w:i/>
              </w:rPr>
            </w:pPr>
            <w:r w:rsidRPr="00AF65B6">
              <w:t>≥</w:t>
            </w:r>
            <w:r w:rsidR="00926EA4">
              <w:t xml:space="preserve"> </w:t>
            </w:r>
            <w:r w:rsidRPr="00AF65B6">
              <w:t>4</w:t>
            </w:r>
          </w:p>
        </w:tc>
        <w:tc>
          <w:tcPr>
            <w:tcW w:w="4218" w:type="dxa"/>
            <w:shd w:val="clear" w:color="auto" w:fill="auto"/>
          </w:tcPr>
          <w:p w:rsidR="009B4F97" w:rsidRPr="00AF65B6" w:rsidRDefault="003544A9" w:rsidP="006D55AF">
            <w:pPr>
              <w:pStyle w:val="Tabletexthead"/>
              <w:spacing w:before="0" w:after="0"/>
              <w:rPr>
                <w:i/>
                <w:color w:val="auto"/>
              </w:rPr>
            </w:pPr>
            <w:r>
              <w:rPr>
                <w:i/>
                <w:color w:val="auto"/>
              </w:rPr>
              <w:t>Result</w:t>
            </w:r>
          </w:p>
          <w:p w:rsidR="009B4F97" w:rsidRPr="00A6047A" w:rsidRDefault="00A6047A" w:rsidP="006D55AF">
            <w:pPr>
              <w:pStyle w:val="Tabletext"/>
              <w:spacing w:before="0"/>
            </w:pPr>
            <w:r w:rsidRPr="00A6047A">
              <w:t>4.9</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p w:rsidR="00AF65B6" w:rsidRDefault="00AF65B6" w:rsidP="006D55AF">
            <w:pPr>
              <w:pStyle w:val="Tabletext"/>
              <w:spacing w:before="0"/>
              <w:ind w:left="567"/>
              <w:rPr>
                <w:i/>
              </w:rPr>
            </w:pP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Performance criteria 1.3</w:t>
            </w:r>
          </w:p>
        </w:tc>
      </w:tr>
      <w:tr w:rsidR="00885363" w:rsidRPr="00CB554F" w:rsidTr="006A126B">
        <w:tc>
          <w:tcPr>
            <w:tcW w:w="7303" w:type="dxa"/>
            <w:gridSpan w:val="2"/>
            <w:shd w:val="clear" w:color="auto" w:fill="auto"/>
          </w:tcPr>
          <w:p w:rsidR="00885363" w:rsidRPr="00AF65B6" w:rsidRDefault="00885363" w:rsidP="00AF65B6">
            <w:pPr>
              <w:pStyle w:val="Tabletext"/>
              <w:spacing w:before="0"/>
              <w:ind w:left="284"/>
            </w:pPr>
            <w:r w:rsidRPr="00AF65B6">
              <w:rPr>
                <w:b/>
                <w:i/>
              </w:rPr>
              <w:t>Criteria</w:t>
            </w:r>
            <w:r w:rsidR="00AF65B6" w:rsidRPr="00AF65B6">
              <w:rPr>
                <w:b/>
                <w:i/>
              </w:rPr>
              <w:t xml:space="preserve">: </w:t>
            </w:r>
            <w:r w:rsidRPr="00885363">
              <w:t xml:space="preserve">Proportion of Bills and </w:t>
            </w:r>
            <w:proofErr w:type="spellStart"/>
            <w:r w:rsidRPr="00885363">
              <w:t>ExCo</w:t>
            </w:r>
            <w:proofErr w:type="spellEnd"/>
            <w:r w:rsidRPr="00885363">
              <w:t xml:space="preserve"> instruments where drafting standards and conventions are applied consistently</w:t>
            </w:r>
          </w:p>
          <w:p w:rsidR="00885363" w:rsidRPr="00AF65B6" w:rsidRDefault="00885363" w:rsidP="007F2D9B">
            <w:pPr>
              <w:pStyle w:val="Tabletext"/>
              <w:spacing w:before="0"/>
              <w:ind w:left="284"/>
            </w:pPr>
            <w:r w:rsidRPr="00AF65B6">
              <w:rPr>
                <w:b/>
                <w:i/>
              </w:rPr>
              <w:t>Source</w:t>
            </w:r>
            <w:r w:rsidR="00AF65B6" w:rsidRPr="00AF65B6">
              <w:rPr>
                <w:b/>
                <w:i/>
              </w:rPr>
              <w:t>:</w:t>
            </w:r>
            <w:r w:rsidR="00AF65B6">
              <w:t xml:space="preserve"> </w:t>
            </w:r>
            <w:r>
              <w:t xml:space="preserve">Corporate </w:t>
            </w:r>
            <w:r w:rsidR="003544A9">
              <w:t>P</w:t>
            </w:r>
            <w:r w:rsidR="009C3C58">
              <w:t>lan 201</w:t>
            </w:r>
            <w:r w:rsidR="007F2D9B">
              <w:t>6</w:t>
            </w:r>
            <w:r w:rsidR="009C3C58">
              <w:t>-1</w:t>
            </w:r>
            <w:r w:rsidR="007F2D9B">
              <w:t>7</w:t>
            </w:r>
            <w:r w:rsidR="009C3C58">
              <w:t>; PBS 201</w:t>
            </w:r>
            <w:r w:rsidR="007F2D9B">
              <w:t>6</w:t>
            </w:r>
            <w:r w:rsidR="009C3C58">
              <w:t>-</w:t>
            </w:r>
            <w:r>
              <w:t>1</w:t>
            </w:r>
            <w:r w:rsidR="007F2D9B">
              <w:t>7</w:t>
            </w:r>
            <w:r>
              <w:t xml:space="preserve">, page </w:t>
            </w:r>
            <w:r w:rsidR="007F2D9B">
              <w:t>291</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9B4F97" w:rsidP="006D55AF">
            <w:pPr>
              <w:pStyle w:val="Tabletext"/>
              <w:spacing w:before="0"/>
              <w:ind w:left="284"/>
              <w:rPr>
                <w:i/>
              </w:rPr>
            </w:pPr>
            <w:r w:rsidRPr="00AF65B6">
              <w:t>100%</w:t>
            </w:r>
          </w:p>
        </w:tc>
        <w:tc>
          <w:tcPr>
            <w:tcW w:w="4218" w:type="dxa"/>
            <w:shd w:val="clear" w:color="auto" w:fill="auto"/>
          </w:tcPr>
          <w:p w:rsidR="009B4F97" w:rsidRPr="00AF65B6" w:rsidRDefault="003544A9" w:rsidP="006D55AF">
            <w:pPr>
              <w:pStyle w:val="Tabletexthead"/>
              <w:spacing w:before="0" w:after="0"/>
              <w:rPr>
                <w:i/>
                <w:color w:val="auto"/>
              </w:rPr>
            </w:pPr>
            <w:r>
              <w:rPr>
                <w:i/>
                <w:color w:val="auto"/>
              </w:rPr>
              <w:t>Result</w:t>
            </w:r>
          </w:p>
          <w:p w:rsidR="009B4F97" w:rsidRPr="00AF65B6" w:rsidRDefault="009B4F97" w:rsidP="006D55AF">
            <w:pPr>
              <w:pStyle w:val="Tabletext"/>
              <w:spacing w:before="0"/>
              <w:rPr>
                <w:i/>
              </w:rPr>
            </w:pPr>
            <w:r w:rsidRPr="00C82FEF">
              <w:t>100%</w:t>
            </w:r>
          </w:p>
        </w:tc>
      </w:tr>
      <w:tr w:rsidR="00885363" w:rsidRPr="00CB554F" w:rsidTr="006A126B">
        <w:tc>
          <w:tcPr>
            <w:tcW w:w="7303" w:type="dxa"/>
            <w:gridSpan w:val="2"/>
            <w:shd w:val="clear" w:color="auto" w:fill="auto"/>
          </w:tcPr>
          <w:p w:rsidR="00885363" w:rsidRDefault="00885363" w:rsidP="00B52342">
            <w:pPr>
              <w:pStyle w:val="Tabletext"/>
              <w:spacing w:before="0"/>
              <w:ind w:left="567"/>
              <w:rPr>
                <w:i/>
              </w:rPr>
            </w:pPr>
          </w:p>
        </w:tc>
      </w:tr>
    </w:tbl>
    <w:p w:rsidR="00B52342" w:rsidRDefault="00B52342" w:rsidP="00B52342">
      <w:pPr>
        <w:rPr>
          <w:b/>
        </w:rPr>
      </w:pPr>
    </w:p>
    <w:p w:rsidR="00B52342" w:rsidRDefault="00B52342">
      <w:pPr>
        <w:rPr>
          <w:b/>
        </w:rPr>
      </w:pPr>
    </w:p>
    <w:tbl>
      <w:tblPr>
        <w:tblW w:w="0" w:type="auto"/>
        <w:tblBorders>
          <w:top w:val="single" w:sz="12" w:space="0" w:color="auto"/>
          <w:bottom w:val="single" w:sz="12" w:space="0" w:color="000000"/>
          <w:insideH w:val="single" w:sz="2" w:space="0" w:color="000000"/>
        </w:tblBorders>
        <w:tblLook w:val="0020" w:firstRow="1" w:lastRow="0" w:firstColumn="0" w:lastColumn="0" w:noHBand="0" w:noVBand="0"/>
      </w:tblPr>
      <w:tblGrid>
        <w:gridCol w:w="7303"/>
      </w:tblGrid>
      <w:tr w:rsidR="00C74A04" w:rsidRPr="00CB554F" w:rsidTr="00B52342">
        <w:trPr>
          <w:tblHeader/>
        </w:trPr>
        <w:tc>
          <w:tcPr>
            <w:tcW w:w="7303" w:type="dxa"/>
            <w:tcBorders>
              <w:top w:val="single" w:sz="12" w:space="0" w:color="auto"/>
              <w:bottom w:val="single" w:sz="12" w:space="0" w:color="auto"/>
            </w:tcBorders>
            <w:shd w:val="clear" w:color="auto" w:fill="auto"/>
            <w:vAlign w:val="center"/>
          </w:tcPr>
          <w:p w:rsidR="00C74A04" w:rsidRDefault="00C74A04" w:rsidP="00B52342">
            <w:pPr>
              <w:pStyle w:val="Tabletexthead"/>
              <w:spacing w:before="0" w:after="0"/>
            </w:pPr>
            <w:r>
              <w:t xml:space="preserve">Purpose </w:t>
            </w:r>
            <w:r w:rsidR="00885363">
              <w:t>2</w:t>
            </w:r>
            <w:r>
              <w:t>—</w:t>
            </w:r>
            <w:r w:rsidR="00885363">
              <w:t>Publication</w:t>
            </w:r>
          </w:p>
          <w:p w:rsidR="00D34211" w:rsidRDefault="00885363" w:rsidP="00B52342">
            <w:pPr>
              <w:pStyle w:val="Tabletext"/>
              <w:spacing w:before="0"/>
            </w:pPr>
            <w:r>
              <w:t>E</w:t>
            </w:r>
            <w:r w:rsidRPr="00885363">
              <w:t>nsure Commonwealth laws and instruments are freely available and accessible to everyone by publishing those laws and instruments on the Federal Register of Legislation</w:t>
            </w:r>
            <w:r w:rsidR="00773A15">
              <w:t xml:space="preserve"> (</w:t>
            </w:r>
            <w:r w:rsidR="00773A15" w:rsidRPr="00773A15">
              <w:rPr>
                <w:b/>
                <w:i/>
              </w:rPr>
              <w:t>the Legislation Register</w:t>
            </w:r>
            <w:r w:rsidR="00773A15">
              <w:t>)</w:t>
            </w:r>
            <w:r w:rsidRPr="00885363">
              <w:t xml:space="preserve"> website</w:t>
            </w:r>
          </w:p>
        </w:tc>
      </w:tr>
    </w:tbl>
    <w:p w:rsidR="009B4F97" w:rsidRDefault="009B4F97"/>
    <w:tbl>
      <w:tblPr>
        <w:tblW w:w="0" w:type="auto"/>
        <w:tblBorders>
          <w:top w:val="single" w:sz="12" w:space="0" w:color="auto"/>
          <w:bottom w:val="single" w:sz="12" w:space="0" w:color="000000"/>
          <w:insideH w:val="single" w:sz="2" w:space="0" w:color="000000"/>
        </w:tblBorders>
        <w:tblLook w:val="0020" w:firstRow="1" w:lastRow="0" w:firstColumn="0" w:lastColumn="0" w:noHBand="0" w:noVBand="0"/>
      </w:tblPr>
      <w:tblGrid>
        <w:gridCol w:w="3085"/>
        <w:gridCol w:w="4218"/>
      </w:tblGrid>
      <w:tr w:rsidR="00C74A04" w:rsidRPr="00CB554F" w:rsidTr="00B52342">
        <w:trPr>
          <w:tblHeader/>
        </w:trPr>
        <w:tc>
          <w:tcPr>
            <w:tcW w:w="7303" w:type="dxa"/>
            <w:gridSpan w:val="2"/>
            <w:tcBorders>
              <w:top w:val="single" w:sz="12" w:space="0" w:color="auto"/>
            </w:tcBorders>
            <w:shd w:val="clear" w:color="auto" w:fill="auto"/>
            <w:vAlign w:val="center"/>
          </w:tcPr>
          <w:p w:rsidR="00C74A04" w:rsidRDefault="009C3C58" w:rsidP="00B52342">
            <w:pPr>
              <w:pStyle w:val="Tabletexthead"/>
              <w:spacing w:before="0" w:after="0"/>
            </w:pPr>
            <w:r>
              <w:t>Results for P</w:t>
            </w:r>
            <w:r w:rsidR="00C74A04">
              <w:t xml:space="preserve">urpose </w:t>
            </w:r>
            <w:r w:rsidR="00885363">
              <w:t>2</w:t>
            </w: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 xml:space="preserve">Performance criteria </w:t>
            </w:r>
            <w:r w:rsidR="006D5417">
              <w:rPr>
                <w:i/>
              </w:rPr>
              <w:t>2.1</w:t>
            </w:r>
          </w:p>
        </w:tc>
      </w:tr>
      <w:tr w:rsidR="00885363" w:rsidRPr="00CB554F" w:rsidTr="006A126B">
        <w:tc>
          <w:tcPr>
            <w:tcW w:w="7303" w:type="dxa"/>
            <w:gridSpan w:val="2"/>
            <w:shd w:val="clear" w:color="auto" w:fill="auto"/>
          </w:tcPr>
          <w:p w:rsidR="006D5417" w:rsidRPr="00AF65B6" w:rsidRDefault="00885363" w:rsidP="00AF65B6">
            <w:pPr>
              <w:pStyle w:val="Tabletext"/>
              <w:spacing w:before="0"/>
              <w:ind w:left="284"/>
            </w:pPr>
            <w:r w:rsidRPr="00AF65B6">
              <w:rPr>
                <w:b/>
                <w:i/>
              </w:rPr>
              <w:t>Criteria</w:t>
            </w:r>
            <w:r w:rsidR="00AF65B6" w:rsidRPr="00AF65B6">
              <w:rPr>
                <w:b/>
                <w:i/>
              </w:rPr>
              <w:t>:</w:t>
            </w:r>
            <w:r w:rsidR="00AF65B6">
              <w:t xml:space="preserve"> </w:t>
            </w:r>
            <w:r w:rsidR="006D5417" w:rsidRPr="006D5417">
              <w:t>Proportion of legislative instruments and gazette notices that are registered on a specific date as required by lodging entities</w:t>
            </w:r>
          </w:p>
          <w:p w:rsidR="00885363" w:rsidRPr="00AF65B6" w:rsidRDefault="00885363" w:rsidP="007F2D9B">
            <w:pPr>
              <w:pStyle w:val="Tabletext"/>
              <w:spacing w:before="0"/>
              <w:ind w:left="284"/>
            </w:pPr>
            <w:r w:rsidRPr="00AF65B6">
              <w:rPr>
                <w:b/>
                <w:i/>
              </w:rPr>
              <w:t>Source</w:t>
            </w:r>
            <w:r w:rsidR="00AF65B6" w:rsidRPr="00AF65B6">
              <w:rPr>
                <w:b/>
                <w:i/>
              </w:rPr>
              <w:t>:</w:t>
            </w:r>
            <w:r w:rsidR="00AF65B6">
              <w:t xml:space="preserve"> </w:t>
            </w:r>
            <w:r w:rsidR="009C3C58">
              <w:t>Corporate plan 201</w:t>
            </w:r>
            <w:r w:rsidR="007F2D9B">
              <w:t>6</w:t>
            </w:r>
            <w:r w:rsidR="009C3C58">
              <w:t>-1</w:t>
            </w:r>
            <w:r w:rsidR="007F2D9B">
              <w:t>7</w:t>
            </w:r>
            <w:r w:rsidR="009C3C58">
              <w:t>; PBS 201</w:t>
            </w:r>
            <w:r w:rsidR="007F2D9B">
              <w:t>6</w:t>
            </w:r>
            <w:r w:rsidR="009C3C58">
              <w:t>-</w:t>
            </w:r>
            <w:r>
              <w:t>1</w:t>
            </w:r>
            <w:r w:rsidR="007F2D9B">
              <w:t>7</w:t>
            </w:r>
            <w:r>
              <w:t xml:space="preserve">, page </w:t>
            </w:r>
            <w:r w:rsidR="007F2D9B">
              <w:t>291</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9B4F97" w:rsidP="006D55AF">
            <w:pPr>
              <w:pStyle w:val="Tabletext"/>
              <w:spacing w:before="0"/>
              <w:ind w:left="284"/>
              <w:rPr>
                <w:i/>
              </w:rPr>
            </w:pPr>
            <w:r w:rsidRPr="00AF65B6">
              <w:t>100%</w:t>
            </w:r>
          </w:p>
        </w:tc>
        <w:tc>
          <w:tcPr>
            <w:tcW w:w="4218" w:type="dxa"/>
            <w:shd w:val="clear" w:color="auto" w:fill="auto"/>
          </w:tcPr>
          <w:p w:rsidR="009B4F97" w:rsidRPr="00AF65B6" w:rsidRDefault="009C3C58" w:rsidP="006D55AF">
            <w:pPr>
              <w:pStyle w:val="Tabletexthead"/>
              <w:spacing w:before="0" w:after="0"/>
              <w:rPr>
                <w:i/>
                <w:color w:val="auto"/>
              </w:rPr>
            </w:pPr>
            <w:r>
              <w:rPr>
                <w:i/>
                <w:color w:val="auto"/>
              </w:rPr>
              <w:t>Result</w:t>
            </w:r>
          </w:p>
          <w:p w:rsidR="009B4F97" w:rsidRPr="00AF65B6" w:rsidRDefault="008B7F83" w:rsidP="006D55AF">
            <w:pPr>
              <w:pStyle w:val="Tabletext"/>
              <w:spacing w:before="0"/>
              <w:rPr>
                <w:i/>
              </w:rPr>
            </w:pPr>
            <w:r w:rsidRPr="00497975">
              <w:t>100</w:t>
            </w:r>
            <w:r w:rsidR="009B4F97" w:rsidRPr="00497975">
              <w:t>%</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p w:rsidR="00AF65B6" w:rsidRDefault="00AF65B6" w:rsidP="006D55AF">
            <w:pPr>
              <w:pStyle w:val="Tabletext"/>
              <w:spacing w:before="0"/>
              <w:ind w:left="567"/>
              <w:rPr>
                <w:i/>
              </w:rPr>
            </w:pP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 xml:space="preserve">Performance criteria </w:t>
            </w:r>
            <w:r w:rsidR="006D5417">
              <w:rPr>
                <w:i/>
              </w:rPr>
              <w:t>2.2</w:t>
            </w:r>
          </w:p>
        </w:tc>
      </w:tr>
      <w:tr w:rsidR="00885363" w:rsidRPr="00CB554F" w:rsidTr="006A126B">
        <w:tc>
          <w:tcPr>
            <w:tcW w:w="7303" w:type="dxa"/>
            <w:gridSpan w:val="2"/>
            <w:shd w:val="clear" w:color="auto" w:fill="auto"/>
          </w:tcPr>
          <w:p w:rsidR="006D5417" w:rsidRPr="00AF65B6" w:rsidRDefault="00885363" w:rsidP="00AF65B6">
            <w:pPr>
              <w:pStyle w:val="Tabletext"/>
              <w:spacing w:before="0"/>
              <w:ind w:left="284"/>
            </w:pPr>
            <w:r w:rsidRPr="00AF65B6">
              <w:rPr>
                <w:b/>
                <w:i/>
              </w:rPr>
              <w:t>Criteria</w:t>
            </w:r>
            <w:r w:rsidR="00AF65B6" w:rsidRPr="00AF65B6">
              <w:rPr>
                <w:b/>
                <w:i/>
              </w:rPr>
              <w:t>:</w:t>
            </w:r>
            <w:r w:rsidR="00AF65B6">
              <w:t xml:space="preserve"> </w:t>
            </w:r>
            <w:r w:rsidR="006D5417" w:rsidRPr="006D5417">
              <w:t xml:space="preserve">Proportion of other legislative instruments and gazette notices that are registered no later than </w:t>
            </w:r>
            <w:r w:rsidR="00926EA4">
              <w:t>2</w:t>
            </w:r>
            <w:r w:rsidR="006D5417" w:rsidRPr="006D5417">
              <w:t xml:space="preserve"> business days after lodgement</w:t>
            </w:r>
          </w:p>
          <w:p w:rsidR="00885363" w:rsidRPr="00AF65B6" w:rsidRDefault="00885363" w:rsidP="007F2D9B">
            <w:pPr>
              <w:pStyle w:val="Tabletext"/>
              <w:spacing w:before="0"/>
              <w:ind w:left="284"/>
            </w:pPr>
            <w:r w:rsidRPr="00AF65B6">
              <w:rPr>
                <w:b/>
                <w:i/>
              </w:rPr>
              <w:t>Source</w:t>
            </w:r>
            <w:r w:rsidR="00AF65B6" w:rsidRPr="00AF65B6">
              <w:rPr>
                <w:b/>
                <w:i/>
              </w:rPr>
              <w:t>:</w:t>
            </w:r>
            <w:r w:rsidR="00AF65B6">
              <w:t xml:space="preserve"> </w:t>
            </w:r>
            <w:r w:rsidR="009C3C58">
              <w:t>Corporate plan 201</w:t>
            </w:r>
            <w:r w:rsidR="007F2D9B">
              <w:t>6</w:t>
            </w:r>
            <w:r w:rsidR="009C3C58">
              <w:t>-1</w:t>
            </w:r>
            <w:r w:rsidR="007F2D9B">
              <w:t>7</w:t>
            </w:r>
            <w:r w:rsidR="009C3C58">
              <w:t>; PBS 201</w:t>
            </w:r>
            <w:r w:rsidR="007F2D9B">
              <w:t>6</w:t>
            </w:r>
            <w:r w:rsidR="009C3C58">
              <w:t>-</w:t>
            </w:r>
            <w:r>
              <w:t>1</w:t>
            </w:r>
            <w:r w:rsidR="007F2D9B">
              <w:t>7</w:t>
            </w:r>
            <w:r>
              <w:t xml:space="preserve">, page </w:t>
            </w:r>
            <w:r w:rsidR="007F2D9B">
              <w:t>291</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FA6B4C" w:rsidP="006D55AF">
            <w:pPr>
              <w:pStyle w:val="Tabletext"/>
              <w:spacing w:before="0"/>
              <w:ind w:left="284"/>
              <w:rPr>
                <w:i/>
              </w:rPr>
            </w:pPr>
            <w:r w:rsidRPr="00AF65B6">
              <w:t>98</w:t>
            </w:r>
            <w:r w:rsidR="009B4F97" w:rsidRPr="00AF65B6">
              <w:t>%</w:t>
            </w:r>
          </w:p>
        </w:tc>
        <w:tc>
          <w:tcPr>
            <w:tcW w:w="4218" w:type="dxa"/>
            <w:shd w:val="clear" w:color="auto" w:fill="auto"/>
          </w:tcPr>
          <w:p w:rsidR="009B4F97" w:rsidRPr="00AF65B6" w:rsidRDefault="009C3C58" w:rsidP="006D55AF">
            <w:pPr>
              <w:pStyle w:val="Tabletexthead"/>
              <w:spacing w:before="0" w:after="0"/>
              <w:rPr>
                <w:i/>
                <w:color w:val="auto"/>
              </w:rPr>
            </w:pPr>
            <w:r>
              <w:rPr>
                <w:i/>
                <w:color w:val="auto"/>
              </w:rPr>
              <w:t>Result</w:t>
            </w:r>
          </w:p>
          <w:p w:rsidR="009B4F97" w:rsidRPr="00AF65B6" w:rsidRDefault="008B7F83" w:rsidP="006D55AF">
            <w:pPr>
              <w:pStyle w:val="Tabletext"/>
              <w:spacing w:before="0"/>
              <w:rPr>
                <w:i/>
              </w:rPr>
            </w:pPr>
            <w:r w:rsidRPr="00497975">
              <w:t>100</w:t>
            </w:r>
            <w:r w:rsidR="009B4F97" w:rsidRPr="00497975">
              <w:t>%</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p w:rsidR="00AF65B6" w:rsidRDefault="00AF65B6" w:rsidP="006D55AF">
            <w:pPr>
              <w:pStyle w:val="Tabletext"/>
              <w:spacing w:before="0"/>
              <w:ind w:left="567"/>
              <w:rPr>
                <w:i/>
              </w:rPr>
            </w:pPr>
          </w:p>
        </w:tc>
      </w:tr>
      <w:tr w:rsidR="00885363" w:rsidRPr="00CB554F" w:rsidTr="006A126B">
        <w:tc>
          <w:tcPr>
            <w:tcW w:w="7303" w:type="dxa"/>
            <w:gridSpan w:val="2"/>
            <w:shd w:val="clear" w:color="auto" w:fill="auto"/>
          </w:tcPr>
          <w:p w:rsidR="00885363" w:rsidRPr="00720642" w:rsidRDefault="00885363" w:rsidP="00B52342">
            <w:pPr>
              <w:pStyle w:val="Tabletexthead"/>
              <w:spacing w:before="0" w:after="0"/>
            </w:pPr>
            <w:r>
              <w:rPr>
                <w:i/>
              </w:rPr>
              <w:t>Performance criteria 2</w:t>
            </w:r>
            <w:r w:rsidR="006D5417">
              <w:rPr>
                <w:i/>
              </w:rPr>
              <w:t>.3</w:t>
            </w:r>
          </w:p>
        </w:tc>
      </w:tr>
      <w:tr w:rsidR="00885363" w:rsidRPr="00CB554F" w:rsidTr="006A126B">
        <w:tc>
          <w:tcPr>
            <w:tcW w:w="7303" w:type="dxa"/>
            <w:gridSpan w:val="2"/>
            <w:shd w:val="clear" w:color="auto" w:fill="auto"/>
          </w:tcPr>
          <w:p w:rsidR="006D5417" w:rsidRPr="00AF65B6" w:rsidRDefault="00885363" w:rsidP="00AF65B6">
            <w:pPr>
              <w:pStyle w:val="Tabletext"/>
              <w:spacing w:before="0"/>
              <w:ind w:left="284"/>
            </w:pPr>
            <w:r w:rsidRPr="00AF65B6">
              <w:rPr>
                <w:b/>
                <w:i/>
              </w:rPr>
              <w:t>Criteria</w:t>
            </w:r>
            <w:r w:rsidR="00AF65B6" w:rsidRPr="00AF65B6">
              <w:rPr>
                <w:b/>
                <w:i/>
              </w:rPr>
              <w:t>:</w:t>
            </w:r>
            <w:r w:rsidR="00AF65B6">
              <w:t xml:space="preserve"> </w:t>
            </w:r>
            <w:r w:rsidR="006D5417" w:rsidRPr="006D5417">
              <w:t xml:space="preserve">Proportion of Acts that are registered on the Legislation Register no later than </w:t>
            </w:r>
            <w:r w:rsidR="00926EA4">
              <w:t>2</w:t>
            </w:r>
            <w:r w:rsidR="006D5417" w:rsidRPr="006D5417">
              <w:t xml:space="preserve"> working days after receipt of notification of Royal Assent</w:t>
            </w:r>
          </w:p>
          <w:p w:rsidR="00885363" w:rsidRPr="00AF65B6" w:rsidRDefault="00885363" w:rsidP="007F2D9B">
            <w:pPr>
              <w:pStyle w:val="Tabletext"/>
              <w:spacing w:before="0"/>
              <w:ind w:left="284"/>
            </w:pPr>
            <w:r w:rsidRPr="00AF65B6">
              <w:rPr>
                <w:b/>
                <w:i/>
              </w:rPr>
              <w:t>Source</w:t>
            </w:r>
            <w:r w:rsidR="00AF65B6" w:rsidRPr="00AF65B6">
              <w:rPr>
                <w:b/>
                <w:i/>
              </w:rPr>
              <w:t>:</w:t>
            </w:r>
            <w:r w:rsidR="00AF65B6">
              <w:t xml:space="preserve"> </w:t>
            </w:r>
            <w:r w:rsidR="009C3C58">
              <w:t>Corporate plan 201</w:t>
            </w:r>
            <w:r w:rsidR="007F2D9B">
              <w:t>6</w:t>
            </w:r>
            <w:r w:rsidR="009C3C58">
              <w:t>-1</w:t>
            </w:r>
            <w:r w:rsidR="007F2D9B">
              <w:t>7</w:t>
            </w:r>
            <w:r w:rsidR="009C3C58">
              <w:t>; PBS 201</w:t>
            </w:r>
            <w:r w:rsidR="007F2D9B">
              <w:t>6</w:t>
            </w:r>
            <w:r w:rsidR="009C3C58">
              <w:t>-</w:t>
            </w:r>
            <w:r>
              <w:t>1</w:t>
            </w:r>
            <w:r w:rsidR="007F2D9B">
              <w:t>7</w:t>
            </w:r>
            <w:r>
              <w:t xml:space="preserve">, page </w:t>
            </w:r>
            <w:r w:rsidR="007F2D9B">
              <w:t>291</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FA6B4C" w:rsidP="006D55AF">
            <w:pPr>
              <w:pStyle w:val="Tabletext"/>
              <w:spacing w:before="0"/>
              <w:ind w:left="284"/>
              <w:rPr>
                <w:i/>
              </w:rPr>
            </w:pPr>
            <w:r w:rsidRPr="00AF65B6">
              <w:t>98</w:t>
            </w:r>
            <w:r w:rsidR="009B4F97" w:rsidRPr="00AF65B6">
              <w:t>%</w:t>
            </w:r>
          </w:p>
        </w:tc>
        <w:tc>
          <w:tcPr>
            <w:tcW w:w="4218" w:type="dxa"/>
            <w:shd w:val="clear" w:color="auto" w:fill="auto"/>
          </w:tcPr>
          <w:p w:rsidR="009B4F97" w:rsidRPr="00AF65B6" w:rsidRDefault="009C3C58" w:rsidP="006D55AF">
            <w:pPr>
              <w:pStyle w:val="Tabletexthead"/>
              <w:spacing w:before="0" w:after="0"/>
              <w:rPr>
                <w:i/>
                <w:color w:val="auto"/>
              </w:rPr>
            </w:pPr>
            <w:r>
              <w:rPr>
                <w:i/>
                <w:color w:val="auto"/>
              </w:rPr>
              <w:t>Result</w:t>
            </w:r>
          </w:p>
          <w:p w:rsidR="009B4F97" w:rsidRPr="00AF65B6" w:rsidRDefault="008B7F83" w:rsidP="006D55AF">
            <w:pPr>
              <w:pStyle w:val="Tabletext"/>
              <w:spacing w:before="0"/>
              <w:rPr>
                <w:i/>
              </w:rPr>
            </w:pPr>
            <w:r w:rsidRPr="00497975">
              <w:t>100</w:t>
            </w:r>
            <w:r w:rsidR="009B4F97" w:rsidRPr="00497975">
              <w:t>%</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p w:rsidR="00AF65B6" w:rsidRDefault="00AF65B6" w:rsidP="006D55AF">
            <w:pPr>
              <w:pStyle w:val="Tabletext"/>
              <w:spacing w:before="0"/>
              <w:ind w:left="567"/>
              <w:rPr>
                <w:i/>
              </w:rPr>
            </w:pPr>
          </w:p>
        </w:tc>
      </w:tr>
      <w:tr w:rsidR="0098121C" w:rsidRPr="00CB554F" w:rsidTr="006A126B">
        <w:tc>
          <w:tcPr>
            <w:tcW w:w="7303" w:type="dxa"/>
            <w:gridSpan w:val="2"/>
            <w:shd w:val="clear" w:color="auto" w:fill="auto"/>
          </w:tcPr>
          <w:p w:rsidR="0098121C" w:rsidRPr="00720642" w:rsidRDefault="0098121C" w:rsidP="00B52342">
            <w:pPr>
              <w:pStyle w:val="Tabletexthead"/>
              <w:spacing w:before="0" w:after="0"/>
            </w:pPr>
            <w:r>
              <w:rPr>
                <w:i/>
              </w:rPr>
              <w:t xml:space="preserve">Performance criteria </w:t>
            </w:r>
            <w:r w:rsidR="006D5417">
              <w:rPr>
                <w:i/>
              </w:rPr>
              <w:t>2.4</w:t>
            </w:r>
          </w:p>
        </w:tc>
      </w:tr>
      <w:tr w:rsidR="0098121C" w:rsidRPr="00CB554F" w:rsidTr="006A126B">
        <w:tc>
          <w:tcPr>
            <w:tcW w:w="7303" w:type="dxa"/>
            <w:gridSpan w:val="2"/>
            <w:shd w:val="clear" w:color="auto" w:fill="auto"/>
          </w:tcPr>
          <w:p w:rsidR="006D5417" w:rsidRPr="00AF65B6" w:rsidRDefault="0098121C" w:rsidP="00AF65B6">
            <w:pPr>
              <w:pStyle w:val="Tabletext"/>
              <w:spacing w:before="0"/>
              <w:ind w:left="284"/>
            </w:pPr>
            <w:r w:rsidRPr="00AF65B6">
              <w:rPr>
                <w:b/>
                <w:i/>
              </w:rPr>
              <w:t>Criteria</w:t>
            </w:r>
            <w:r w:rsidR="00AF65B6" w:rsidRPr="00AF65B6">
              <w:rPr>
                <w:b/>
                <w:i/>
              </w:rPr>
              <w:t>:</w:t>
            </w:r>
            <w:r w:rsidR="00AF65B6">
              <w:t xml:space="preserve"> </w:t>
            </w:r>
            <w:r w:rsidR="006D5417" w:rsidRPr="006D5417">
              <w:t>Proportion of Act and legislative instrument compilations required to be prepared by OPC that are registered on the Legislation Register by the later of 90 days after Royal Assent or making date, or 28 days after commencement of the prospective amendments</w:t>
            </w:r>
          </w:p>
          <w:p w:rsidR="0098121C" w:rsidRPr="00AF65B6" w:rsidRDefault="0098121C" w:rsidP="007F2D9B">
            <w:pPr>
              <w:pStyle w:val="Tabletext"/>
              <w:spacing w:before="0"/>
              <w:ind w:left="284"/>
            </w:pPr>
            <w:r w:rsidRPr="00AF65B6">
              <w:rPr>
                <w:b/>
                <w:i/>
              </w:rPr>
              <w:t>Source</w:t>
            </w:r>
            <w:r w:rsidR="00AF65B6" w:rsidRPr="00AF65B6">
              <w:rPr>
                <w:b/>
                <w:i/>
              </w:rPr>
              <w:t>:</w:t>
            </w:r>
            <w:r w:rsidR="00AF65B6">
              <w:t xml:space="preserve"> </w:t>
            </w:r>
            <w:r w:rsidR="009C3C58">
              <w:t>Corporate plan 201</w:t>
            </w:r>
            <w:r w:rsidR="007F2D9B">
              <w:t>6</w:t>
            </w:r>
            <w:r w:rsidR="009C3C58">
              <w:t>-1</w:t>
            </w:r>
            <w:r w:rsidR="007F2D9B">
              <w:t>7</w:t>
            </w:r>
            <w:r w:rsidR="009C3C58">
              <w:t>; PBS 201</w:t>
            </w:r>
            <w:r w:rsidR="007F2D9B">
              <w:t>6</w:t>
            </w:r>
            <w:r w:rsidR="009C3C58">
              <w:t>-</w:t>
            </w:r>
            <w:r>
              <w:t>1</w:t>
            </w:r>
            <w:r w:rsidR="007F2D9B">
              <w:t>7</w:t>
            </w:r>
            <w:r>
              <w:t xml:space="preserve">, page </w:t>
            </w:r>
            <w:r w:rsidR="007F2D9B">
              <w:t>291</w:t>
            </w:r>
          </w:p>
        </w:tc>
      </w:tr>
      <w:tr w:rsidR="00AF65B6" w:rsidRPr="00AF65B6" w:rsidTr="006D55AF">
        <w:tc>
          <w:tcPr>
            <w:tcW w:w="3085" w:type="dxa"/>
            <w:shd w:val="clear" w:color="auto" w:fill="auto"/>
          </w:tcPr>
          <w:p w:rsidR="009B4F97" w:rsidRPr="00AF65B6" w:rsidRDefault="009B4F97" w:rsidP="006D55AF">
            <w:pPr>
              <w:pStyle w:val="Tabletexthead"/>
              <w:spacing w:before="0" w:after="0"/>
              <w:ind w:left="284"/>
              <w:rPr>
                <w:i/>
                <w:color w:val="auto"/>
              </w:rPr>
            </w:pPr>
            <w:r w:rsidRPr="00AF65B6">
              <w:rPr>
                <w:i/>
                <w:color w:val="auto"/>
              </w:rPr>
              <w:t>Target</w:t>
            </w:r>
          </w:p>
          <w:p w:rsidR="009B4F97" w:rsidRPr="00AF65B6" w:rsidRDefault="007F2D9B" w:rsidP="006D55AF">
            <w:pPr>
              <w:pStyle w:val="Tabletext"/>
              <w:spacing w:before="0"/>
              <w:ind w:left="284"/>
              <w:rPr>
                <w:i/>
              </w:rPr>
            </w:pPr>
            <w:r>
              <w:t>90</w:t>
            </w:r>
            <w:r w:rsidR="009B4F97" w:rsidRPr="00AF65B6">
              <w:t>%</w:t>
            </w:r>
          </w:p>
        </w:tc>
        <w:tc>
          <w:tcPr>
            <w:tcW w:w="4218" w:type="dxa"/>
            <w:shd w:val="clear" w:color="auto" w:fill="auto"/>
          </w:tcPr>
          <w:p w:rsidR="009B4F97" w:rsidRPr="00AF65B6" w:rsidRDefault="009C3C58" w:rsidP="006D55AF">
            <w:pPr>
              <w:pStyle w:val="Tabletexthead"/>
              <w:spacing w:before="0" w:after="0"/>
              <w:rPr>
                <w:i/>
                <w:color w:val="auto"/>
              </w:rPr>
            </w:pPr>
            <w:r>
              <w:rPr>
                <w:i/>
                <w:color w:val="auto"/>
              </w:rPr>
              <w:t>Result</w:t>
            </w:r>
          </w:p>
          <w:p w:rsidR="009B4F97" w:rsidRPr="00AF65B6" w:rsidRDefault="00497975" w:rsidP="006D55AF">
            <w:pPr>
              <w:pStyle w:val="Tabletext"/>
              <w:spacing w:before="0"/>
              <w:rPr>
                <w:i/>
              </w:rPr>
            </w:pPr>
            <w:r>
              <w:t>99</w:t>
            </w:r>
            <w:r w:rsidR="009B4F97" w:rsidRPr="00497975">
              <w:t>%</w:t>
            </w:r>
          </w:p>
        </w:tc>
      </w:tr>
      <w:tr w:rsidR="009B4F97" w:rsidRPr="00CB554F" w:rsidTr="006D55AF">
        <w:tc>
          <w:tcPr>
            <w:tcW w:w="7303" w:type="dxa"/>
            <w:gridSpan w:val="2"/>
            <w:shd w:val="clear" w:color="auto" w:fill="auto"/>
          </w:tcPr>
          <w:p w:rsidR="009B4F97" w:rsidRDefault="009B4F97" w:rsidP="006D55AF">
            <w:pPr>
              <w:pStyle w:val="Tabletext"/>
              <w:spacing w:before="0"/>
              <w:ind w:left="567"/>
              <w:rPr>
                <w:i/>
              </w:rPr>
            </w:pPr>
          </w:p>
        </w:tc>
      </w:tr>
    </w:tbl>
    <w:p w:rsidR="00C74A04" w:rsidRDefault="00C74A04" w:rsidP="00C74A04">
      <w:pPr>
        <w:rPr>
          <w:b/>
        </w:rPr>
      </w:pPr>
    </w:p>
    <w:p w:rsidR="00C74A04" w:rsidRDefault="00C74A04">
      <w:pPr>
        <w:rPr>
          <w:b/>
        </w:rPr>
      </w:pPr>
    </w:p>
    <w:p w:rsidR="00C74A04" w:rsidRDefault="00C74A04" w:rsidP="00C74A04">
      <w:pPr>
        <w:pStyle w:val="Head3"/>
        <w:sectPr w:rsidR="00C74A04" w:rsidSect="003B561A">
          <w:type w:val="continuous"/>
          <w:pgSz w:w="11907" w:h="16839" w:code="9"/>
          <w:pgMar w:top="1134" w:right="2410" w:bottom="4253" w:left="2410" w:header="510" w:footer="3402" w:gutter="0"/>
          <w:cols w:space="709"/>
          <w:docGrid w:linePitch="326"/>
        </w:sectPr>
      </w:pPr>
    </w:p>
    <w:p w:rsidR="00C74A04" w:rsidRDefault="00C74A04" w:rsidP="00C74A04"/>
    <w:p w:rsidR="00C74A04" w:rsidRPr="009A0845" w:rsidRDefault="00C74A04" w:rsidP="00C74A04">
      <w:pPr>
        <w:pStyle w:val="notedraft"/>
        <w:sectPr w:rsidR="00C74A04" w:rsidRPr="009A0845">
          <w:type w:val="continuous"/>
          <w:pgSz w:w="11907" w:h="16839" w:code="9"/>
          <w:pgMar w:top="1134" w:right="2410" w:bottom="4253" w:left="2410" w:header="510" w:footer="3402" w:gutter="0"/>
          <w:cols w:space="709"/>
          <w:docGrid w:linePitch="326"/>
        </w:sectPr>
      </w:pPr>
    </w:p>
    <w:p w:rsidR="008C3C98" w:rsidRDefault="008C3C98" w:rsidP="008C3C98">
      <w:pPr>
        <w:pStyle w:val="Head3"/>
      </w:pPr>
      <w:bookmarkStart w:id="33" w:name="_Toc492656465"/>
      <w:r>
        <w:lastRenderedPageBreak/>
        <w:t xml:space="preserve">Analysis of performance against Purpose 1: </w:t>
      </w:r>
      <w:r w:rsidR="006A126B">
        <w:t>Legislati</w:t>
      </w:r>
      <w:r w:rsidR="00E57038">
        <w:t>ve Drafting</w:t>
      </w:r>
      <w:bookmarkEnd w:id="33"/>
    </w:p>
    <w:p w:rsidR="00B37353" w:rsidRPr="00356616" w:rsidRDefault="00B37353" w:rsidP="006A72B6">
      <w:pPr>
        <w:sectPr w:rsidR="00B37353" w:rsidRPr="00356616">
          <w:pgSz w:w="11907" w:h="16839" w:code="9"/>
          <w:pgMar w:top="1134" w:right="2410" w:bottom="4253" w:left="2410" w:header="510" w:footer="3402" w:gutter="0"/>
          <w:cols w:space="709"/>
          <w:docGrid w:linePitch="326"/>
        </w:sectPr>
      </w:pPr>
    </w:p>
    <w:p w:rsidR="00E355BB" w:rsidRDefault="00E355BB" w:rsidP="00E355BB">
      <w:pPr>
        <w:pStyle w:val="Head4"/>
        <w:spacing w:before="0"/>
        <w:rPr>
          <w:rStyle w:val="CharSubdText"/>
        </w:rPr>
      </w:pPr>
      <w:bookmarkStart w:id="34" w:name="_Ref113169286"/>
      <w:r>
        <w:rPr>
          <w:rStyle w:val="CharSubdText"/>
        </w:rPr>
        <w:lastRenderedPageBreak/>
        <w:t>Overview</w:t>
      </w:r>
    </w:p>
    <w:p w:rsidR="00B37353" w:rsidRDefault="00B37353" w:rsidP="00B37353">
      <w:pPr>
        <w:pStyle w:val="BodyNum"/>
      </w:pPr>
      <w:proofErr w:type="spellStart"/>
      <w:r>
        <w:t>OPC’s</w:t>
      </w:r>
      <w:proofErr w:type="spellEnd"/>
      <w:r>
        <w:t xml:space="preserve"> outcome for 201</w:t>
      </w:r>
      <w:r w:rsidR="007F2D9B">
        <w:t>6</w:t>
      </w:r>
      <w:r>
        <w:t>-201</w:t>
      </w:r>
      <w:r w:rsidR="007F2D9B">
        <w:t>7</w:t>
      </w:r>
      <w:r>
        <w:t xml:space="preserve"> is “</w:t>
      </w:r>
      <w:r w:rsidR="007821D6">
        <w:t>A body of Commonwealth laws and instruments that give effect to intended policy, and that are coherent, readable and readily accessible, through the drafting and publication of those laws and instruments</w:t>
      </w:r>
      <w:r>
        <w:t>”.</w:t>
      </w:r>
      <w:bookmarkEnd w:id="34"/>
    </w:p>
    <w:p w:rsidR="007821D6" w:rsidRPr="007821D6" w:rsidRDefault="007821D6" w:rsidP="00B37353">
      <w:pPr>
        <w:pStyle w:val="BodyNum"/>
        <w:rPr>
          <w:i/>
        </w:rPr>
      </w:pPr>
      <w:r>
        <w:t>The first purpose that this gives rise to is to “e</w:t>
      </w:r>
      <w:r w:rsidRPr="00D34211">
        <w:t>nable the government to carry out its legislative program through the drafting of all Bills, all legislative instruments to be made or approved by the Governor-General (Federal Executive Council (</w:t>
      </w:r>
      <w:proofErr w:type="spellStart"/>
      <w:r w:rsidRPr="001708ED">
        <w:rPr>
          <w:b/>
          <w:i/>
        </w:rPr>
        <w:t>ExCo</w:t>
      </w:r>
      <w:proofErr w:type="spellEnd"/>
      <w:r w:rsidRPr="00D34211">
        <w:t>) instruments) and a range of other instruments</w:t>
      </w:r>
      <w:r>
        <w:t>”.</w:t>
      </w:r>
    </w:p>
    <w:p w:rsidR="00C97DDD" w:rsidRDefault="00C97DDD" w:rsidP="00C97DDD">
      <w:pPr>
        <w:pStyle w:val="BodyNum"/>
      </w:pPr>
      <w:r w:rsidRPr="0049617F">
        <w:t xml:space="preserve">OPC </w:t>
      </w:r>
      <w:r>
        <w:t xml:space="preserve">meets this </w:t>
      </w:r>
      <w:r w:rsidR="007821D6">
        <w:t xml:space="preserve">purpose </w:t>
      </w:r>
      <w:r w:rsidRPr="0049617F">
        <w:t>by working with governm</w:t>
      </w:r>
      <w:r>
        <w:t>ent agencies to clarify policy</w:t>
      </w:r>
      <w:r w:rsidRPr="0049617F">
        <w:t xml:space="preserve"> proposals </w:t>
      </w:r>
      <w:r>
        <w:t>and implement the intended policy of the executive government in legally effective legislation. The legislation drafted is comprehensible, workable and in a form available for scrutiny, and approval or rejection, by the Parliament.</w:t>
      </w:r>
    </w:p>
    <w:p w:rsidR="00B37353" w:rsidRDefault="00441F3F" w:rsidP="007821D6">
      <w:pPr>
        <w:pStyle w:val="BodyNum"/>
      </w:pPr>
      <w:r>
        <w:br w:type="column"/>
      </w:r>
      <w:r w:rsidR="00C97DDD" w:rsidRPr="007821D6">
        <w:lastRenderedPageBreak/>
        <w:t xml:space="preserve">OPC has met the </w:t>
      </w:r>
      <w:r w:rsidR="007821D6">
        <w:t xml:space="preserve">targets for the performance criteria for this purpose </w:t>
      </w:r>
      <w:r w:rsidR="00C97DDD" w:rsidRPr="007821D6">
        <w:t>in the 201</w:t>
      </w:r>
      <w:r w:rsidR="007F2D9B">
        <w:t>6</w:t>
      </w:r>
      <w:r w:rsidR="00C97DDD" w:rsidRPr="007821D6">
        <w:t>-201</w:t>
      </w:r>
      <w:r w:rsidR="007F2D9B">
        <w:t>7 year.</w:t>
      </w:r>
    </w:p>
    <w:p w:rsidR="007821D6" w:rsidRDefault="007821D6" w:rsidP="007821D6">
      <w:pPr>
        <w:pStyle w:val="BodyNum"/>
      </w:pPr>
      <w:r>
        <w:t xml:space="preserve">All Bills and </w:t>
      </w:r>
      <w:proofErr w:type="spellStart"/>
      <w:r>
        <w:t>ExCo</w:t>
      </w:r>
      <w:proofErr w:type="spellEnd"/>
      <w:r>
        <w:t xml:space="preserve"> instruments were drafted in accordance with government priorities and in a form suitable for consideration and enactment.</w:t>
      </w:r>
    </w:p>
    <w:p w:rsidR="007821D6" w:rsidRDefault="007821D6" w:rsidP="007821D6">
      <w:pPr>
        <w:pStyle w:val="BodyNum"/>
      </w:pPr>
      <w:r>
        <w:t>Client feedback surveys during 201</w:t>
      </w:r>
      <w:r w:rsidR="007F2D9B">
        <w:t>6</w:t>
      </w:r>
      <w:r>
        <w:t>-201</w:t>
      </w:r>
      <w:r w:rsidR="007F2D9B">
        <w:t>7</w:t>
      </w:r>
      <w:r>
        <w:t xml:space="preserve"> indicated that all Bills and instruments reflected their sponsors’ policy intentions.</w:t>
      </w:r>
    </w:p>
    <w:p w:rsidR="007821D6" w:rsidRDefault="007821D6" w:rsidP="007821D6">
      <w:pPr>
        <w:pStyle w:val="BodyNum"/>
      </w:pPr>
      <w:r>
        <w:t>Minor technical flaws have been detected in a small number of Bills. These have been, or will be, corrected through the Statute Law Revision process</w:t>
      </w:r>
      <w:r w:rsidR="00767FBD">
        <w:t xml:space="preserve"> or through editorial changes made using F</w:t>
      </w:r>
      <w:r w:rsidR="000C61BE">
        <w:t xml:space="preserve">irst </w:t>
      </w:r>
      <w:r w:rsidR="00767FBD">
        <w:t>P</w:t>
      </w:r>
      <w:r w:rsidR="000C61BE">
        <w:t xml:space="preserve">arliamentary </w:t>
      </w:r>
      <w:r w:rsidR="00767FBD">
        <w:t>C</w:t>
      </w:r>
      <w:r w:rsidR="000C61BE">
        <w:t>ounsel</w:t>
      </w:r>
      <w:r w:rsidR="00767FBD">
        <w:t xml:space="preserve">’s powers under the </w:t>
      </w:r>
      <w:r w:rsidR="00767FBD" w:rsidRPr="00795FB3">
        <w:rPr>
          <w:i/>
        </w:rPr>
        <w:t>Legislation Act 2003</w:t>
      </w:r>
      <w:r w:rsidR="00926EA4">
        <w:t xml:space="preserve"> (</w:t>
      </w:r>
      <w:r w:rsidR="00926EA4" w:rsidRPr="00926EA4">
        <w:rPr>
          <w:b/>
          <w:i/>
        </w:rPr>
        <w:t>the Legislation Act</w:t>
      </w:r>
      <w:r w:rsidR="00926EA4">
        <w:t>).</w:t>
      </w:r>
      <w:r>
        <w:t xml:space="preserve"> </w:t>
      </w:r>
      <w:r w:rsidRPr="00672F1B">
        <w:t xml:space="preserve">Minor technical flaws detected in regulations are addressed </w:t>
      </w:r>
      <w:r w:rsidR="00767FBD">
        <w:t>using F</w:t>
      </w:r>
      <w:r w:rsidR="000C61BE">
        <w:t xml:space="preserve">irst </w:t>
      </w:r>
      <w:r w:rsidR="00767FBD">
        <w:t>P</w:t>
      </w:r>
      <w:r w:rsidR="000C61BE">
        <w:t xml:space="preserve">arliamentary </w:t>
      </w:r>
      <w:r w:rsidR="00767FBD">
        <w:t>C</w:t>
      </w:r>
      <w:r w:rsidR="000C61BE">
        <w:t>ounsel</w:t>
      </w:r>
      <w:r w:rsidR="00767FBD">
        <w:t xml:space="preserve">’s editorial power or </w:t>
      </w:r>
      <w:r w:rsidRPr="00672F1B">
        <w:t>through the next relevant drafting project.</w:t>
      </w:r>
    </w:p>
    <w:p w:rsidR="00E355BB" w:rsidRDefault="00E355BB" w:rsidP="007821D6">
      <w:pPr>
        <w:pStyle w:val="BodyNum"/>
      </w:pPr>
      <w:r>
        <w:t xml:space="preserve">Clients were also surveyed on their overall satisfaction with the drafting process and the resulting legislation. On a rating scale of 1 to </w:t>
      </w:r>
      <w:r>
        <w:lastRenderedPageBreak/>
        <w:t xml:space="preserve">5, the average response for Bills was </w:t>
      </w:r>
      <w:r w:rsidR="00937B4A" w:rsidRPr="00BB0AE7">
        <w:t>4.9</w:t>
      </w:r>
      <w:r>
        <w:t xml:space="preserve"> and the average response for instruments was </w:t>
      </w:r>
      <w:r w:rsidR="00937B4A" w:rsidRPr="00BB0AE7">
        <w:t>4.</w:t>
      </w:r>
      <w:r w:rsidR="00BB0AE7" w:rsidRPr="00BB0AE7">
        <w:t>9</w:t>
      </w:r>
      <w:r>
        <w:t xml:space="preserve">. Both of these </w:t>
      </w:r>
      <w:r w:rsidR="00937B4A">
        <w:t>are well above the target of 4.</w:t>
      </w:r>
    </w:p>
    <w:p w:rsidR="007821D6" w:rsidRDefault="007821D6" w:rsidP="007821D6">
      <w:pPr>
        <w:pStyle w:val="BodyNum"/>
      </w:pPr>
      <w:r>
        <w:t>Drafting standards are issued and formatting conventions are set by the First Parliamentary Counsel to ensure a consistent approach is taken in drafting.</w:t>
      </w:r>
    </w:p>
    <w:p w:rsidR="007821D6" w:rsidRDefault="007821D6" w:rsidP="007821D6">
      <w:pPr>
        <w:pStyle w:val="BodyNum"/>
      </w:pPr>
      <w:r>
        <w:t xml:space="preserve">The drafting standards and formatting conventions were applied consistently to Bills and </w:t>
      </w:r>
      <w:proofErr w:type="spellStart"/>
      <w:r>
        <w:t>ExCo</w:t>
      </w:r>
      <w:proofErr w:type="spellEnd"/>
      <w:r>
        <w:t xml:space="preserve"> instruments.</w:t>
      </w:r>
    </w:p>
    <w:p w:rsidR="007821D6" w:rsidRDefault="007821D6" w:rsidP="007821D6">
      <w:pPr>
        <w:pStyle w:val="BodyNum"/>
      </w:pPr>
      <w:r>
        <w:t>Quality assurance through editorial checking ensured drafting standards and formatting conventions were applied consistently and legislation was readable.</w:t>
      </w:r>
    </w:p>
    <w:p w:rsidR="007821D6" w:rsidRDefault="007821D6" w:rsidP="007821D6">
      <w:pPr>
        <w:pStyle w:val="BodyNum"/>
      </w:pPr>
      <w:r w:rsidRPr="00672F1B">
        <w:t>Client feedback surveys during 201</w:t>
      </w:r>
      <w:r w:rsidR="007F2D9B">
        <w:t>6</w:t>
      </w:r>
      <w:r w:rsidRPr="00672F1B">
        <w:t>-201</w:t>
      </w:r>
      <w:r w:rsidR="007F2D9B">
        <w:t>7</w:t>
      </w:r>
      <w:r w:rsidRPr="00672F1B">
        <w:t xml:space="preserve"> indicate</w:t>
      </w:r>
      <w:r>
        <w:t>d</w:t>
      </w:r>
      <w:r w:rsidRPr="00672F1B">
        <w:t xml:space="preserve"> that all Bills and instruments were easy to understand, having regard to the inherent complexity of the subject matter.</w:t>
      </w:r>
    </w:p>
    <w:p w:rsidR="00C97DDD" w:rsidRPr="00FF7AFF" w:rsidRDefault="00C97DDD" w:rsidP="00FF7AFF">
      <w:pPr>
        <w:pStyle w:val="Head4"/>
      </w:pPr>
      <w:bookmarkStart w:id="35" w:name="_Ref113168636"/>
      <w:bookmarkStart w:id="36" w:name="_Ref81116917"/>
      <w:r w:rsidRPr="00FF7AFF">
        <w:t>Bills</w:t>
      </w:r>
    </w:p>
    <w:p w:rsidR="00C97DDD" w:rsidRPr="00A07370" w:rsidRDefault="00C97DDD" w:rsidP="00C97DDD">
      <w:pPr>
        <w:pStyle w:val="BodyNum"/>
      </w:pPr>
      <w:r w:rsidRPr="00A07370">
        <w:t>Before ea</w:t>
      </w:r>
      <w:r w:rsidR="00E42F6F">
        <w:t>ch parliamentary sittings, the G</w:t>
      </w:r>
      <w:r w:rsidRPr="00A07370">
        <w:t xml:space="preserve">overnment formulates the program of Bills that it requires to be drafted for the sittings. Since it may not be possible for all Bills on </w:t>
      </w:r>
      <w:r w:rsidRPr="00A07370">
        <w:lastRenderedPageBreak/>
        <w:t>the program to be drafted, a drafting priority is given to each Bill.</w:t>
      </w:r>
    </w:p>
    <w:p w:rsidR="00C97DDD" w:rsidRPr="00A07370" w:rsidRDefault="00C97DDD" w:rsidP="00C97DDD">
      <w:pPr>
        <w:pStyle w:val="BodyNum"/>
      </w:pPr>
      <w:r w:rsidRPr="00A07370">
        <w:t xml:space="preserve">On the basis of this program, departments or other agencies instruct drafters in OPC on the policy to be effected by </w:t>
      </w:r>
      <w:r>
        <w:t>each Bill</w:t>
      </w:r>
      <w:r w:rsidRPr="00A07370">
        <w:t>.</w:t>
      </w:r>
    </w:p>
    <w:p w:rsidR="00C97DDD" w:rsidRPr="00A07370" w:rsidRDefault="00C97DDD" w:rsidP="00C97DDD">
      <w:pPr>
        <w:pStyle w:val="BodyNum"/>
      </w:pPr>
      <w:r w:rsidRPr="00A07370">
        <w:t xml:space="preserve">In consultation with instructing officers, the drafters consider the constitutional and legal background against which the </w:t>
      </w:r>
      <w:r>
        <w:t>Bill</w:t>
      </w:r>
      <w:r w:rsidRPr="00A07370">
        <w:t xml:space="preserve"> is to be framed, analyse the policy and determine the structure of the </w:t>
      </w:r>
      <w:r>
        <w:t>Bill</w:t>
      </w:r>
      <w:r w:rsidRPr="00A07370">
        <w:t xml:space="preserve">. Then they draft the </w:t>
      </w:r>
      <w:r>
        <w:t>Bill</w:t>
      </w:r>
      <w:r w:rsidRPr="00A07370">
        <w:t xml:space="preserve"> in terms intended to give effect to the policy in as precise and clear a manner as possible.</w:t>
      </w:r>
    </w:p>
    <w:p w:rsidR="00C97DDD" w:rsidRPr="00A07370" w:rsidRDefault="00C97DDD" w:rsidP="00C97DDD">
      <w:pPr>
        <w:pStyle w:val="BodyNum"/>
      </w:pPr>
      <w:r w:rsidRPr="00A07370">
        <w:t>When a Bill is completed, OPC arranges for the Bill to be printed in sufficient numbers for consideration by the Parliament.</w:t>
      </w:r>
    </w:p>
    <w:p w:rsidR="00C97DDD" w:rsidRPr="00A07370" w:rsidRDefault="00E42F6F" w:rsidP="00C97DDD">
      <w:pPr>
        <w:pStyle w:val="BodyNum"/>
      </w:pPr>
      <w:r>
        <w:t>If the G</w:t>
      </w:r>
      <w:r w:rsidR="00C97DDD" w:rsidRPr="00A07370">
        <w:t xml:space="preserve">overnment decides to amend </w:t>
      </w:r>
      <w:r w:rsidR="00C97DDD">
        <w:t>a Bill</w:t>
      </w:r>
      <w:r w:rsidR="00C97DDD" w:rsidRPr="00A07370">
        <w:t xml:space="preserve"> during </w:t>
      </w:r>
      <w:r w:rsidR="00C97DDD">
        <w:t>its</w:t>
      </w:r>
      <w:r w:rsidR="00C97DDD" w:rsidRPr="00A07370">
        <w:t xml:space="preserve"> passage through the Parliament, drafters in OPC prepare the necessary amendments and provide copies to the Parliament.</w:t>
      </w:r>
    </w:p>
    <w:p w:rsidR="00C97DDD" w:rsidRPr="00A07370" w:rsidRDefault="00C97DDD" w:rsidP="00BE3CFD">
      <w:pPr>
        <w:pStyle w:val="Head5"/>
      </w:pPr>
      <w:r w:rsidRPr="00A07370">
        <w:t>Drafting resources applied according to government priorities</w:t>
      </w:r>
    </w:p>
    <w:p w:rsidR="00C97DDD" w:rsidRPr="00A07370" w:rsidRDefault="00C97DDD" w:rsidP="00C97DDD">
      <w:pPr>
        <w:pStyle w:val="BodyNum"/>
      </w:pPr>
      <w:bookmarkStart w:id="37" w:name="_Ref113169303"/>
      <w:r w:rsidRPr="00A07370">
        <w:t xml:space="preserve">Drafting resources were applied, and Bills were drafted, in </w:t>
      </w:r>
      <w:r w:rsidRPr="00A07370">
        <w:lastRenderedPageBreak/>
        <w:t>accordance with government priorities.</w:t>
      </w:r>
      <w:bookmarkEnd w:id="37"/>
    </w:p>
    <w:p w:rsidR="00C97DDD" w:rsidRPr="00A07370" w:rsidRDefault="00C97DDD" w:rsidP="00C97DDD">
      <w:pPr>
        <w:pStyle w:val="BodyNum"/>
      </w:pPr>
      <w:r w:rsidRPr="00A07370">
        <w:t>Most category T Bills were drafted and introduced. Several Bills retained category T status to ensure access to drafting resources throughout the sittings concerned. Many category A Bills, and</w:t>
      </w:r>
      <w:r w:rsidR="00203AD7">
        <w:t xml:space="preserve"> </w:t>
      </w:r>
      <w:r w:rsidR="00063F47">
        <w:t xml:space="preserve">7 </w:t>
      </w:r>
      <w:r w:rsidR="00926EA4">
        <w:t>c</w:t>
      </w:r>
      <w:r w:rsidRPr="00A07370">
        <w:t>ategory B or C Bill</w:t>
      </w:r>
      <w:r w:rsidR="001C3402">
        <w:t>s, were drafted and introduced.</w:t>
      </w:r>
    </w:p>
    <w:bookmarkEnd w:id="35"/>
    <w:bookmarkEnd w:id="36"/>
    <w:p w:rsidR="00C97DDD" w:rsidRPr="00A07370" w:rsidRDefault="00C97DDD" w:rsidP="00BE3CFD">
      <w:pPr>
        <w:pStyle w:val="Head5"/>
      </w:pPr>
      <w:r w:rsidRPr="00A07370">
        <w:t>Statistics for Bills introduced</w:t>
      </w:r>
    </w:p>
    <w:p w:rsidR="00C97DDD" w:rsidRPr="00A07370" w:rsidRDefault="00C97DDD" w:rsidP="00C97DDD">
      <w:pPr>
        <w:pStyle w:val="BodyNum"/>
      </w:pPr>
      <w:r w:rsidRPr="00A07370">
        <w:t xml:space="preserve">Over the year </w:t>
      </w:r>
      <w:r w:rsidR="00172639">
        <w:t>217</w:t>
      </w:r>
      <w:r w:rsidR="006E4A12">
        <w:t xml:space="preserve"> </w:t>
      </w:r>
      <w:r w:rsidRPr="00A07370">
        <w:t xml:space="preserve">Bills, totalling </w:t>
      </w:r>
      <w:r w:rsidR="00172639">
        <w:t>7,368</w:t>
      </w:r>
      <w:r w:rsidRPr="00A07370">
        <w:t xml:space="preserve"> pages, drafted in OPC were introduced into the Parliament. </w:t>
      </w:r>
    </w:p>
    <w:p w:rsidR="00C97DDD" w:rsidRPr="00A07370" w:rsidRDefault="00C97DDD" w:rsidP="00C97DDD">
      <w:pPr>
        <w:pStyle w:val="BodyNum"/>
      </w:pPr>
      <w:r w:rsidRPr="00A07370">
        <w:t xml:space="preserve">The table following paragraph </w:t>
      </w:r>
      <w:r w:rsidR="00F70550">
        <w:fldChar w:fldCharType="begin"/>
      </w:r>
      <w:r w:rsidR="00F70550">
        <w:instrText xml:space="preserve"> REF _Ref79899922 \r \h </w:instrText>
      </w:r>
      <w:r w:rsidR="00F70550">
        <w:fldChar w:fldCharType="separate"/>
      </w:r>
      <w:r w:rsidR="0067044F">
        <w:t>106</w:t>
      </w:r>
      <w:r w:rsidR="00F70550">
        <w:fldChar w:fldCharType="end"/>
      </w:r>
      <w:r w:rsidRPr="00A07370">
        <w:t xml:space="preserve"> gives more detailed figures for those Bills, broken down by </w:t>
      </w:r>
      <w:r w:rsidR="00DB5EF4">
        <w:t>parliamentary sittings periods.</w:t>
      </w:r>
    </w:p>
    <w:p w:rsidR="00C97DDD" w:rsidRPr="00A07370" w:rsidRDefault="00C97DDD" w:rsidP="00E355BB">
      <w:pPr>
        <w:pStyle w:val="BodyNum"/>
      </w:pPr>
      <w:bookmarkStart w:id="38" w:name="_Ref113167204"/>
      <w:r w:rsidRPr="00A07370">
        <w:t>The figures in the table also indicate</w:t>
      </w:r>
      <w:bookmarkEnd w:id="38"/>
      <w:r w:rsidR="00E355BB">
        <w:t xml:space="preserve"> </w:t>
      </w:r>
      <w:r w:rsidRPr="00A07370">
        <w:t>the total number of Bills on the original program for each sittings that is set by the Parliamentary Business Committee of the Cabinet (</w:t>
      </w:r>
      <w:proofErr w:type="spellStart"/>
      <w:r w:rsidRPr="002F0009">
        <w:rPr>
          <w:b/>
          <w:i/>
        </w:rPr>
        <w:t>PBC</w:t>
      </w:r>
      <w:proofErr w:type="spellEnd"/>
      <w:r w:rsidRPr="00A07370">
        <w:t>) at the end of the preceding sittings</w:t>
      </w:r>
      <w:r w:rsidR="00E355BB">
        <w:t xml:space="preserve">. As </w:t>
      </w:r>
      <w:r w:rsidRPr="00A07370">
        <w:t>the original program is subject to variations during the sittings</w:t>
      </w:r>
      <w:r w:rsidR="00E355BB">
        <w:t xml:space="preserve"> concerned, the n</w:t>
      </w:r>
      <w:r w:rsidR="00926EA4">
        <w:t>umber of Bills in a particular</w:t>
      </w:r>
      <w:r w:rsidR="00E355BB">
        <w:t xml:space="preserve"> category that are introduced may exceed the number on the original program.</w:t>
      </w:r>
    </w:p>
    <w:p w:rsidR="00C97DDD" w:rsidRPr="00A07370" w:rsidRDefault="00C97DDD" w:rsidP="00C97DDD">
      <w:pPr>
        <w:pStyle w:val="BodyNum"/>
      </w:pPr>
      <w:bookmarkStart w:id="39" w:name="_Ref79899081"/>
      <w:bookmarkStart w:id="40" w:name="_Ref399517413"/>
      <w:bookmarkStart w:id="41" w:name="_Ref79899473"/>
      <w:bookmarkEnd w:id="39"/>
      <w:r w:rsidRPr="00A07370">
        <w:lastRenderedPageBreak/>
        <w:t xml:space="preserve">An understanding of the programming approach used by </w:t>
      </w:r>
      <w:proofErr w:type="spellStart"/>
      <w:r w:rsidRPr="00A07370">
        <w:t>PBC</w:t>
      </w:r>
      <w:proofErr w:type="spellEnd"/>
      <w:r w:rsidRPr="00A07370">
        <w:t xml:space="preserve"> is necessary to make sense of the tables. This involves dividing the legislation planned for a parliamentary sittings into 4 categories:</w:t>
      </w:r>
      <w:bookmarkEnd w:id="40"/>
    </w:p>
    <w:bookmarkEnd w:id="41"/>
    <w:p w:rsidR="00C97DDD" w:rsidRPr="00A07370" w:rsidRDefault="00C97DDD" w:rsidP="00C97DDD">
      <w:pPr>
        <w:pStyle w:val="AnnualReportBullet"/>
        <w:tabs>
          <w:tab w:val="left" w:pos="360"/>
        </w:tabs>
        <w:ind w:left="360" w:hanging="360"/>
      </w:pPr>
      <w:r w:rsidRPr="00A07370">
        <w:rPr>
          <w:rFonts w:ascii="Symbol" w:hAnsi="Symbol"/>
        </w:rPr>
        <w:t></w:t>
      </w:r>
      <w:r w:rsidRPr="00A07370">
        <w:rPr>
          <w:rFonts w:ascii="Symbol" w:hAnsi="Symbol"/>
        </w:rPr>
        <w:tab/>
      </w:r>
      <w:r w:rsidRPr="00A07370">
        <w:rPr>
          <w:b/>
          <w:i/>
        </w:rPr>
        <w:t>Category T (“time critical”)</w:t>
      </w:r>
      <w:r w:rsidRPr="00A07370">
        <w:t>: These Bills are intended to be introduced and passed in a single sittings.</w:t>
      </w:r>
    </w:p>
    <w:p w:rsidR="00C97DDD" w:rsidRPr="00A07370" w:rsidRDefault="00C97DDD" w:rsidP="00C97DDD">
      <w:pPr>
        <w:pStyle w:val="AnnualReportBullet"/>
        <w:tabs>
          <w:tab w:val="left" w:pos="360"/>
        </w:tabs>
        <w:ind w:left="360" w:hanging="360"/>
      </w:pPr>
      <w:r w:rsidRPr="00A07370">
        <w:rPr>
          <w:rFonts w:ascii="Symbol" w:hAnsi="Symbol"/>
        </w:rPr>
        <w:t></w:t>
      </w:r>
      <w:r w:rsidRPr="00A07370">
        <w:rPr>
          <w:rFonts w:ascii="Symbol" w:hAnsi="Symbol"/>
        </w:rPr>
        <w:tab/>
      </w:r>
      <w:r w:rsidRPr="00A07370">
        <w:rPr>
          <w:b/>
          <w:i/>
        </w:rPr>
        <w:t>Category A</w:t>
      </w:r>
      <w:r w:rsidRPr="00A07370">
        <w:t>: Most important after category T. Generally intended for introduction, but not passage, during the sittings.</w:t>
      </w:r>
    </w:p>
    <w:p w:rsidR="00C97DDD" w:rsidRPr="00A07370" w:rsidRDefault="00C97DDD" w:rsidP="00C97DDD">
      <w:pPr>
        <w:pStyle w:val="AnnualReportBullet"/>
        <w:tabs>
          <w:tab w:val="left" w:pos="360"/>
        </w:tabs>
        <w:ind w:left="360" w:hanging="360"/>
      </w:pPr>
      <w:r w:rsidRPr="00A07370">
        <w:rPr>
          <w:rFonts w:ascii="Symbol" w:hAnsi="Symbol"/>
        </w:rPr>
        <w:t></w:t>
      </w:r>
      <w:r w:rsidRPr="00A07370">
        <w:rPr>
          <w:rFonts w:ascii="Symbol" w:hAnsi="Symbol"/>
        </w:rPr>
        <w:tab/>
      </w:r>
      <w:r w:rsidRPr="00A07370">
        <w:rPr>
          <w:b/>
          <w:i/>
        </w:rPr>
        <w:t>Category B</w:t>
      </w:r>
      <w:r w:rsidRPr="00A07370">
        <w:t>: Next most important. Generally intended for introduction, but not passage, during the sittings.</w:t>
      </w:r>
    </w:p>
    <w:p w:rsidR="00C97DDD" w:rsidRPr="00A07370" w:rsidRDefault="00C97DDD" w:rsidP="00C97DDD">
      <w:pPr>
        <w:pStyle w:val="AnnualReportBullet"/>
        <w:tabs>
          <w:tab w:val="left" w:pos="360"/>
        </w:tabs>
        <w:ind w:left="360" w:hanging="360"/>
      </w:pPr>
      <w:r w:rsidRPr="00A07370">
        <w:rPr>
          <w:rFonts w:ascii="Symbol" w:hAnsi="Symbol"/>
        </w:rPr>
        <w:t></w:t>
      </w:r>
      <w:r w:rsidRPr="00A07370">
        <w:rPr>
          <w:rFonts w:ascii="Symbol" w:hAnsi="Symbol"/>
        </w:rPr>
        <w:tab/>
      </w:r>
      <w:r w:rsidRPr="00A07370">
        <w:rPr>
          <w:b/>
          <w:i/>
        </w:rPr>
        <w:t>Category C</w:t>
      </w:r>
      <w:r w:rsidRPr="00A07370">
        <w:t>: Less important, or less likely to be ready for introduction (e.g. because final policy is dependent on the findings of a review that will not be completed until late in the sittings).</w:t>
      </w:r>
    </w:p>
    <w:p w:rsidR="00845C9B" w:rsidRPr="00845C9B" w:rsidRDefault="00C97DDD" w:rsidP="00F70550">
      <w:pPr>
        <w:pStyle w:val="BodyNum"/>
        <w:sectPr w:rsidR="00845C9B" w:rsidRPr="00845C9B">
          <w:headerReference w:type="default" r:id="rId43"/>
          <w:type w:val="continuous"/>
          <w:pgSz w:w="11907" w:h="16839" w:code="9"/>
          <w:pgMar w:top="1134" w:right="2410" w:bottom="4253" w:left="2410" w:header="510" w:footer="3402" w:gutter="0"/>
          <w:cols w:num="2" w:space="709"/>
          <w:docGrid w:linePitch="326"/>
        </w:sectPr>
      </w:pPr>
      <w:bookmarkStart w:id="42" w:name="_Ref79899922"/>
      <w:r w:rsidRPr="00A07370">
        <w:t>Some Bills in categories A, B and C may not be intended for introduction in the sittings concerned. These are Bills that are very large, or are required for consultation purposes before introduction. Drafting of such Bills needs to be started well before the sittings proposed for introduction.</w:t>
      </w:r>
      <w:bookmarkEnd w:id="42"/>
    </w:p>
    <w:p w:rsidR="008243F7" w:rsidRDefault="008243F7"/>
    <w:tbl>
      <w:tblPr>
        <w:tblW w:w="7230" w:type="dxa"/>
        <w:tblInd w:w="108" w:type="dxa"/>
        <w:tblBorders>
          <w:top w:val="single" w:sz="12" w:space="0" w:color="008000"/>
          <w:bottom w:val="single" w:sz="12" w:space="0" w:color="008000"/>
        </w:tblBorders>
        <w:tblLayout w:type="fixed"/>
        <w:tblLook w:val="01A0" w:firstRow="1" w:lastRow="0" w:firstColumn="1" w:lastColumn="1" w:noHBand="0" w:noVBand="0"/>
      </w:tblPr>
      <w:tblGrid>
        <w:gridCol w:w="1276"/>
        <w:gridCol w:w="3119"/>
        <w:gridCol w:w="2835"/>
      </w:tblGrid>
      <w:tr w:rsidR="00074C6A" w:rsidTr="007327BF">
        <w:tc>
          <w:tcPr>
            <w:tcW w:w="7230" w:type="dxa"/>
            <w:gridSpan w:val="3"/>
            <w:tcBorders>
              <w:top w:val="single" w:sz="12" w:space="0" w:color="000000"/>
              <w:bottom w:val="single" w:sz="6" w:space="0" w:color="000000"/>
            </w:tcBorders>
            <w:shd w:val="clear" w:color="auto" w:fill="auto"/>
          </w:tcPr>
          <w:p w:rsidR="00074C6A" w:rsidRDefault="00074C6A" w:rsidP="0063584E">
            <w:pPr>
              <w:pStyle w:val="Tabletexthead"/>
            </w:pPr>
            <w:r>
              <w:lastRenderedPageBreak/>
              <w:t>Bill statistics</w:t>
            </w:r>
          </w:p>
        </w:tc>
      </w:tr>
      <w:tr w:rsidR="005167ED" w:rsidTr="005167ED">
        <w:tblPrEx>
          <w:tblLook w:val="00A0" w:firstRow="1" w:lastRow="0" w:firstColumn="1" w:lastColumn="0" w:noHBand="0" w:noVBand="0"/>
        </w:tblPrEx>
        <w:tc>
          <w:tcPr>
            <w:tcW w:w="1276" w:type="dxa"/>
            <w:tcBorders>
              <w:top w:val="nil"/>
              <w:bottom w:val="single" w:sz="6" w:space="0" w:color="auto"/>
            </w:tcBorders>
            <w:shd w:val="clear" w:color="auto" w:fill="auto"/>
          </w:tcPr>
          <w:p w:rsidR="005167ED" w:rsidRDefault="005167ED" w:rsidP="00B37353">
            <w:pPr>
              <w:pStyle w:val="Tabletexthead"/>
            </w:pPr>
            <w:r>
              <w:br w:type="page"/>
              <w:t>Category</w:t>
            </w:r>
          </w:p>
        </w:tc>
        <w:tc>
          <w:tcPr>
            <w:tcW w:w="3119" w:type="dxa"/>
            <w:tcBorders>
              <w:top w:val="nil"/>
              <w:bottom w:val="single" w:sz="6" w:space="0" w:color="auto"/>
            </w:tcBorders>
            <w:shd w:val="clear" w:color="auto" w:fill="auto"/>
          </w:tcPr>
          <w:p w:rsidR="005167ED" w:rsidRDefault="005167ED" w:rsidP="00B37353">
            <w:pPr>
              <w:pStyle w:val="Tabletexthead"/>
            </w:pPr>
            <w:r>
              <w:t xml:space="preserve">Bills on original </w:t>
            </w:r>
            <w:proofErr w:type="spellStart"/>
            <w:r>
              <w:t>PBC</w:t>
            </w:r>
            <w:proofErr w:type="spellEnd"/>
            <w:r>
              <w:t xml:space="preserve"> program</w:t>
            </w:r>
          </w:p>
        </w:tc>
        <w:tc>
          <w:tcPr>
            <w:tcW w:w="2835" w:type="dxa"/>
            <w:tcBorders>
              <w:top w:val="nil"/>
              <w:bottom w:val="single" w:sz="6" w:space="0" w:color="auto"/>
            </w:tcBorders>
            <w:shd w:val="clear" w:color="auto" w:fill="auto"/>
          </w:tcPr>
          <w:p w:rsidR="005167ED" w:rsidRDefault="005167ED" w:rsidP="00B37353">
            <w:pPr>
              <w:pStyle w:val="Tabletexthead"/>
            </w:pPr>
            <w:r>
              <w:t>Bills introduced</w:t>
            </w:r>
          </w:p>
        </w:tc>
      </w:tr>
      <w:tr w:rsidR="00B37353" w:rsidTr="007327BF">
        <w:tblPrEx>
          <w:tblLook w:val="00A0" w:firstRow="1" w:lastRow="0" w:firstColumn="1" w:lastColumn="0" w:noHBand="0" w:noVBand="0"/>
        </w:tblPrEx>
        <w:tc>
          <w:tcPr>
            <w:tcW w:w="7230" w:type="dxa"/>
            <w:gridSpan w:val="3"/>
            <w:tcBorders>
              <w:top w:val="single" w:sz="6" w:space="0" w:color="auto"/>
              <w:bottom w:val="nil"/>
            </w:tcBorders>
            <w:shd w:val="clear" w:color="auto" w:fill="99CCFF"/>
          </w:tcPr>
          <w:p w:rsidR="00B37353" w:rsidRDefault="00B37353" w:rsidP="00F70550">
            <w:pPr>
              <w:pStyle w:val="Tabletexthead"/>
              <w:jc w:val="center"/>
            </w:pPr>
            <w:r>
              <w:t>Spring 201</w:t>
            </w:r>
            <w:r w:rsidR="00172639">
              <w:t>6</w:t>
            </w:r>
            <w:r>
              <w:t xml:space="preserve"> (</w:t>
            </w:r>
            <w:r w:rsidR="00F70550">
              <w:t>August</w:t>
            </w:r>
            <w:r>
              <w:t>—</w:t>
            </w:r>
            <w:r w:rsidR="00DE4C1F">
              <w:t>Dec</w:t>
            </w:r>
            <w:r>
              <w:t>ember 201</w:t>
            </w:r>
            <w:r w:rsidR="00172639">
              <w:t>6</w:t>
            </w:r>
            <w:r>
              <w:t>)</w:t>
            </w:r>
          </w:p>
        </w:tc>
      </w:tr>
      <w:tr w:rsidR="005167ED" w:rsidRPr="00CB554F" w:rsidTr="005167ED">
        <w:tblPrEx>
          <w:tblLook w:val="00A0" w:firstRow="1" w:lastRow="0" w:firstColumn="1" w:lastColumn="0" w:noHBand="0" w:noVBand="0"/>
        </w:tblPrEx>
        <w:tc>
          <w:tcPr>
            <w:tcW w:w="1276" w:type="dxa"/>
            <w:tcBorders>
              <w:top w:val="nil"/>
            </w:tcBorders>
            <w:shd w:val="clear" w:color="auto" w:fill="auto"/>
          </w:tcPr>
          <w:p w:rsidR="005167ED" w:rsidRPr="00CB554F" w:rsidRDefault="005167ED" w:rsidP="00B37353">
            <w:pPr>
              <w:pStyle w:val="Body"/>
              <w:spacing w:before="60"/>
              <w:rPr>
                <w:b/>
                <w:color w:val="0000FF"/>
              </w:rPr>
            </w:pPr>
            <w:r w:rsidRPr="00CB554F">
              <w:rPr>
                <w:b/>
                <w:color w:val="0000FF"/>
              </w:rPr>
              <w:t>T</w:t>
            </w:r>
          </w:p>
        </w:tc>
        <w:tc>
          <w:tcPr>
            <w:tcW w:w="3119" w:type="dxa"/>
            <w:tcBorders>
              <w:top w:val="nil"/>
            </w:tcBorders>
            <w:shd w:val="clear" w:color="auto" w:fill="auto"/>
          </w:tcPr>
          <w:p w:rsidR="005167ED" w:rsidRPr="00CB554F" w:rsidRDefault="00172639" w:rsidP="005167ED">
            <w:pPr>
              <w:pStyle w:val="Body"/>
              <w:tabs>
                <w:tab w:val="decimal" w:pos="660"/>
              </w:tabs>
              <w:spacing w:before="60"/>
              <w:jc w:val="center"/>
              <w:rPr>
                <w:color w:val="0000FF"/>
              </w:rPr>
            </w:pPr>
            <w:r>
              <w:rPr>
                <w:color w:val="0000FF"/>
              </w:rPr>
              <w:t>70</w:t>
            </w:r>
          </w:p>
        </w:tc>
        <w:tc>
          <w:tcPr>
            <w:tcW w:w="2835" w:type="dxa"/>
            <w:tcBorders>
              <w:top w:val="nil"/>
            </w:tcBorders>
            <w:shd w:val="clear" w:color="auto" w:fill="auto"/>
          </w:tcPr>
          <w:p w:rsidR="005167ED" w:rsidRPr="00CB554F" w:rsidRDefault="00172639" w:rsidP="005167ED">
            <w:pPr>
              <w:pStyle w:val="Body"/>
              <w:tabs>
                <w:tab w:val="decimal" w:pos="660"/>
              </w:tabs>
              <w:spacing w:before="60"/>
              <w:jc w:val="center"/>
              <w:rPr>
                <w:color w:val="0000FF"/>
              </w:rPr>
            </w:pPr>
            <w:r>
              <w:rPr>
                <w:color w:val="0000FF"/>
              </w:rPr>
              <w:t>70</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B37353">
            <w:pPr>
              <w:pStyle w:val="Body"/>
              <w:spacing w:before="60"/>
              <w:rPr>
                <w:b/>
                <w:color w:val="0000FF"/>
              </w:rPr>
            </w:pPr>
            <w:r w:rsidRPr="00CB554F">
              <w:rPr>
                <w:b/>
                <w:color w:val="0000FF"/>
              </w:rPr>
              <w:t>A</w:t>
            </w:r>
          </w:p>
        </w:tc>
        <w:tc>
          <w:tcPr>
            <w:tcW w:w="3119"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62</w:t>
            </w:r>
          </w:p>
        </w:tc>
        <w:tc>
          <w:tcPr>
            <w:tcW w:w="2835"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22</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B37353">
            <w:pPr>
              <w:pStyle w:val="Body"/>
              <w:spacing w:before="60"/>
              <w:rPr>
                <w:b/>
                <w:color w:val="0000FF"/>
              </w:rPr>
            </w:pPr>
            <w:r w:rsidRPr="00CB554F">
              <w:rPr>
                <w:b/>
                <w:color w:val="0000FF"/>
              </w:rPr>
              <w:t>B</w:t>
            </w:r>
          </w:p>
        </w:tc>
        <w:tc>
          <w:tcPr>
            <w:tcW w:w="3119"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30</w:t>
            </w:r>
          </w:p>
        </w:tc>
        <w:tc>
          <w:tcPr>
            <w:tcW w:w="2835"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8</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B37353">
            <w:pPr>
              <w:pStyle w:val="Body"/>
              <w:spacing w:before="60"/>
              <w:rPr>
                <w:b/>
                <w:color w:val="0000FF"/>
              </w:rPr>
            </w:pPr>
            <w:r w:rsidRPr="00CB554F">
              <w:rPr>
                <w:b/>
                <w:color w:val="0000FF"/>
              </w:rPr>
              <w:t>C</w:t>
            </w:r>
          </w:p>
        </w:tc>
        <w:tc>
          <w:tcPr>
            <w:tcW w:w="3119"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0</w:t>
            </w:r>
          </w:p>
        </w:tc>
        <w:tc>
          <w:tcPr>
            <w:tcW w:w="2835"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2</w:t>
            </w:r>
          </w:p>
        </w:tc>
      </w:tr>
      <w:tr w:rsidR="005167ED" w:rsidRPr="00CB554F" w:rsidTr="005167ED">
        <w:tblPrEx>
          <w:tblLook w:val="00A0" w:firstRow="1" w:lastRow="0" w:firstColumn="1" w:lastColumn="0" w:noHBand="0" w:noVBand="0"/>
        </w:tblPrEx>
        <w:tc>
          <w:tcPr>
            <w:tcW w:w="1276" w:type="dxa"/>
            <w:tcBorders>
              <w:bottom w:val="single" w:sz="6" w:space="0" w:color="auto"/>
            </w:tcBorders>
            <w:shd w:val="clear" w:color="auto" w:fill="auto"/>
          </w:tcPr>
          <w:p w:rsidR="005167ED" w:rsidRPr="00CB554F" w:rsidRDefault="005167ED" w:rsidP="00B37353">
            <w:pPr>
              <w:pStyle w:val="Body"/>
              <w:spacing w:before="60"/>
              <w:rPr>
                <w:b/>
                <w:color w:val="0000FF"/>
              </w:rPr>
            </w:pPr>
            <w:r w:rsidRPr="00CB554F">
              <w:rPr>
                <w:b/>
                <w:color w:val="0000FF"/>
              </w:rPr>
              <w:t>Total</w:t>
            </w:r>
          </w:p>
        </w:tc>
        <w:tc>
          <w:tcPr>
            <w:tcW w:w="3119" w:type="dxa"/>
            <w:tcBorders>
              <w:bottom w:val="single" w:sz="6" w:space="0" w:color="auto"/>
            </w:tcBorders>
            <w:shd w:val="clear" w:color="auto" w:fill="auto"/>
          </w:tcPr>
          <w:p w:rsidR="005167ED" w:rsidRPr="00CB554F" w:rsidRDefault="00172639" w:rsidP="005167ED">
            <w:pPr>
              <w:pStyle w:val="Body"/>
              <w:tabs>
                <w:tab w:val="decimal" w:pos="660"/>
              </w:tabs>
              <w:spacing w:before="60"/>
              <w:jc w:val="center"/>
              <w:rPr>
                <w:b/>
                <w:color w:val="0000FF"/>
              </w:rPr>
            </w:pPr>
            <w:r>
              <w:rPr>
                <w:b/>
                <w:color w:val="0000FF"/>
              </w:rPr>
              <w:t>162</w:t>
            </w:r>
          </w:p>
        </w:tc>
        <w:tc>
          <w:tcPr>
            <w:tcW w:w="2835" w:type="dxa"/>
            <w:tcBorders>
              <w:bottom w:val="single" w:sz="6" w:space="0" w:color="auto"/>
            </w:tcBorders>
            <w:shd w:val="clear" w:color="auto" w:fill="auto"/>
          </w:tcPr>
          <w:p w:rsidR="005167ED" w:rsidRPr="00B72921" w:rsidRDefault="00172639" w:rsidP="005167ED">
            <w:pPr>
              <w:pStyle w:val="Body"/>
              <w:tabs>
                <w:tab w:val="decimal" w:pos="660"/>
              </w:tabs>
              <w:spacing w:before="60"/>
              <w:jc w:val="center"/>
              <w:rPr>
                <w:b/>
                <w:color w:val="0000FF"/>
              </w:rPr>
            </w:pPr>
            <w:r>
              <w:rPr>
                <w:b/>
                <w:color w:val="0000FF"/>
              </w:rPr>
              <w:t>102</w:t>
            </w:r>
          </w:p>
        </w:tc>
      </w:tr>
      <w:tr w:rsidR="00B37353" w:rsidTr="007327BF">
        <w:tblPrEx>
          <w:tblLook w:val="00A0" w:firstRow="1" w:lastRow="0" w:firstColumn="1" w:lastColumn="0" w:noHBand="0" w:noVBand="0"/>
        </w:tblPrEx>
        <w:tc>
          <w:tcPr>
            <w:tcW w:w="7230" w:type="dxa"/>
            <w:gridSpan w:val="3"/>
            <w:tcBorders>
              <w:top w:val="single" w:sz="6" w:space="0" w:color="auto"/>
              <w:bottom w:val="nil"/>
            </w:tcBorders>
            <w:shd w:val="clear" w:color="auto" w:fill="99CCFF"/>
          </w:tcPr>
          <w:p w:rsidR="00B37353" w:rsidRDefault="00B37353" w:rsidP="002F0009">
            <w:pPr>
              <w:pStyle w:val="Tabletexthead"/>
              <w:jc w:val="center"/>
            </w:pPr>
            <w:r>
              <w:t>Autumn 201</w:t>
            </w:r>
            <w:r w:rsidR="00172639">
              <w:t>7</w:t>
            </w:r>
            <w:r>
              <w:t xml:space="preserve"> (February—March 201</w:t>
            </w:r>
            <w:r w:rsidR="00172639">
              <w:t>7</w:t>
            </w:r>
            <w:r>
              <w:t>)</w:t>
            </w:r>
          </w:p>
        </w:tc>
      </w:tr>
      <w:tr w:rsidR="005167ED" w:rsidRPr="00CB554F" w:rsidTr="005167ED">
        <w:tblPrEx>
          <w:tblLook w:val="00A0" w:firstRow="1" w:lastRow="0" w:firstColumn="1" w:lastColumn="0" w:noHBand="0" w:noVBand="0"/>
        </w:tblPrEx>
        <w:tc>
          <w:tcPr>
            <w:tcW w:w="1276" w:type="dxa"/>
            <w:tcBorders>
              <w:top w:val="nil"/>
            </w:tcBorders>
            <w:shd w:val="clear" w:color="auto" w:fill="auto"/>
          </w:tcPr>
          <w:p w:rsidR="005167ED" w:rsidRPr="00CB554F" w:rsidRDefault="005167ED" w:rsidP="005167ED">
            <w:pPr>
              <w:pStyle w:val="Body"/>
              <w:spacing w:before="60"/>
              <w:rPr>
                <w:b/>
                <w:color w:val="0000FF"/>
              </w:rPr>
            </w:pPr>
            <w:r w:rsidRPr="00CB554F">
              <w:rPr>
                <w:b/>
                <w:color w:val="0000FF"/>
              </w:rPr>
              <w:t>T</w:t>
            </w:r>
          </w:p>
        </w:tc>
        <w:tc>
          <w:tcPr>
            <w:tcW w:w="3119" w:type="dxa"/>
            <w:tcBorders>
              <w:top w:val="nil"/>
            </w:tcBorders>
            <w:shd w:val="clear" w:color="auto" w:fill="auto"/>
          </w:tcPr>
          <w:p w:rsidR="005167ED" w:rsidRPr="00CB554F" w:rsidRDefault="00172639" w:rsidP="005167ED">
            <w:pPr>
              <w:pStyle w:val="Body"/>
              <w:tabs>
                <w:tab w:val="decimal" w:pos="660"/>
              </w:tabs>
              <w:spacing w:before="60"/>
              <w:jc w:val="center"/>
              <w:rPr>
                <w:color w:val="0000FF"/>
              </w:rPr>
            </w:pPr>
            <w:r>
              <w:rPr>
                <w:color w:val="0000FF"/>
              </w:rPr>
              <w:t>31</w:t>
            </w:r>
          </w:p>
        </w:tc>
        <w:tc>
          <w:tcPr>
            <w:tcW w:w="2835" w:type="dxa"/>
            <w:tcBorders>
              <w:top w:val="nil"/>
            </w:tcBorders>
            <w:shd w:val="clear" w:color="auto" w:fill="auto"/>
          </w:tcPr>
          <w:p w:rsidR="005167ED" w:rsidRPr="00CB554F" w:rsidRDefault="00172639" w:rsidP="005167ED">
            <w:pPr>
              <w:pStyle w:val="Body"/>
              <w:tabs>
                <w:tab w:val="decimal" w:pos="660"/>
              </w:tabs>
              <w:spacing w:before="60"/>
              <w:jc w:val="center"/>
              <w:rPr>
                <w:color w:val="0000FF"/>
              </w:rPr>
            </w:pPr>
            <w:r>
              <w:rPr>
                <w:color w:val="0000FF"/>
              </w:rPr>
              <w:t>27</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A</w:t>
            </w:r>
          </w:p>
        </w:tc>
        <w:tc>
          <w:tcPr>
            <w:tcW w:w="3119"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62</w:t>
            </w:r>
          </w:p>
        </w:tc>
        <w:tc>
          <w:tcPr>
            <w:tcW w:w="2835"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26</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B</w:t>
            </w:r>
          </w:p>
        </w:tc>
        <w:tc>
          <w:tcPr>
            <w:tcW w:w="3119"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36</w:t>
            </w:r>
          </w:p>
        </w:tc>
        <w:tc>
          <w:tcPr>
            <w:tcW w:w="2835"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2</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C</w:t>
            </w:r>
          </w:p>
        </w:tc>
        <w:tc>
          <w:tcPr>
            <w:tcW w:w="3119"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6</w:t>
            </w:r>
          </w:p>
        </w:tc>
        <w:tc>
          <w:tcPr>
            <w:tcW w:w="2835"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0</w:t>
            </w:r>
          </w:p>
        </w:tc>
      </w:tr>
      <w:tr w:rsidR="005167ED" w:rsidRPr="00CB554F" w:rsidTr="005167ED">
        <w:tblPrEx>
          <w:tblLook w:val="00A0" w:firstRow="1" w:lastRow="0" w:firstColumn="1" w:lastColumn="0" w:noHBand="0" w:noVBand="0"/>
        </w:tblPrEx>
        <w:tc>
          <w:tcPr>
            <w:tcW w:w="1276" w:type="dxa"/>
            <w:tcBorders>
              <w:bottom w:val="single" w:sz="6" w:space="0" w:color="auto"/>
            </w:tcBorders>
            <w:shd w:val="clear" w:color="auto" w:fill="auto"/>
          </w:tcPr>
          <w:p w:rsidR="005167ED" w:rsidRPr="00CB554F" w:rsidRDefault="005167ED" w:rsidP="005167ED">
            <w:pPr>
              <w:pStyle w:val="Body"/>
              <w:spacing w:before="60"/>
              <w:rPr>
                <w:b/>
                <w:color w:val="0000FF"/>
              </w:rPr>
            </w:pPr>
            <w:r w:rsidRPr="00CB554F">
              <w:rPr>
                <w:b/>
                <w:color w:val="0000FF"/>
              </w:rPr>
              <w:t>Total</w:t>
            </w:r>
          </w:p>
        </w:tc>
        <w:tc>
          <w:tcPr>
            <w:tcW w:w="3119" w:type="dxa"/>
            <w:tcBorders>
              <w:bottom w:val="single" w:sz="6" w:space="0" w:color="auto"/>
            </w:tcBorders>
            <w:shd w:val="clear" w:color="auto" w:fill="auto"/>
          </w:tcPr>
          <w:p w:rsidR="005167ED" w:rsidRPr="00CB554F" w:rsidRDefault="00172639" w:rsidP="005167ED">
            <w:pPr>
              <w:pStyle w:val="Body"/>
              <w:tabs>
                <w:tab w:val="decimal" w:pos="660"/>
              </w:tabs>
              <w:spacing w:before="60"/>
              <w:jc w:val="center"/>
              <w:rPr>
                <w:b/>
                <w:color w:val="0000FF"/>
              </w:rPr>
            </w:pPr>
            <w:r>
              <w:rPr>
                <w:b/>
                <w:color w:val="0000FF"/>
              </w:rPr>
              <w:t>135</w:t>
            </w:r>
          </w:p>
        </w:tc>
        <w:tc>
          <w:tcPr>
            <w:tcW w:w="2835" w:type="dxa"/>
            <w:tcBorders>
              <w:bottom w:val="single" w:sz="6" w:space="0" w:color="auto"/>
            </w:tcBorders>
            <w:shd w:val="clear" w:color="auto" w:fill="auto"/>
          </w:tcPr>
          <w:p w:rsidR="005167ED" w:rsidRPr="00B72921" w:rsidRDefault="00172639" w:rsidP="005167ED">
            <w:pPr>
              <w:pStyle w:val="Body"/>
              <w:tabs>
                <w:tab w:val="decimal" w:pos="660"/>
              </w:tabs>
              <w:spacing w:before="60"/>
              <w:jc w:val="center"/>
              <w:rPr>
                <w:b/>
                <w:color w:val="0000FF"/>
              </w:rPr>
            </w:pPr>
            <w:r>
              <w:rPr>
                <w:b/>
                <w:color w:val="0000FF"/>
              </w:rPr>
              <w:t>55</w:t>
            </w:r>
          </w:p>
        </w:tc>
      </w:tr>
      <w:tr w:rsidR="00B37353" w:rsidTr="007327BF">
        <w:tblPrEx>
          <w:tblLook w:val="00A0" w:firstRow="1" w:lastRow="0" w:firstColumn="1" w:lastColumn="0" w:noHBand="0" w:noVBand="0"/>
        </w:tblPrEx>
        <w:tc>
          <w:tcPr>
            <w:tcW w:w="7230" w:type="dxa"/>
            <w:gridSpan w:val="3"/>
            <w:tcBorders>
              <w:top w:val="single" w:sz="6" w:space="0" w:color="auto"/>
              <w:bottom w:val="nil"/>
            </w:tcBorders>
            <w:shd w:val="clear" w:color="auto" w:fill="99CCFF"/>
          </w:tcPr>
          <w:p w:rsidR="00B37353" w:rsidRDefault="00861A7C" w:rsidP="002F0009">
            <w:pPr>
              <w:pStyle w:val="Tabletexthead"/>
              <w:jc w:val="center"/>
            </w:pPr>
            <w:r>
              <w:t>Winter 201</w:t>
            </w:r>
            <w:r w:rsidR="00172639">
              <w:t>7</w:t>
            </w:r>
            <w:r w:rsidR="00B37353">
              <w:t xml:space="preserve"> (May 201</w:t>
            </w:r>
            <w:r w:rsidR="00172639">
              <w:t>7</w:t>
            </w:r>
            <w:r w:rsidR="00B37353">
              <w:t>)</w:t>
            </w:r>
          </w:p>
        </w:tc>
      </w:tr>
      <w:tr w:rsidR="005167ED" w:rsidRPr="00CB554F" w:rsidTr="005167ED">
        <w:tblPrEx>
          <w:tblLook w:val="00A0" w:firstRow="1" w:lastRow="0" w:firstColumn="1" w:lastColumn="0" w:noHBand="0" w:noVBand="0"/>
        </w:tblPrEx>
        <w:tc>
          <w:tcPr>
            <w:tcW w:w="1276" w:type="dxa"/>
            <w:tcBorders>
              <w:top w:val="nil"/>
            </w:tcBorders>
            <w:shd w:val="clear" w:color="auto" w:fill="auto"/>
          </w:tcPr>
          <w:p w:rsidR="005167ED" w:rsidRPr="00CB554F" w:rsidRDefault="005167ED" w:rsidP="005167ED">
            <w:pPr>
              <w:pStyle w:val="Body"/>
              <w:spacing w:before="60"/>
              <w:rPr>
                <w:b/>
                <w:color w:val="0000FF"/>
              </w:rPr>
            </w:pPr>
            <w:r w:rsidRPr="00CB554F">
              <w:rPr>
                <w:b/>
                <w:color w:val="0000FF"/>
              </w:rPr>
              <w:t>T</w:t>
            </w:r>
          </w:p>
        </w:tc>
        <w:tc>
          <w:tcPr>
            <w:tcW w:w="3119" w:type="dxa"/>
            <w:tcBorders>
              <w:top w:val="nil"/>
            </w:tcBorders>
            <w:shd w:val="clear" w:color="auto" w:fill="auto"/>
          </w:tcPr>
          <w:p w:rsidR="005167ED" w:rsidRPr="00CB554F" w:rsidRDefault="00172639" w:rsidP="005167ED">
            <w:pPr>
              <w:pStyle w:val="Body"/>
              <w:tabs>
                <w:tab w:val="decimal" w:pos="660"/>
              </w:tabs>
              <w:spacing w:before="60"/>
              <w:jc w:val="center"/>
              <w:rPr>
                <w:color w:val="0000FF"/>
              </w:rPr>
            </w:pPr>
            <w:r>
              <w:rPr>
                <w:color w:val="0000FF"/>
              </w:rPr>
              <w:t>26</w:t>
            </w:r>
          </w:p>
        </w:tc>
        <w:tc>
          <w:tcPr>
            <w:tcW w:w="2835" w:type="dxa"/>
            <w:tcBorders>
              <w:top w:val="nil"/>
            </w:tcBorders>
            <w:shd w:val="clear" w:color="auto" w:fill="auto"/>
          </w:tcPr>
          <w:p w:rsidR="005167ED" w:rsidRPr="00CB554F" w:rsidRDefault="00172639" w:rsidP="005167ED">
            <w:pPr>
              <w:pStyle w:val="Body"/>
              <w:tabs>
                <w:tab w:val="decimal" w:pos="660"/>
              </w:tabs>
              <w:spacing w:before="60"/>
              <w:jc w:val="center"/>
              <w:rPr>
                <w:color w:val="0000FF"/>
              </w:rPr>
            </w:pPr>
            <w:r>
              <w:rPr>
                <w:color w:val="0000FF"/>
              </w:rPr>
              <w:t>42</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A</w:t>
            </w:r>
          </w:p>
        </w:tc>
        <w:tc>
          <w:tcPr>
            <w:tcW w:w="3119"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68</w:t>
            </w:r>
          </w:p>
        </w:tc>
        <w:tc>
          <w:tcPr>
            <w:tcW w:w="2835"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15</w:t>
            </w:r>
          </w:p>
        </w:tc>
      </w:tr>
      <w:tr w:rsidR="005167ED" w:rsidRPr="00CB554F" w:rsidTr="005167ED">
        <w:tblPrEx>
          <w:tblLook w:val="00A0" w:firstRow="1" w:lastRow="0" w:firstColumn="1" w:lastColumn="0" w:noHBand="0" w:noVBand="0"/>
        </w:tblPrEx>
        <w:tc>
          <w:tcPr>
            <w:tcW w:w="1276" w:type="dxa"/>
            <w:shd w:val="clear" w:color="auto" w:fill="auto"/>
          </w:tcPr>
          <w:p w:rsidR="005167ED" w:rsidRPr="00CB554F" w:rsidRDefault="005167ED" w:rsidP="005167ED">
            <w:pPr>
              <w:pStyle w:val="Body"/>
              <w:spacing w:before="60"/>
              <w:rPr>
                <w:b/>
                <w:color w:val="0000FF"/>
              </w:rPr>
            </w:pPr>
            <w:r w:rsidRPr="00CB554F">
              <w:rPr>
                <w:b/>
                <w:color w:val="0000FF"/>
              </w:rPr>
              <w:t>B</w:t>
            </w:r>
          </w:p>
        </w:tc>
        <w:tc>
          <w:tcPr>
            <w:tcW w:w="3119"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31</w:t>
            </w:r>
          </w:p>
        </w:tc>
        <w:tc>
          <w:tcPr>
            <w:tcW w:w="2835" w:type="dxa"/>
            <w:shd w:val="clear" w:color="auto" w:fill="auto"/>
          </w:tcPr>
          <w:p w:rsidR="005167ED" w:rsidRPr="00CB554F" w:rsidRDefault="00172639" w:rsidP="005167ED">
            <w:pPr>
              <w:pStyle w:val="Body"/>
              <w:tabs>
                <w:tab w:val="decimal" w:pos="660"/>
              </w:tabs>
              <w:spacing w:before="60"/>
              <w:jc w:val="center"/>
              <w:rPr>
                <w:color w:val="0000FF"/>
              </w:rPr>
            </w:pPr>
            <w:r>
              <w:rPr>
                <w:color w:val="0000FF"/>
              </w:rPr>
              <w:t>1</w:t>
            </w:r>
          </w:p>
        </w:tc>
      </w:tr>
      <w:tr w:rsidR="005167ED" w:rsidRPr="00CB554F" w:rsidTr="007B6CA4">
        <w:tblPrEx>
          <w:tblLook w:val="00A0" w:firstRow="1" w:lastRow="0" w:firstColumn="1" w:lastColumn="0" w:noHBand="0" w:noVBand="0"/>
        </w:tblPrEx>
        <w:tc>
          <w:tcPr>
            <w:tcW w:w="1276" w:type="dxa"/>
            <w:tcBorders>
              <w:bottom w:val="nil"/>
            </w:tcBorders>
            <w:shd w:val="clear" w:color="auto" w:fill="auto"/>
          </w:tcPr>
          <w:p w:rsidR="005167ED" w:rsidRPr="00CB554F" w:rsidRDefault="005167ED" w:rsidP="005167ED">
            <w:pPr>
              <w:pStyle w:val="Body"/>
              <w:spacing w:before="60"/>
              <w:rPr>
                <w:b/>
                <w:color w:val="0000FF"/>
              </w:rPr>
            </w:pPr>
            <w:r w:rsidRPr="00CB554F">
              <w:rPr>
                <w:b/>
                <w:color w:val="0000FF"/>
              </w:rPr>
              <w:t>C</w:t>
            </w:r>
          </w:p>
        </w:tc>
        <w:tc>
          <w:tcPr>
            <w:tcW w:w="3119" w:type="dxa"/>
            <w:tcBorders>
              <w:bottom w:val="nil"/>
            </w:tcBorders>
            <w:shd w:val="clear" w:color="auto" w:fill="auto"/>
          </w:tcPr>
          <w:p w:rsidR="005167ED" w:rsidRPr="00CB554F" w:rsidRDefault="00172639" w:rsidP="005167ED">
            <w:pPr>
              <w:pStyle w:val="Body"/>
              <w:tabs>
                <w:tab w:val="decimal" w:pos="660"/>
              </w:tabs>
              <w:spacing w:before="60"/>
              <w:jc w:val="center"/>
              <w:rPr>
                <w:color w:val="0000FF"/>
              </w:rPr>
            </w:pPr>
            <w:r>
              <w:rPr>
                <w:color w:val="0000FF"/>
              </w:rPr>
              <w:t>2</w:t>
            </w:r>
          </w:p>
        </w:tc>
        <w:tc>
          <w:tcPr>
            <w:tcW w:w="2835" w:type="dxa"/>
            <w:tcBorders>
              <w:bottom w:val="nil"/>
            </w:tcBorders>
            <w:shd w:val="clear" w:color="auto" w:fill="auto"/>
          </w:tcPr>
          <w:p w:rsidR="005167ED" w:rsidRPr="00CB554F" w:rsidRDefault="00172639" w:rsidP="005167ED">
            <w:pPr>
              <w:pStyle w:val="Body"/>
              <w:tabs>
                <w:tab w:val="decimal" w:pos="660"/>
              </w:tabs>
              <w:spacing w:before="60"/>
              <w:jc w:val="center"/>
              <w:rPr>
                <w:color w:val="0000FF"/>
              </w:rPr>
            </w:pPr>
            <w:r>
              <w:rPr>
                <w:color w:val="0000FF"/>
              </w:rPr>
              <w:t>1</w:t>
            </w:r>
          </w:p>
        </w:tc>
      </w:tr>
      <w:tr w:rsidR="005167ED" w:rsidRPr="00CB554F" w:rsidTr="007B6CA4">
        <w:tblPrEx>
          <w:tblLook w:val="00A0" w:firstRow="1" w:lastRow="0" w:firstColumn="1" w:lastColumn="0" w:noHBand="0" w:noVBand="0"/>
        </w:tblPrEx>
        <w:tc>
          <w:tcPr>
            <w:tcW w:w="1276" w:type="dxa"/>
            <w:tcBorders>
              <w:top w:val="nil"/>
              <w:bottom w:val="single" w:sz="12" w:space="0" w:color="auto"/>
            </w:tcBorders>
            <w:shd w:val="clear" w:color="auto" w:fill="auto"/>
          </w:tcPr>
          <w:p w:rsidR="005167ED" w:rsidRPr="00CB554F" w:rsidRDefault="005167ED" w:rsidP="005167ED">
            <w:pPr>
              <w:pStyle w:val="Body"/>
              <w:spacing w:before="60"/>
              <w:rPr>
                <w:b/>
                <w:color w:val="0000FF"/>
              </w:rPr>
            </w:pPr>
            <w:r w:rsidRPr="00CB554F">
              <w:rPr>
                <w:b/>
                <w:color w:val="0000FF"/>
              </w:rPr>
              <w:t>Total</w:t>
            </w:r>
          </w:p>
        </w:tc>
        <w:tc>
          <w:tcPr>
            <w:tcW w:w="3119" w:type="dxa"/>
            <w:tcBorders>
              <w:top w:val="nil"/>
              <w:bottom w:val="single" w:sz="12" w:space="0" w:color="auto"/>
            </w:tcBorders>
            <w:shd w:val="clear" w:color="auto" w:fill="auto"/>
          </w:tcPr>
          <w:p w:rsidR="005167ED" w:rsidRPr="00CB554F" w:rsidRDefault="00172639" w:rsidP="005167ED">
            <w:pPr>
              <w:pStyle w:val="Body"/>
              <w:tabs>
                <w:tab w:val="decimal" w:pos="660"/>
              </w:tabs>
              <w:spacing w:before="60"/>
              <w:jc w:val="center"/>
              <w:rPr>
                <w:b/>
                <w:color w:val="0000FF"/>
              </w:rPr>
            </w:pPr>
            <w:r>
              <w:rPr>
                <w:b/>
                <w:color w:val="0000FF"/>
              </w:rPr>
              <w:t>127</w:t>
            </w:r>
          </w:p>
        </w:tc>
        <w:tc>
          <w:tcPr>
            <w:tcW w:w="2835" w:type="dxa"/>
            <w:tcBorders>
              <w:top w:val="nil"/>
              <w:bottom w:val="single" w:sz="12" w:space="0" w:color="auto"/>
            </w:tcBorders>
            <w:shd w:val="clear" w:color="auto" w:fill="auto"/>
          </w:tcPr>
          <w:p w:rsidR="005167ED" w:rsidRPr="00B72921" w:rsidRDefault="00172639" w:rsidP="005167ED">
            <w:pPr>
              <w:pStyle w:val="Body"/>
              <w:tabs>
                <w:tab w:val="decimal" w:pos="660"/>
              </w:tabs>
              <w:spacing w:before="60"/>
              <w:jc w:val="center"/>
              <w:rPr>
                <w:b/>
                <w:color w:val="0000FF"/>
              </w:rPr>
            </w:pPr>
            <w:r>
              <w:rPr>
                <w:b/>
                <w:color w:val="0000FF"/>
              </w:rPr>
              <w:t>59</w:t>
            </w:r>
          </w:p>
        </w:tc>
      </w:tr>
    </w:tbl>
    <w:p w:rsidR="00B37353" w:rsidRDefault="00B37353" w:rsidP="00B37353">
      <w:pPr>
        <w:pStyle w:val="PageBreak"/>
        <w:sectPr w:rsidR="00B37353">
          <w:headerReference w:type="even" r:id="rId44"/>
          <w:type w:val="continuous"/>
          <w:pgSz w:w="11907" w:h="16839" w:code="9"/>
          <w:pgMar w:top="1134" w:right="2410" w:bottom="4253" w:left="2410" w:header="510" w:footer="3402" w:gutter="0"/>
          <w:cols w:space="709"/>
          <w:docGrid w:linePitch="326"/>
        </w:sectPr>
      </w:pPr>
      <w:bookmarkStart w:id="43" w:name="_Ref79899961"/>
      <w:bookmarkStart w:id="44" w:name="_Ref81116972"/>
    </w:p>
    <w:bookmarkEnd w:id="43"/>
    <w:bookmarkEnd w:id="44"/>
    <w:p w:rsidR="00BE3CFD" w:rsidRPr="005A7848" w:rsidRDefault="00BE3CFD" w:rsidP="00BE3CFD">
      <w:pPr>
        <w:pStyle w:val="Head5"/>
      </w:pPr>
      <w:r w:rsidRPr="005A7848">
        <w:lastRenderedPageBreak/>
        <w:t>Client feedback</w:t>
      </w:r>
    </w:p>
    <w:p w:rsidR="00C97DDD" w:rsidRDefault="00C97DDD" w:rsidP="00C97DDD">
      <w:pPr>
        <w:pStyle w:val="BodyNum"/>
      </w:pPr>
      <w:r>
        <w:t>OPC surveys its direct clients (agency instructors) about all Bills drafted. Among other things, clients are asked whether the Bills as introduced reflect their policy intentions. Survey responses for 201</w:t>
      </w:r>
      <w:r w:rsidR="001C3402">
        <w:t>6</w:t>
      </w:r>
      <w:r>
        <w:t>-201</w:t>
      </w:r>
      <w:r w:rsidR="001C3402">
        <w:t>7</w:t>
      </w:r>
      <w:r>
        <w:t xml:space="preserve"> indicated that all Bills reflected their sponsors’ policy </w:t>
      </w:r>
      <w:r>
        <w:lastRenderedPageBreak/>
        <w:t>intentions. However, since Bills are not introduced without clearance from those sponsors, it would be surprising if sponsors did not believe that Bills reflected the sponsors’ policy intentions when they were introduced.</w:t>
      </w:r>
    </w:p>
    <w:p w:rsidR="00C97DDD" w:rsidRDefault="00C97DDD" w:rsidP="00C97DDD">
      <w:pPr>
        <w:pStyle w:val="BodyNum"/>
      </w:pPr>
      <w:r>
        <w:t xml:space="preserve">The target in the Portfolio Budget Statements for the average response to “overall satisfaction” </w:t>
      </w:r>
      <w:r>
        <w:lastRenderedPageBreak/>
        <w:t xml:space="preserve">was 4.0 out of 5 (where 5 is the highest rating). The result for this year </w:t>
      </w:r>
      <w:r w:rsidRPr="002E007C">
        <w:t xml:space="preserve">was </w:t>
      </w:r>
      <w:r w:rsidRPr="00A6047A">
        <w:t>4.9</w:t>
      </w:r>
      <w:r>
        <w:t xml:space="preserve"> out of 5.</w:t>
      </w:r>
    </w:p>
    <w:p w:rsidR="007375A2" w:rsidRDefault="00C97DDD" w:rsidP="00937B4A">
      <w:pPr>
        <w:pStyle w:val="BodyNum"/>
      </w:pPr>
      <w:bookmarkStart w:id="45" w:name="_Ref334530258"/>
      <w:r>
        <w:t xml:space="preserve">Comments included in responses to the client surveys reinforced this very high degree of satisfaction with </w:t>
      </w:r>
      <w:proofErr w:type="spellStart"/>
      <w:r w:rsidR="005743A1">
        <w:t>OPC’s</w:t>
      </w:r>
      <w:proofErr w:type="spellEnd"/>
      <w:r w:rsidR="005743A1">
        <w:t xml:space="preserve"> services</w:t>
      </w:r>
      <w:r>
        <w:t>. Comments in response to the question “</w:t>
      </w:r>
      <w:r w:rsidRPr="00664ADE">
        <w:rPr>
          <w:rFonts w:cs="Arial"/>
          <w:i/>
        </w:rPr>
        <w:t>What did you like most about this experience with the Office?</w:t>
      </w:r>
      <w:r w:rsidRPr="005743A1">
        <w:rPr>
          <w:rFonts w:cs="Arial"/>
        </w:rPr>
        <w:t xml:space="preserve">” </w:t>
      </w:r>
      <w:r>
        <w:t>included:</w:t>
      </w:r>
      <w:bookmarkEnd w:id="45"/>
    </w:p>
    <w:p w:rsidR="00E959B6" w:rsidRPr="00E959B6" w:rsidRDefault="009A21DE" w:rsidP="00E959B6">
      <w:pPr>
        <w:pStyle w:val="BodyNum"/>
        <w:numPr>
          <w:ilvl w:val="0"/>
          <w:numId w:val="0"/>
        </w:numPr>
        <w:rPr>
          <w:i/>
        </w:rPr>
      </w:pPr>
      <w:r>
        <w:rPr>
          <w:i/>
        </w:rPr>
        <w:t>“</w:t>
      </w:r>
      <w:r w:rsidR="00E959B6" w:rsidRPr="00E959B6">
        <w:rPr>
          <w:i/>
        </w:rPr>
        <w:t>[The drafter] was very helpful and explained her approaches clearly so instructors understand the implementation of specified policy</w:t>
      </w:r>
      <w:r w:rsidR="005065DC">
        <w:rPr>
          <w:i/>
        </w:rPr>
        <w:t xml:space="preserve"> in the provisions as drafted. </w:t>
      </w:r>
      <w:r w:rsidR="00E959B6" w:rsidRPr="00E959B6">
        <w:rPr>
          <w:i/>
        </w:rPr>
        <w:t xml:space="preserve">She provided very useful guidance in </w:t>
      </w:r>
      <w:proofErr w:type="spellStart"/>
      <w:r w:rsidR="00E959B6" w:rsidRPr="00E959B6">
        <w:rPr>
          <w:i/>
        </w:rPr>
        <w:t>analyzing</w:t>
      </w:r>
      <w:proofErr w:type="spellEnd"/>
      <w:r w:rsidR="00E959B6" w:rsidRPr="00E959B6">
        <w:rPr>
          <w:i/>
        </w:rPr>
        <w:t xml:space="preserve"> and addressing difficult concepts that needed to be implemen</w:t>
      </w:r>
      <w:r w:rsidR="005065DC">
        <w:rPr>
          <w:i/>
        </w:rPr>
        <w:t xml:space="preserve">ted in provisions in the Bill. </w:t>
      </w:r>
      <w:r w:rsidR="00E959B6" w:rsidRPr="00E959B6">
        <w:rPr>
          <w:i/>
        </w:rPr>
        <w:t>She also raised important legal issues for consideration by instructors and she made sure that instructors understand the implications/appli</w:t>
      </w:r>
      <w:r>
        <w:rPr>
          <w:i/>
        </w:rPr>
        <w:t>cation of provisions as drafted.”</w:t>
      </w:r>
      <w:r w:rsidR="00E959B6" w:rsidRPr="00E959B6">
        <w:rPr>
          <w:i/>
        </w:rPr>
        <w:t xml:space="preserve"> </w:t>
      </w:r>
    </w:p>
    <w:p w:rsidR="00E959B6" w:rsidRPr="00E959B6" w:rsidRDefault="009A21DE" w:rsidP="00E959B6">
      <w:pPr>
        <w:pStyle w:val="BodyNum"/>
        <w:numPr>
          <w:ilvl w:val="0"/>
          <w:numId w:val="0"/>
        </w:numPr>
        <w:rPr>
          <w:i/>
        </w:rPr>
      </w:pPr>
      <w:r>
        <w:rPr>
          <w:i/>
        </w:rPr>
        <w:t>“</w:t>
      </w:r>
      <w:r w:rsidR="00E959B6" w:rsidRPr="00E959B6">
        <w:rPr>
          <w:i/>
        </w:rPr>
        <w:t>The enthusiasm and commitment to service of the drafters.</w:t>
      </w:r>
      <w:r>
        <w:rPr>
          <w:i/>
        </w:rPr>
        <w:t>”</w:t>
      </w:r>
      <w:r w:rsidR="00E959B6" w:rsidRPr="00E959B6">
        <w:rPr>
          <w:i/>
        </w:rPr>
        <w:t xml:space="preserve"> </w:t>
      </w:r>
    </w:p>
    <w:p w:rsidR="00E959B6" w:rsidRPr="00E959B6" w:rsidRDefault="009A21DE" w:rsidP="00E959B6">
      <w:pPr>
        <w:pStyle w:val="BodyNum"/>
        <w:numPr>
          <w:ilvl w:val="0"/>
          <w:numId w:val="0"/>
        </w:numPr>
        <w:rPr>
          <w:i/>
        </w:rPr>
      </w:pPr>
      <w:r>
        <w:rPr>
          <w:i/>
        </w:rPr>
        <w:t>“</w:t>
      </w:r>
      <w:r w:rsidR="00E959B6" w:rsidRPr="00E959B6">
        <w:rPr>
          <w:i/>
        </w:rPr>
        <w:t>Improvements made to the legislation by asking questions outside the square</w:t>
      </w:r>
      <w:r>
        <w:rPr>
          <w:i/>
        </w:rPr>
        <w:t>.”</w:t>
      </w:r>
    </w:p>
    <w:p w:rsidR="00E959B6" w:rsidRPr="00E959B6" w:rsidRDefault="009A21DE" w:rsidP="00E959B6">
      <w:pPr>
        <w:pStyle w:val="BodyNum"/>
        <w:numPr>
          <w:ilvl w:val="0"/>
          <w:numId w:val="0"/>
        </w:numPr>
        <w:rPr>
          <w:i/>
        </w:rPr>
      </w:pPr>
      <w:r>
        <w:rPr>
          <w:i/>
        </w:rPr>
        <w:t>“</w:t>
      </w:r>
      <w:r w:rsidR="00E959B6" w:rsidRPr="00E959B6">
        <w:rPr>
          <w:i/>
        </w:rPr>
        <w:t xml:space="preserve">[The drafter] was very easy and pleasant to work with. It was a </w:t>
      </w:r>
      <w:r w:rsidR="00E959B6" w:rsidRPr="00E959B6">
        <w:rPr>
          <w:i/>
        </w:rPr>
        <w:lastRenderedPageBreak/>
        <w:t xml:space="preserve">challenging Bill for a number of reasons, and </w:t>
      </w:r>
      <w:r w:rsidR="00E959B6">
        <w:rPr>
          <w:i/>
        </w:rPr>
        <w:t>[the drafter’</w:t>
      </w:r>
      <w:r w:rsidR="00E959B6" w:rsidRPr="00E959B6">
        <w:rPr>
          <w:i/>
        </w:rPr>
        <w:t>s</w:t>
      </w:r>
      <w:r w:rsidR="00E959B6">
        <w:rPr>
          <w:i/>
        </w:rPr>
        <w:t>]</w:t>
      </w:r>
      <w:r w:rsidR="00E959B6" w:rsidRPr="00E959B6">
        <w:rPr>
          <w:i/>
        </w:rPr>
        <w:t xml:space="preserve"> patience, calm and experience was hugely reassuring and valuable at our end.</w:t>
      </w:r>
      <w:r>
        <w:rPr>
          <w:i/>
        </w:rPr>
        <w:t>”</w:t>
      </w:r>
    </w:p>
    <w:p w:rsidR="00E959B6" w:rsidRPr="00E959B6" w:rsidRDefault="009A21DE" w:rsidP="00E959B6">
      <w:pPr>
        <w:pStyle w:val="BodyNum"/>
        <w:numPr>
          <w:ilvl w:val="0"/>
          <w:numId w:val="0"/>
        </w:numPr>
        <w:rPr>
          <w:i/>
        </w:rPr>
      </w:pPr>
      <w:r>
        <w:rPr>
          <w:i/>
        </w:rPr>
        <w:t>“</w:t>
      </w:r>
      <w:r w:rsidR="00E959B6" w:rsidRPr="00E959B6">
        <w:rPr>
          <w:i/>
        </w:rPr>
        <w:t>[The drafters] were fabulous to deal with, always helpful and very creative and responsive.</w:t>
      </w:r>
      <w:r>
        <w:rPr>
          <w:i/>
        </w:rPr>
        <w:t>”</w:t>
      </w:r>
    </w:p>
    <w:p w:rsidR="00E959B6" w:rsidRPr="00E959B6" w:rsidRDefault="009A21DE" w:rsidP="00E959B6">
      <w:pPr>
        <w:pStyle w:val="BodyNum"/>
        <w:numPr>
          <w:ilvl w:val="0"/>
          <w:numId w:val="0"/>
        </w:numPr>
        <w:rPr>
          <w:i/>
        </w:rPr>
      </w:pPr>
      <w:r>
        <w:rPr>
          <w:i/>
        </w:rPr>
        <w:t>“</w:t>
      </w:r>
      <w:r w:rsidR="00E959B6" w:rsidRPr="00E959B6">
        <w:rPr>
          <w:i/>
        </w:rPr>
        <w:t>Clever creative people, exe</w:t>
      </w:r>
      <w:r>
        <w:rPr>
          <w:i/>
        </w:rPr>
        <w:t xml:space="preserve">mplary service, quality work, professional and approachable. </w:t>
      </w:r>
      <w:r w:rsidR="00E959B6" w:rsidRPr="00E959B6">
        <w:rPr>
          <w:i/>
        </w:rPr>
        <w:t>Our drafter often picked up the phone with questions for the day - efficient and constructive. The involvement of less experienced [departmen</w:t>
      </w:r>
      <w:r>
        <w:rPr>
          <w:i/>
        </w:rPr>
        <w:t>tal] officers was handled well.”</w:t>
      </w:r>
      <w:r w:rsidR="00E959B6" w:rsidRPr="00E959B6">
        <w:rPr>
          <w:i/>
        </w:rPr>
        <w:t xml:space="preserve"> </w:t>
      </w:r>
    </w:p>
    <w:p w:rsidR="00E959B6" w:rsidRPr="00E959B6" w:rsidRDefault="009A21DE" w:rsidP="00E959B6">
      <w:pPr>
        <w:pStyle w:val="BodyNum"/>
        <w:numPr>
          <w:ilvl w:val="0"/>
          <w:numId w:val="0"/>
        </w:numPr>
        <w:rPr>
          <w:i/>
        </w:rPr>
      </w:pPr>
      <w:r>
        <w:rPr>
          <w:i/>
        </w:rPr>
        <w:t>“</w:t>
      </w:r>
      <w:r w:rsidR="00E959B6" w:rsidRPr="00E959B6">
        <w:rPr>
          <w:i/>
        </w:rPr>
        <w:t>Our OPC drafters are simply experts in what they do - it's a rare pleasure to deal with people with such intelligence and skill in the APS</w:t>
      </w:r>
      <w:r w:rsidR="00E959B6">
        <w:rPr>
          <w:i/>
        </w:rPr>
        <w:t>.</w:t>
      </w:r>
      <w:r>
        <w:rPr>
          <w:i/>
        </w:rPr>
        <w:t>”</w:t>
      </w:r>
    </w:p>
    <w:p w:rsidR="00E959B6" w:rsidRPr="00E959B6" w:rsidRDefault="009A21DE" w:rsidP="00E959B6">
      <w:pPr>
        <w:pStyle w:val="BodyNum"/>
        <w:numPr>
          <w:ilvl w:val="0"/>
          <w:numId w:val="0"/>
        </w:numPr>
        <w:rPr>
          <w:i/>
        </w:rPr>
      </w:pPr>
      <w:r>
        <w:rPr>
          <w:i/>
        </w:rPr>
        <w:t>“</w:t>
      </w:r>
      <w:r w:rsidR="00E959B6" w:rsidRPr="00E959B6">
        <w:rPr>
          <w:i/>
        </w:rPr>
        <w:t>Exceptional work from [the drafter], as always! We really appreciated her expertise and guidance, both on technical and strategic issues. Also very grateful for her willingness to assist in answering questions</w:t>
      </w:r>
      <w:r>
        <w:rPr>
          <w:i/>
        </w:rPr>
        <w:t xml:space="preserve"> </w:t>
      </w:r>
      <w:r w:rsidR="00E959B6" w:rsidRPr="00E959B6">
        <w:rPr>
          <w:i/>
        </w:rPr>
        <w:t>(often at very short notice) which arose during debate on the Bill and in parliamentary committees.</w:t>
      </w:r>
      <w:r>
        <w:rPr>
          <w:i/>
        </w:rPr>
        <w:t>”</w:t>
      </w:r>
      <w:r w:rsidR="00E959B6" w:rsidRPr="00E959B6">
        <w:rPr>
          <w:i/>
        </w:rPr>
        <w:t xml:space="preserve"> </w:t>
      </w:r>
    </w:p>
    <w:p w:rsidR="00E959B6" w:rsidRDefault="009A21DE" w:rsidP="00E959B6">
      <w:pPr>
        <w:pStyle w:val="BodyNum"/>
        <w:numPr>
          <w:ilvl w:val="0"/>
          <w:numId w:val="0"/>
        </w:numPr>
        <w:rPr>
          <w:i/>
        </w:rPr>
      </w:pPr>
      <w:r>
        <w:rPr>
          <w:i/>
        </w:rPr>
        <w:t>“</w:t>
      </w:r>
      <w:r w:rsidR="00E959B6" w:rsidRPr="00E959B6">
        <w:rPr>
          <w:i/>
        </w:rPr>
        <w:t>Responsiveness, technical skills, flexibility.</w:t>
      </w:r>
      <w:r>
        <w:rPr>
          <w:i/>
        </w:rPr>
        <w:t>”</w:t>
      </w:r>
    </w:p>
    <w:p w:rsidR="00C97DDD" w:rsidRDefault="00C97DDD" w:rsidP="00BE3CFD">
      <w:pPr>
        <w:pStyle w:val="Head5"/>
      </w:pPr>
      <w:r>
        <w:rPr>
          <w:rStyle w:val="CharSubdText"/>
        </w:rPr>
        <w:lastRenderedPageBreak/>
        <w:t>Parliamentary amendments</w:t>
      </w:r>
    </w:p>
    <w:p w:rsidR="00C97DDD" w:rsidRDefault="00C97DDD" w:rsidP="00C97DDD">
      <w:pPr>
        <w:pStyle w:val="BodyNum"/>
      </w:pPr>
      <w:bookmarkStart w:id="46" w:name="_Ref79899578"/>
      <w:r>
        <w:t>OPC keeps records of the numbers of parliamentary amendments drafted and the proportion of those amendments required to correct drafting errors in the Bills concerned. The figures are set out in the following table.</w:t>
      </w:r>
      <w:bookmarkEnd w:id="46"/>
    </w:p>
    <w:p w:rsidR="00C97DDD" w:rsidRDefault="00C97DDD" w:rsidP="00C97DDD">
      <w:pPr>
        <w:pStyle w:val="BodyNum"/>
      </w:pPr>
      <w:bookmarkStart w:id="47" w:name="_Ref79899593"/>
      <w:r>
        <w:lastRenderedPageBreak/>
        <w:t>The table also shows figures for reporting years since 20</w:t>
      </w:r>
      <w:r w:rsidR="009A21DE">
        <w:t>11</w:t>
      </w:r>
      <w:r>
        <w:t>-20</w:t>
      </w:r>
      <w:r w:rsidR="009A21DE">
        <w:t>12</w:t>
      </w:r>
      <w:r>
        <w:t>, to enable trends to be identified. The table relates to the numbers of amendments drafted in OPC, not all of which were moved in the Parliament.</w:t>
      </w:r>
      <w:bookmarkEnd w:id="47"/>
    </w:p>
    <w:p w:rsidR="00B37353" w:rsidRDefault="00B37353" w:rsidP="00B37353">
      <w:pPr>
        <w:pStyle w:val="Tabletext"/>
        <w:sectPr w:rsidR="00B37353">
          <w:type w:val="continuous"/>
          <w:pgSz w:w="11907" w:h="16839" w:code="9"/>
          <w:pgMar w:top="1134" w:right="2410" w:bottom="4253" w:left="2410" w:header="510" w:footer="3402" w:gutter="0"/>
          <w:cols w:num="2" w:space="709"/>
          <w:docGrid w:linePitch="326"/>
        </w:sectPr>
      </w:pPr>
    </w:p>
    <w:p w:rsidR="008B746B" w:rsidRDefault="008B746B">
      <w:pPr>
        <w:rPr>
          <w:sz w:val="16"/>
          <w:szCs w:val="16"/>
        </w:rPr>
      </w:pPr>
    </w:p>
    <w:p w:rsidR="00C91508" w:rsidRDefault="00C91508" w:rsidP="00C91508">
      <w:pPr>
        <w:rPr>
          <w:sz w:val="16"/>
          <w:szCs w:val="16"/>
        </w:rPr>
      </w:pPr>
    </w:p>
    <w:tbl>
      <w:tblPr>
        <w:tblW w:w="7428" w:type="dxa"/>
        <w:tblBorders>
          <w:top w:val="single" w:sz="12" w:space="0" w:color="auto"/>
          <w:bottom w:val="single" w:sz="12" w:space="0" w:color="auto"/>
        </w:tblBorders>
        <w:tblLayout w:type="fixed"/>
        <w:tblLook w:val="01A0" w:firstRow="1" w:lastRow="0" w:firstColumn="1" w:lastColumn="1" w:noHBand="0" w:noVBand="0"/>
      </w:tblPr>
      <w:tblGrid>
        <w:gridCol w:w="730"/>
        <w:gridCol w:w="1418"/>
        <w:gridCol w:w="1440"/>
        <w:gridCol w:w="1440"/>
        <w:gridCol w:w="1560"/>
        <w:gridCol w:w="840"/>
      </w:tblGrid>
      <w:tr w:rsidR="00C91508" w:rsidTr="00E20FA1">
        <w:tc>
          <w:tcPr>
            <w:tcW w:w="7428" w:type="dxa"/>
            <w:gridSpan w:val="6"/>
            <w:tcBorders>
              <w:top w:val="single" w:sz="12" w:space="0" w:color="auto"/>
              <w:bottom w:val="single" w:sz="2" w:space="0" w:color="auto"/>
            </w:tcBorders>
            <w:shd w:val="clear" w:color="auto" w:fill="auto"/>
          </w:tcPr>
          <w:p w:rsidR="00C91508" w:rsidRDefault="00C91508" w:rsidP="00C95AED">
            <w:pPr>
              <w:pStyle w:val="Tabletexthead"/>
            </w:pPr>
            <w:r>
              <w:t>Parliamentary amendment statistics</w:t>
            </w:r>
          </w:p>
          <w:p w:rsidR="00C91508" w:rsidRDefault="00C91508" w:rsidP="00C95AED">
            <w:pPr>
              <w:pStyle w:val="Tabletexthead"/>
            </w:pPr>
            <w:r>
              <w:t>Number of amendments drafted (% of total)</w:t>
            </w:r>
          </w:p>
        </w:tc>
      </w:tr>
      <w:tr w:rsidR="00C91508" w:rsidTr="00E20FA1">
        <w:tc>
          <w:tcPr>
            <w:tcW w:w="730" w:type="dxa"/>
            <w:tcBorders>
              <w:top w:val="single" w:sz="2" w:space="0" w:color="auto"/>
              <w:bottom w:val="single" w:sz="2" w:space="0" w:color="auto"/>
            </w:tcBorders>
            <w:shd w:val="clear" w:color="auto" w:fill="auto"/>
          </w:tcPr>
          <w:p w:rsidR="00C91508" w:rsidRDefault="00C91508" w:rsidP="00C95AED">
            <w:pPr>
              <w:pStyle w:val="Tabletexthead"/>
            </w:pPr>
            <w:r>
              <w:t>Year</w:t>
            </w:r>
          </w:p>
        </w:tc>
        <w:tc>
          <w:tcPr>
            <w:tcW w:w="1418" w:type="dxa"/>
            <w:tcBorders>
              <w:top w:val="single" w:sz="2" w:space="0" w:color="auto"/>
              <w:bottom w:val="single" w:sz="2" w:space="0" w:color="auto"/>
            </w:tcBorders>
            <w:shd w:val="clear" w:color="auto" w:fill="auto"/>
          </w:tcPr>
          <w:p w:rsidR="00C91508" w:rsidRDefault="00C91508" w:rsidP="00C95AED">
            <w:pPr>
              <w:pStyle w:val="Tabletexthead"/>
            </w:pPr>
            <w:r>
              <w:t>Government policy change</w:t>
            </w:r>
          </w:p>
        </w:tc>
        <w:tc>
          <w:tcPr>
            <w:tcW w:w="1440" w:type="dxa"/>
            <w:tcBorders>
              <w:top w:val="single" w:sz="2" w:space="0" w:color="auto"/>
              <w:bottom w:val="single" w:sz="2" w:space="0" w:color="auto"/>
            </w:tcBorders>
            <w:shd w:val="clear" w:color="auto" w:fill="auto"/>
          </w:tcPr>
          <w:p w:rsidR="00C91508" w:rsidRDefault="00C91508" w:rsidP="00C95AED">
            <w:pPr>
              <w:pStyle w:val="Tabletexthead"/>
            </w:pPr>
            <w:r>
              <w:t>Government new policy</w:t>
            </w:r>
          </w:p>
        </w:tc>
        <w:tc>
          <w:tcPr>
            <w:tcW w:w="1440" w:type="dxa"/>
            <w:tcBorders>
              <w:top w:val="single" w:sz="2" w:space="0" w:color="auto"/>
              <w:bottom w:val="single" w:sz="2" w:space="0" w:color="auto"/>
            </w:tcBorders>
            <w:shd w:val="clear" w:color="auto" w:fill="auto"/>
          </w:tcPr>
          <w:p w:rsidR="00C91508" w:rsidRDefault="00C91508" w:rsidP="00C95AED">
            <w:pPr>
              <w:pStyle w:val="Tabletexthead"/>
            </w:pPr>
            <w:r>
              <w:t>Government correction of drafting errors</w:t>
            </w:r>
          </w:p>
        </w:tc>
        <w:tc>
          <w:tcPr>
            <w:tcW w:w="1560" w:type="dxa"/>
            <w:tcBorders>
              <w:top w:val="single" w:sz="2" w:space="0" w:color="auto"/>
              <w:bottom w:val="single" w:sz="2" w:space="0" w:color="auto"/>
            </w:tcBorders>
            <w:shd w:val="clear" w:color="auto" w:fill="auto"/>
          </w:tcPr>
          <w:p w:rsidR="00C91508" w:rsidRDefault="00C91508" w:rsidP="00C95AED">
            <w:pPr>
              <w:pStyle w:val="Tabletexthead"/>
            </w:pPr>
            <w:r>
              <w:t>Non-government amendments</w:t>
            </w:r>
          </w:p>
        </w:tc>
        <w:tc>
          <w:tcPr>
            <w:tcW w:w="840" w:type="dxa"/>
            <w:tcBorders>
              <w:top w:val="single" w:sz="2" w:space="0" w:color="auto"/>
              <w:bottom w:val="single" w:sz="2" w:space="0" w:color="auto"/>
            </w:tcBorders>
            <w:shd w:val="clear" w:color="auto" w:fill="auto"/>
          </w:tcPr>
          <w:p w:rsidR="00C91508" w:rsidRDefault="00C91508" w:rsidP="00C95AED">
            <w:pPr>
              <w:pStyle w:val="Tabletexthead"/>
            </w:pPr>
            <w:r>
              <w:t>Total</w:t>
            </w:r>
          </w:p>
        </w:tc>
      </w:tr>
      <w:tr w:rsidR="00C10173" w:rsidRPr="00CB554F" w:rsidTr="001C3402">
        <w:tc>
          <w:tcPr>
            <w:tcW w:w="730" w:type="dxa"/>
            <w:tcBorders>
              <w:top w:val="single" w:sz="2" w:space="0" w:color="auto"/>
            </w:tcBorders>
            <w:shd w:val="clear" w:color="auto" w:fill="auto"/>
          </w:tcPr>
          <w:p w:rsidR="00C10173" w:rsidRDefault="00C10173" w:rsidP="001C3402">
            <w:pPr>
              <w:pStyle w:val="Body"/>
              <w:spacing w:before="60"/>
              <w:rPr>
                <w:b/>
                <w:color w:val="0000FF"/>
                <w:szCs w:val="20"/>
              </w:rPr>
            </w:pPr>
            <w:r w:rsidRPr="006C28A6">
              <w:rPr>
                <w:b/>
                <w:color w:val="0000FF"/>
                <w:szCs w:val="20"/>
              </w:rPr>
              <w:t>201</w:t>
            </w:r>
            <w:r w:rsidR="001C3402">
              <w:rPr>
                <w:b/>
                <w:color w:val="0000FF"/>
                <w:szCs w:val="20"/>
              </w:rPr>
              <w:t>6</w:t>
            </w:r>
            <w:r w:rsidRPr="006C28A6">
              <w:rPr>
                <w:b/>
                <w:color w:val="0000FF"/>
                <w:szCs w:val="20"/>
              </w:rPr>
              <w:t>-201</w:t>
            </w:r>
            <w:r w:rsidR="001C3402">
              <w:rPr>
                <w:b/>
                <w:color w:val="0000FF"/>
                <w:szCs w:val="20"/>
              </w:rPr>
              <w:t>7</w:t>
            </w:r>
          </w:p>
        </w:tc>
        <w:tc>
          <w:tcPr>
            <w:tcW w:w="1418" w:type="dxa"/>
            <w:shd w:val="clear" w:color="auto" w:fill="auto"/>
          </w:tcPr>
          <w:p w:rsidR="00C10173" w:rsidRPr="00E959B6" w:rsidRDefault="00E959B6" w:rsidP="00E959B6">
            <w:pPr>
              <w:pStyle w:val="Body"/>
              <w:spacing w:before="60"/>
              <w:jc w:val="center"/>
              <w:rPr>
                <w:color w:val="0000FF"/>
                <w:szCs w:val="20"/>
              </w:rPr>
            </w:pPr>
            <w:r w:rsidRPr="00E959B6">
              <w:rPr>
                <w:color w:val="0000FF"/>
                <w:szCs w:val="20"/>
              </w:rPr>
              <w:t>480</w:t>
            </w:r>
            <w:r w:rsidR="006141AE" w:rsidRPr="00E959B6">
              <w:rPr>
                <w:color w:val="0000FF"/>
                <w:szCs w:val="20"/>
              </w:rPr>
              <w:t xml:space="preserve"> (</w:t>
            </w:r>
            <w:r w:rsidRPr="00E959B6">
              <w:rPr>
                <w:color w:val="0000FF"/>
                <w:szCs w:val="20"/>
              </w:rPr>
              <w:t>89</w:t>
            </w:r>
            <w:r w:rsidR="001C3402" w:rsidRPr="00E959B6">
              <w:rPr>
                <w:color w:val="0000FF"/>
                <w:szCs w:val="20"/>
              </w:rPr>
              <w:t>.</w:t>
            </w:r>
            <w:r w:rsidRPr="00E959B6">
              <w:rPr>
                <w:color w:val="0000FF"/>
                <w:szCs w:val="20"/>
              </w:rPr>
              <w:t>7</w:t>
            </w:r>
            <w:r w:rsidR="006141AE" w:rsidRPr="00E959B6">
              <w:rPr>
                <w:color w:val="0000FF"/>
                <w:szCs w:val="20"/>
              </w:rPr>
              <w:t>)</w:t>
            </w:r>
          </w:p>
        </w:tc>
        <w:tc>
          <w:tcPr>
            <w:tcW w:w="1440" w:type="dxa"/>
            <w:shd w:val="clear" w:color="auto" w:fill="auto"/>
          </w:tcPr>
          <w:p w:rsidR="00C10173" w:rsidRPr="00E959B6" w:rsidRDefault="00E959B6" w:rsidP="00E959B6">
            <w:pPr>
              <w:pStyle w:val="Body"/>
              <w:spacing w:before="60"/>
              <w:jc w:val="center"/>
              <w:rPr>
                <w:color w:val="0000FF"/>
                <w:szCs w:val="20"/>
              </w:rPr>
            </w:pPr>
            <w:r w:rsidRPr="00E959B6">
              <w:rPr>
                <w:color w:val="0000FF"/>
                <w:szCs w:val="20"/>
              </w:rPr>
              <w:t>8</w:t>
            </w:r>
            <w:r w:rsidR="006141AE" w:rsidRPr="00E959B6">
              <w:rPr>
                <w:color w:val="0000FF"/>
                <w:szCs w:val="20"/>
              </w:rPr>
              <w:t xml:space="preserve"> (</w:t>
            </w:r>
            <w:r w:rsidRPr="00E959B6">
              <w:rPr>
                <w:color w:val="0000FF"/>
                <w:szCs w:val="20"/>
              </w:rPr>
              <w:t>1</w:t>
            </w:r>
            <w:r w:rsidR="001C3402" w:rsidRPr="00E959B6">
              <w:rPr>
                <w:color w:val="0000FF"/>
                <w:szCs w:val="20"/>
              </w:rPr>
              <w:t>.</w:t>
            </w:r>
            <w:r w:rsidRPr="00E959B6">
              <w:rPr>
                <w:color w:val="0000FF"/>
                <w:szCs w:val="20"/>
              </w:rPr>
              <w:t>5</w:t>
            </w:r>
            <w:r w:rsidR="006141AE" w:rsidRPr="00E959B6">
              <w:rPr>
                <w:color w:val="0000FF"/>
                <w:szCs w:val="20"/>
              </w:rPr>
              <w:t>)</w:t>
            </w:r>
          </w:p>
        </w:tc>
        <w:tc>
          <w:tcPr>
            <w:tcW w:w="1440" w:type="dxa"/>
            <w:shd w:val="clear" w:color="auto" w:fill="auto"/>
          </w:tcPr>
          <w:p w:rsidR="00C10173" w:rsidRPr="00E959B6" w:rsidRDefault="00E959B6" w:rsidP="00E959B6">
            <w:pPr>
              <w:pStyle w:val="Body"/>
              <w:spacing w:before="60"/>
              <w:jc w:val="center"/>
              <w:rPr>
                <w:color w:val="0000FF"/>
                <w:szCs w:val="20"/>
              </w:rPr>
            </w:pPr>
            <w:r w:rsidRPr="00E959B6">
              <w:rPr>
                <w:color w:val="0000FF"/>
                <w:szCs w:val="20"/>
              </w:rPr>
              <w:t>18</w:t>
            </w:r>
            <w:r w:rsidR="006141AE" w:rsidRPr="00E959B6">
              <w:rPr>
                <w:color w:val="0000FF"/>
                <w:szCs w:val="20"/>
              </w:rPr>
              <w:t xml:space="preserve"> (</w:t>
            </w:r>
            <w:r w:rsidRPr="00E959B6">
              <w:rPr>
                <w:color w:val="0000FF"/>
                <w:szCs w:val="20"/>
              </w:rPr>
              <w:t>3</w:t>
            </w:r>
            <w:r w:rsidR="001C3402" w:rsidRPr="00E959B6">
              <w:rPr>
                <w:color w:val="0000FF"/>
                <w:szCs w:val="20"/>
              </w:rPr>
              <w:t>.</w:t>
            </w:r>
            <w:r w:rsidRPr="00E959B6">
              <w:rPr>
                <w:color w:val="0000FF"/>
                <w:szCs w:val="20"/>
              </w:rPr>
              <w:t>4</w:t>
            </w:r>
            <w:r w:rsidR="006141AE" w:rsidRPr="00E959B6">
              <w:rPr>
                <w:color w:val="0000FF"/>
                <w:szCs w:val="20"/>
              </w:rPr>
              <w:t>)</w:t>
            </w:r>
          </w:p>
        </w:tc>
        <w:tc>
          <w:tcPr>
            <w:tcW w:w="1560" w:type="dxa"/>
            <w:shd w:val="clear" w:color="auto" w:fill="auto"/>
          </w:tcPr>
          <w:p w:rsidR="00C10173" w:rsidRPr="00E959B6" w:rsidRDefault="00E959B6" w:rsidP="00E959B6">
            <w:pPr>
              <w:pStyle w:val="Body"/>
              <w:spacing w:before="60"/>
              <w:jc w:val="center"/>
              <w:rPr>
                <w:color w:val="0000FF"/>
                <w:szCs w:val="20"/>
              </w:rPr>
            </w:pPr>
            <w:r w:rsidRPr="00E959B6">
              <w:rPr>
                <w:color w:val="0000FF"/>
                <w:szCs w:val="20"/>
              </w:rPr>
              <w:t>29</w:t>
            </w:r>
            <w:r w:rsidR="006141AE" w:rsidRPr="00E959B6">
              <w:rPr>
                <w:color w:val="0000FF"/>
                <w:szCs w:val="20"/>
              </w:rPr>
              <w:t xml:space="preserve"> (</w:t>
            </w:r>
            <w:r w:rsidRPr="00E959B6">
              <w:rPr>
                <w:color w:val="0000FF"/>
                <w:szCs w:val="20"/>
              </w:rPr>
              <w:t>5</w:t>
            </w:r>
            <w:r w:rsidR="001C3402" w:rsidRPr="00E959B6">
              <w:rPr>
                <w:color w:val="0000FF"/>
                <w:szCs w:val="20"/>
              </w:rPr>
              <w:t>.</w:t>
            </w:r>
            <w:r w:rsidRPr="00E959B6">
              <w:rPr>
                <w:color w:val="0000FF"/>
                <w:szCs w:val="20"/>
              </w:rPr>
              <w:t>4</w:t>
            </w:r>
            <w:r w:rsidR="006141AE" w:rsidRPr="00E959B6">
              <w:rPr>
                <w:color w:val="0000FF"/>
                <w:szCs w:val="20"/>
              </w:rPr>
              <w:t>)</w:t>
            </w:r>
          </w:p>
        </w:tc>
        <w:tc>
          <w:tcPr>
            <w:tcW w:w="840" w:type="dxa"/>
            <w:shd w:val="clear" w:color="auto" w:fill="auto"/>
          </w:tcPr>
          <w:p w:rsidR="00C10173" w:rsidRPr="00E959B6" w:rsidRDefault="00E959B6" w:rsidP="00C95AED">
            <w:pPr>
              <w:pStyle w:val="Body"/>
              <w:spacing w:before="60"/>
              <w:jc w:val="center"/>
              <w:rPr>
                <w:b/>
                <w:color w:val="0000FF"/>
                <w:szCs w:val="20"/>
              </w:rPr>
            </w:pPr>
            <w:r>
              <w:rPr>
                <w:b/>
                <w:color w:val="0000FF"/>
                <w:szCs w:val="20"/>
              </w:rPr>
              <w:t>535</w:t>
            </w:r>
          </w:p>
        </w:tc>
      </w:tr>
      <w:tr w:rsidR="001C3402" w:rsidRPr="00CB554F" w:rsidTr="005167ED">
        <w:tc>
          <w:tcPr>
            <w:tcW w:w="730" w:type="dxa"/>
            <w:shd w:val="clear" w:color="auto" w:fill="auto"/>
          </w:tcPr>
          <w:p w:rsidR="001C3402" w:rsidRDefault="001C3402" w:rsidP="00CC7ECC">
            <w:pPr>
              <w:pStyle w:val="Body"/>
              <w:spacing w:before="60"/>
              <w:rPr>
                <w:b/>
                <w:color w:val="0000FF"/>
                <w:szCs w:val="20"/>
              </w:rPr>
            </w:pPr>
            <w:r w:rsidRPr="006C28A6">
              <w:rPr>
                <w:b/>
                <w:color w:val="0000FF"/>
                <w:szCs w:val="20"/>
              </w:rPr>
              <w:t>201</w:t>
            </w:r>
            <w:r>
              <w:rPr>
                <w:b/>
                <w:color w:val="0000FF"/>
                <w:szCs w:val="20"/>
              </w:rPr>
              <w:t>5</w:t>
            </w:r>
            <w:r w:rsidRPr="006C28A6">
              <w:rPr>
                <w:b/>
                <w:color w:val="0000FF"/>
                <w:szCs w:val="20"/>
              </w:rPr>
              <w:t>-201</w:t>
            </w:r>
            <w:r>
              <w:rPr>
                <w:b/>
                <w:color w:val="0000FF"/>
                <w:szCs w:val="20"/>
              </w:rPr>
              <w:t>6</w:t>
            </w:r>
          </w:p>
        </w:tc>
        <w:tc>
          <w:tcPr>
            <w:tcW w:w="1418" w:type="dxa"/>
            <w:shd w:val="clear" w:color="auto" w:fill="auto"/>
          </w:tcPr>
          <w:p w:rsidR="001C3402" w:rsidRDefault="001C3402" w:rsidP="00CC7ECC">
            <w:pPr>
              <w:pStyle w:val="Body"/>
              <w:spacing w:before="60"/>
              <w:jc w:val="center"/>
              <w:rPr>
                <w:color w:val="0000FF"/>
                <w:szCs w:val="20"/>
              </w:rPr>
            </w:pPr>
            <w:r>
              <w:rPr>
                <w:color w:val="0000FF"/>
                <w:szCs w:val="20"/>
              </w:rPr>
              <w:t>281 (74.7)</w:t>
            </w:r>
          </w:p>
        </w:tc>
        <w:tc>
          <w:tcPr>
            <w:tcW w:w="1440" w:type="dxa"/>
            <w:shd w:val="clear" w:color="auto" w:fill="auto"/>
          </w:tcPr>
          <w:p w:rsidR="001C3402" w:rsidRDefault="001C3402" w:rsidP="00CC7ECC">
            <w:pPr>
              <w:pStyle w:val="Body"/>
              <w:spacing w:before="60"/>
              <w:jc w:val="center"/>
              <w:rPr>
                <w:color w:val="0000FF"/>
                <w:szCs w:val="20"/>
              </w:rPr>
            </w:pPr>
            <w:r>
              <w:rPr>
                <w:color w:val="0000FF"/>
                <w:szCs w:val="20"/>
              </w:rPr>
              <w:t>37 (9.8)</w:t>
            </w:r>
          </w:p>
        </w:tc>
        <w:tc>
          <w:tcPr>
            <w:tcW w:w="1440" w:type="dxa"/>
            <w:shd w:val="clear" w:color="auto" w:fill="auto"/>
          </w:tcPr>
          <w:p w:rsidR="001C3402" w:rsidRDefault="001C3402" w:rsidP="00CC7ECC">
            <w:pPr>
              <w:pStyle w:val="Body"/>
              <w:spacing w:before="60"/>
              <w:jc w:val="center"/>
              <w:rPr>
                <w:color w:val="0000FF"/>
                <w:szCs w:val="20"/>
              </w:rPr>
            </w:pPr>
            <w:r>
              <w:rPr>
                <w:color w:val="0000FF"/>
                <w:szCs w:val="20"/>
              </w:rPr>
              <w:t>1 (0.3)</w:t>
            </w:r>
          </w:p>
        </w:tc>
        <w:tc>
          <w:tcPr>
            <w:tcW w:w="1560" w:type="dxa"/>
            <w:shd w:val="clear" w:color="auto" w:fill="auto"/>
          </w:tcPr>
          <w:p w:rsidR="001C3402" w:rsidRDefault="001C3402" w:rsidP="00CC7ECC">
            <w:pPr>
              <w:pStyle w:val="Body"/>
              <w:spacing w:before="60"/>
              <w:jc w:val="center"/>
              <w:rPr>
                <w:color w:val="0000FF"/>
                <w:szCs w:val="20"/>
              </w:rPr>
            </w:pPr>
            <w:r>
              <w:rPr>
                <w:color w:val="0000FF"/>
                <w:szCs w:val="20"/>
              </w:rPr>
              <w:t>57 (15.2)</w:t>
            </w:r>
          </w:p>
        </w:tc>
        <w:tc>
          <w:tcPr>
            <w:tcW w:w="840" w:type="dxa"/>
            <w:shd w:val="clear" w:color="auto" w:fill="auto"/>
          </w:tcPr>
          <w:p w:rsidR="001C3402" w:rsidRDefault="001C3402" w:rsidP="00CC7ECC">
            <w:pPr>
              <w:pStyle w:val="Body"/>
              <w:spacing w:before="60"/>
              <w:jc w:val="center"/>
              <w:rPr>
                <w:b/>
                <w:color w:val="0000FF"/>
                <w:szCs w:val="20"/>
              </w:rPr>
            </w:pPr>
            <w:r>
              <w:rPr>
                <w:b/>
                <w:color w:val="0000FF"/>
                <w:szCs w:val="20"/>
              </w:rPr>
              <w:t>376</w:t>
            </w:r>
          </w:p>
        </w:tc>
      </w:tr>
      <w:tr w:rsidR="00C10173" w:rsidRPr="00CB554F" w:rsidTr="005167ED">
        <w:tc>
          <w:tcPr>
            <w:tcW w:w="730" w:type="dxa"/>
            <w:shd w:val="clear" w:color="auto" w:fill="auto"/>
          </w:tcPr>
          <w:p w:rsidR="00C10173" w:rsidRDefault="00C10173" w:rsidP="005167ED">
            <w:pPr>
              <w:pStyle w:val="Body"/>
              <w:spacing w:before="60"/>
              <w:rPr>
                <w:b/>
                <w:color w:val="0000FF"/>
                <w:szCs w:val="20"/>
              </w:rPr>
            </w:pPr>
            <w:r w:rsidRPr="006C28A6">
              <w:rPr>
                <w:b/>
                <w:color w:val="0000FF"/>
                <w:szCs w:val="20"/>
              </w:rPr>
              <w:t>2014-2015</w:t>
            </w:r>
          </w:p>
        </w:tc>
        <w:tc>
          <w:tcPr>
            <w:tcW w:w="1418" w:type="dxa"/>
            <w:shd w:val="clear" w:color="auto" w:fill="auto"/>
          </w:tcPr>
          <w:p w:rsidR="00C10173" w:rsidRDefault="00C10173" w:rsidP="005167ED">
            <w:pPr>
              <w:pStyle w:val="Body"/>
              <w:spacing w:before="60"/>
              <w:jc w:val="center"/>
              <w:rPr>
                <w:color w:val="0000FF"/>
                <w:szCs w:val="20"/>
              </w:rPr>
            </w:pPr>
            <w:r>
              <w:rPr>
                <w:color w:val="0000FF"/>
                <w:szCs w:val="20"/>
              </w:rPr>
              <w:t>783 (88.0)</w:t>
            </w:r>
          </w:p>
        </w:tc>
        <w:tc>
          <w:tcPr>
            <w:tcW w:w="1440" w:type="dxa"/>
            <w:shd w:val="clear" w:color="auto" w:fill="auto"/>
          </w:tcPr>
          <w:p w:rsidR="00C10173" w:rsidRDefault="00C10173" w:rsidP="005167ED">
            <w:pPr>
              <w:pStyle w:val="Body"/>
              <w:spacing w:before="60"/>
              <w:jc w:val="center"/>
              <w:rPr>
                <w:color w:val="0000FF"/>
                <w:szCs w:val="20"/>
              </w:rPr>
            </w:pPr>
            <w:r>
              <w:rPr>
                <w:color w:val="0000FF"/>
                <w:szCs w:val="20"/>
              </w:rPr>
              <w:t>14 (1.6)</w:t>
            </w:r>
          </w:p>
        </w:tc>
        <w:tc>
          <w:tcPr>
            <w:tcW w:w="1440" w:type="dxa"/>
            <w:shd w:val="clear" w:color="auto" w:fill="auto"/>
          </w:tcPr>
          <w:p w:rsidR="00C10173" w:rsidRDefault="00C10173" w:rsidP="005167ED">
            <w:pPr>
              <w:pStyle w:val="Body"/>
              <w:spacing w:before="60"/>
              <w:jc w:val="center"/>
              <w:rPr>
                <w:color w:val="0000FF"/>
                <w:szCs w:val="20"/>
              </w:rPr>
            </w:pPr>
            <w:r>
              <w:rPr>
                <w:color w:val="0000FF"/>
                <w:szCs w:val="20"/>
              </w:rPr>
              <w:t>19 (2.1)</w:t>
            </w:r>
          </w:p>
        </w:tc>
        <w:tc>
          <w:tcPr>
            <w:tcW w:w="1560" w:type="dxa"/>
            <w:shd w:val="clear" w:color="auto" w:fill="auto"/>
          </w:tcPr>
          <w:p w:rsidR="00C10173" w:rsidRDefault="00C10173" w:rsidP="005167ED">
            <w:pPr>
              <w:pStyle w:val="Body"/>
              <w:spacing w:before="60"/>
              <w:jc w:val="center"/>
              <w:rPr>
                <w:color w:val="0000FF"/>
                <w:szCs w:val="20"/>
              </w:rPr>
            </w:pPr>
            <w:r>
              <w:rPr>
                <w:color w:val="0000FF"/>
                <w:szCs w:val="20"/>
              </w:rPr>
              <w:t>74 (8.3)</w:t>
            </w:r>
          </w:p>
        </w:tc>
        <w:tc>
          <w:tcPr>
            <w:tcW w:w="840" w:type="dxa"/>
            <w:shd w:val="clear" w:color="auto" w:fill="auto"/>
          </w:tcPr>
          <w:p w:rsidR="00C10173" w:rsidRDefault="00C10173" w:rsidP="005167ED">
            <w:pPr>
              <w:pStyle w:val="Body"/>
              <w:spacing w:before="60"/>
              <w:jc w:val="center"/>
              <w:rPr>
                <w:b/>
                <w:color w:val="0000FF"/>
                <w:szCs w:val="20"/>
              </w:rPr>
            </w:pPr>
            <w:r>
              <w:rPr>
                <w:b/>
                <w:color w:val="0000FF"/>
                <w:szCs w:val="20"/>
              </w:rPr>
              <w:t>890</w:t>
            </w:r>
          </w:p>
        </w:tc>
      </w:tr>
      <w:tr w:rsidR="00C10173" w:rsidRPr="00CB554F" w:rsidTr="00E20FA1">
        <w:tc>
          <w:tcPr>
            <w:tcW w:w="730" w:type="dxa"/>
            <w:shd w:val="clear" w:color="auto" w:fill="auto"/>
          </w:tcPr>
          <w:p w:rsidR="00C10173" w:rsidRPr="008C5EDA" w:rsidRDefault="00C10173" w:rsidP="00C95AED">
            <w:pPr>
              <w:pStyle w:val="Body"/>
              <w:spacing w:before="60"/>
              <w:rPr>
                <w:b/>
                <w:color w:val="0000FF"/>
                <w:szCs w:val="20"/>
              </w:rPr>
            </w:pPr>
            <w:r>
              <w:rPr>
                <w:b/>
                <w:color w:val="0000FF"/>
                <w:szCs w:val="20"/>
              </w:rPr>
              <w:t>2013-2014</w:t>
            </w:r>
          </w:p>
        </w:tc>
        <w:tc>
          <w:tcPr>
            <w:tcW w:w="1418" w:type="dxa"/>
            <w:shd w:val="clear" w:color="auto" w:fill="auto"/>
          </w:tcPr>
          <w:p w:rsidR="00C10173" w:rsidRPr="008C5EDA" w:rsidRDefault="00C10173" w:rsidP="00C95AED">
            <w:pPr>
              <w:pStyle w:val="Body"/>
              <w:spacing w:before="60"/>
              <w:jc w:val="center"/>
              <w:rPr>
                <w:color w:val="0000FF"/>
                <w:szCs w:val="20"/>
              </w:rPr>
            </w:pPr>
            <w:r>
              <w:rPr>
                <w:color w:val="0000FF"/>
                <w:szCs w:val="20"/>
              </w:rPr>
              <w:t>191 (81.6)</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19 (8.1)</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1 (0.4)</w:t>
            </w:r>
          </w:p>
        </w:tc>
        <w:tc>
          <w:tcPr>
            <w:tcW w:w="1560" w:type="dxa"/>
            <w:shd w:val="clear" w:color="auto" w:fill="auto"/>
          </w:tcPr>
          <w:p w:rsidR="00C10173" w:rsidRPr="008C5EDA" w:rsidRDefault="00C10173" w:rsidP="00255084">
            <w:pPr>
              <w:pStyle w:val="Body"/>
              <w:spacing w:before="60"/>
              <w:jc w:val="center"/>
              <w:rPr>
                <w:color w:val="0000FF"/>
                <w:szCs w:val="20"/>
              </w:rPr>
            </w:pPr>
            <w:r>
              <w:rPr>
                <w:color w:val="0000FF"/>
                <w:szCs w:val="20"/>
              </w:rPr>
              <w:t>23 (9.9)</w:t>
            </w:r>
          </w:p>
        </w:tc>
        <w:tc>
          <w:tcPr>
            <w:tcW w:w="840" w:type="dxa"/>
            <w:shd w:val="clear" w:color="auto" w:fill="auto"/>
          </w:tcPr>
          <w:p w:rsidR="00C10173" w:rsidRPr="008C5EDA" w:rsidRDefault="00C10173" w:rsidP="00C95AED">
            <w:pPr>
              <w:pStyle w:val="Body"/>
              <w:spacing w:before="60"/>
              <w:jc w:val="center"/>
              <w:rPr>
                <w:b/>
                <w:color w:val="0000FF"/>
                <w:szCs w:val="20"/>
              </w:rPr>
            </w:pPr>
            <w:r>
              <w:rPr>
                <w:b/>
                <w:color w:val="0000FF"/>
                <w:szCs w:val="20"/>
              </w:rPr>
              <w:t>234</w:t>
            </w:r>
          </w:p>
        </w:tc>
      </w:tr>
      <w:tr w:rsidR="00C10173" w:rsidRPr="00CB554F" w:rsidTr="00E20FA1">
        <w:tc>
          <w:tcPr>
            <w:tcW w:w="730" w:type="dxa"/>
            <w:shd w:val="clear" w:color="auto" w:fill="auto"/>
          </w:tcPr>
          <w:p w:rsidR="00C10173" w:rsidRPr="008C5EDA" w:rsidRDefault="00C10173" w:rsidP="00C95AED">
            <w:pPr>
              <w:pStyle w:val="Body"/>
              <w:spacing w:before="60"/>
              <w:rPr>
                <w:b/>
                <w:color w:val="0000FF"/>
                <w:szCs w:val="20"/>
              </w:rPr>
            </w:pPr>
            <w:r w:rsidRPr="008C5EDA">
              <w:rPr>
                <w:b/>
                <w:color w:val="0000FF"/>
                <w:szCs w:val="20"/>
              </w:rPr>
              <w:t>201</w:t>
            </w:r>
            <w:r>
              <w:rPr>
                <w:b/>
                <w:color w:val="0000FF"/>
                <w:szCs w:val="20"/>
              </w:rPr>
              <w:t>2</w:t>
            </w:r>
            <w:r w:rsidRPr="008C5EDA">
              <w:rPr>
                <w:b/>
                <w:color w:val="0000FF"/>
                <w:szCs w:val="20"/>
              </w:rPr>
              <w:t>-201</w:t>
            </w:r>
            <w:r>
              <w:rPr>
                <w:b/>
                <w:color w:val="0000FF"/>
                <w:szCs w:val="20"/>
              </w:rPr>
              <w:t>3</w:t>
            </w:r>
          </w:p>
        </w:tc>
        <w:tc>
          <w:tcPr>
            <w:tcW w:w="1418" w:type="dxa"/>
            <w:shd w:val="clear" w:color="auto" w:fill="auto"/>
          </w:tcPr>
          <w:p w:rsidR="00C10173" w:rsidRPr="008C5EDA" w:rsidRDefault="00C10173" w:rsidP="00C95AED">
            <w:pPr>
              <w:pStyle w:val="Body"/>
              <w:spacing w:before="60"/>
              <w:jc w:val="center"/>
              <w:rPr>
                <w:color w:val="0000FF"/>
                <w:szCs w:val="20"/>
              </w:rPr>
            </w:pPr>
            <w:r>
              <w:rPr>
                <w:color w:val="0000FF"/>
                <w:szCs w:val="20"/>
              </w:rPr>
              <w:t>786 (71.6)</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254 (23.2)</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14 (1.3)</w:t>
            </w:r>
          </w:p>
        </w:tc>
        <w:tc>
          <w:tcPr>
            <w:tcW w:w="1560" w:type="dxa"/>
            <w:shd w:val="clear" w:color="auto" w:fill="auto"/>
          </w:tcPr>
          <w:p w:rsidR="00C10173" w:rsidRPr="008C5EDA" w:rsidRDefault="00C10173" w:rsidP="00C95AED">
            <w:pPr>
              <w:pStyle w:val="Body"/>
              <w:spacing w:before="60"/>
              <w:jc w:val="center"/>
              <w:rPr>
                <w:color w:val="0000FF"/>
                <w:szCs w:val="20"/>
              </w:rPr>
            </w:pPr>
            <w:r>
              <w:rPr>
                <w:color w:val="0000FF"/>
                <w:szCs w:val="20"/>
              </w:rPr>
              <w:t>43 (3.9)</w:t>
            </w:r>
          </w:p>
        </w:tc>
        <w:tc>
          <w:tcPr>
            <w:tcW w:w="840" w:type="dxa"/>
            <w:shd w:val="clear" w:color="auto" w:fill="auto"/>
          </w:tcPr>
          <w:p w:rsidR="00C10173" w:rsidRPr="008C5EDA" w:rsidRDefault="00C10173" w:rsidP="00C95AED">
            <w:pPr>
              <w:pStyle w:val="Body"/>
              <w:spacing w:before="60"/>
              <w:jc w:val="center"/>
              <w:rPr>
                <w:b/>
                <w:color w:val="0000FF"/>
                <w:szCs w:val="20"/>
              </w:rPr>
            </w:pPr>
            <w:r>
              <w:rPr>
                <w:b/>
                <w:color w:val="0000FF"/>
                <w:szCs w:val="20"/>
              </w:rPr>
              <w:t>1,097</w:t>
            </w:r>
          </w:p>
        </w:tc>
      </w:tr>
      <w:tr w:rsidR="00C10173" w:rsidRPr="00CB554F" w:rsidTr="00E20FA1">
        <w:tc>
          <w:tcPr>
            <w:tcW w:w="730" w:type="dxa"/>
            <w:shd w:val="clear" w:color="auto" w:fill="auto"/>
          </w:tcPr>
          <w:p w:rsidR="00C10173" w:rsidRPr="008C5EDA" w:rsidRDefault="00C10173" w:rsidP="00C95AED">
            <w:pPr>
              <w:pStyle w:val="Body"/>
              <w:spacing w:before="60"/>
              <w:rPr>
                <w:b/>
                <w:color w:val="0000FF"/>
                <w:szCs w:val="20"/>
              </w:rPr>
            </w:pPr>
            <w:r w:rsidRPr="008C5EDA">
              <w:rPr>
                <w:b/>
                <w:color w:val="0000FF"/>
                <w:szCs w:val="20"/>
              </w:rPr>
              <w:t>201</w:t>
            </w:r>
            <w:r>
              <w:rPr>
                <w:b/>
                <w:color w:val="0000FF"/>
                <w:szCs w:val="20"/>
              </w:rPr>
              <w:t>1</w:t>
            </w:r>
            <w:r w:rsidRPr="008C5EDA">
              <w:rPr>
                <w:b/>
                <w:color w:val="0000FF"/>
                <w:szCs w:val="20"/>
              </w:rPr>
              <w:t>-201</w:t>
            </w:r>
            <w:r>
              <w:rPr>
                <w:b/>
                <w:color w:val="0000FF"/>
                <w:szCs w:val="20"/>
              </w:rPr>
              <w:t>2</w:t>
            </w:r>
          </w:p>
        </w:tc>
        <w:tc>
          <w:tcPr>
            <w:tcW w:w="1418" w:type="dxa"/>
            <w:shd w:val="clear" w:color="auto" w:fill="auto"/>
          </w:tcPr>
          <w:p w:rsidR="00C10173" w:rsidRPr="008C5EDA" w:rsidRDefault="00C10173" w:rsidP="00C95AED">
            <w:pPr>
              <w:pStyle w:val="Body"/>
              <w:spacing w:before="60"/>
              <w:jc w:val="center"/>
              <w:rPr>
                <w:color w:val="0000FF"/>
                <w:szCs w:val="20"/>
              </w:rPr>
            </w:pPr>
            <w:r>
              <w:rPr>
                <w:color w:val="0000FF"/>
                <w:szCs w:val="20"/>
              </w:rPr>
              <w:t>734 (86.6)</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52 (6.1)</w:t>
            </w:r>
          </w:p>
        </w:tc>
        <w:tc>
          <w:tcPr>
            <w:tcW w:w="1440" w:type="dxa"/>
            <w:shd w:val="clear" w:color="auto" w:fill="auto"/>
          </w:tcPr>
          <w:p w:rsidR="00C10173" w:rsidRPr="008C5EDA" w:rsidRDefault="00C10173" w:rsidP="00C95AED">
            <w:pPr>
              <w:pStyle w:val="Body"/>
              <w:spacing w:before="60"/>
              <w:jc w:val="center"/>
              <w:rPr>
                <w:color w:val="0000FF"/>
                <w:szCs w:val="20"/>
              </w:rPr>
            </w:pPr>
            <w:r>
              <w:rPr>
                <w:color w:val="0000FF"/>
                <w:szCs w:val="20"/>
              </w:rPr>
              <w:t>23 (2.7)</w:t>
            </w:r>
          </w:p>
        </w:tc>
        <w:tc>
          <w:tcPr>
            <w:tcW w:w="1560" w:type="dxa"/>
            <w:shd w:val="clear" w:color="auto" w:fill="auto"/>
          </w:tcPr>
          <w:p w:rsidR="00C10173" w:rsidRPr="008C5EDA" w:rsidRDefault="00C10173" w:rsidP="00C95AED">
            <w:pPr>
              <w:pStyle w:val="Body"/>
              <w:spacing w:before="60"/>
              <w:jc w:val="center"/>
              <w:rPr>
                <w:color w:val="0000FF"/>
                <w:szCs w:val="20"/>
              </w:rPr>
            </w:pPr>
            <w:r>
              <w:rPr>
                <w:color w:val="0000FF"/>
                <w:szCs w:val="20"/>
              </w:rPr>
              <w:t>39 (4.6)</w:t>
            </w:r>
          </w:p>
        </w:tc>
        <w:tc>
          <w:tcPr>
            <w:tcW w:w="840" w:type="dxa"/>
            <w:shd w:val="clear" w:color="auto" w:fill="auto"/>
          </w:tcPr>
          <w:p w:rsidR="00C10173" w:rsidRPr="008C5EDA" w:rsidRDefault="00C10173" w:rsidP="00C95AED">
            <w:pPr>
              <w:pStyle w:val="Body"/>
              <w:spacing w:before="60"/>
              <w:jc w:val="center"/>
              <w:rPr>
                <w:b/>
                <w:color w:val="0000FF"/>
                <w:szCs w:val="20"/>
              </w:rPr>
            </w:pPr>
            <w:r>
              <w:rPr>
                <w:b/>
                <w:color w:val="0000FF"/>
                <w:szCs w:val="20"/>
              </w:rPr>
              <w:t>848</w:t>
            </w:r>
          </w:p>
        </w:tc>
      </w:tr>
    </w:tbl>
    <w:p w:rsidR="00B37353" w:rsidRDefault="00B37353" w:rsidP="00B37353">
      <w:pPr>
        <w:pStyle w:val="PageBreak"/>
        <w:sectPr w:rsidR="00B37353">
          <w:type w:val="continuous"/>
          <w:pgSz w:w="11907" w:h="16839" w:code="9"/>
          <w:pgMar w:top="1134" w:right="2410" w:bottom="4253" w:left="2410" w:header="510" w:footer="3402" w:gutter="0"/>
          <w:cols w:space="709"/>
          <w:docGrid w:linePitch="326"/>
        </w:sectPr>
      </w:pPr>
    </w:p>
    <w:p w:rsidR="00C97DDD" w:rsidRDefault="00C97DDD" w:rsidP="00C97DDD">
      <w:pPr>
        <w:pStyle w:val="BodyNum"/>
      </w:pPr>
      <w:r>
        <w:lastRenderedPageBreak/>
        <w:t xml:space="preserve">Amendments described as “government policy change” proposed changes to policy positions already dealt with in the Bill concerned. Amendments described as “government new </w:t>
      </w:r>
      <w:r>
        <w:lastRenderedPageBreak/>
        <w:t>policy” added new material, dealing with new policy, to the Bill. Generally, these represented cases in which a Bill already in the Parliament was seen as a convenient vehicle for additional but urgent legislative provisions.</w:t>
      </w:r>
    </w:p>
    <w:p w:rsidR="00C97DDD" w:rsidRDefault="00C97DDD" w:rsidP="00C97DDD">
      <w:pPr>
        <w:pStyle w:val="BodyNum"/>
      </w:pPr>
      <w:r>
        <w:lastRenderedPageBreak/>
        <w:t>Amendments described as “non-government amendments” are very rarely drafted by OPC on instructions from the non-government members concerned. Usually they are prepared on instructions from departmental or ministerial staff for use in negotiations with non-government members.</w:t>
      </w:r>
    </w:p>
    <w:p w:rsidR="00CA6A2D" w:rsidRDefault="00C97DDD" w:rsidP="00CA6A2D">
      <w:pPr>
        <w:pStyle w:val="BodyNum"/>
        <w:rPr>
          <w:rStyle w:val="CharSubdText"/>
        </w:rPr>
      </w:pPr>
      <w:r>
        <w:t>The number of amendments to correct drafting errors was once again very low.</w:t>
      </w:r>
    </w:p>
    <w:p w:rsidR="00C97DDD" w:rsidRDefault="00C97DDD" w:rsidP="00B46D7C">
      <w:pPr>
        <w:pStyle w:val="Head4"/>
        <w:rPr>
          <w:rStyle w:val="CharSubdText"/>
        </w:rPr>
      </w:pPr>
      <w:r w:rsidRPr="001E69BC">
        <w:rPr>
          <w:rStyle w:val="CharSubdText"/>
        </w:rPr>
        <w:t>Instruments</w:t>
      </w:r>
    </w:p>
    <w:p w:rsidR="00C97DDD" w:rsidRDefault="00C97DDD" w:rsidP="00C97DDD">
      <w:pPr>
        <w:pStyle w:val="BodyNum"/>
      </w:pPr>
      <w:r>
        <w:t>OPC provides government agencies with drafting servic</w:t>
      </w:r>
      <w:r w:rsidR="00DB5EF4">
        <w:t>es for subordinate legislation.</w:t>
      </w:r>
    </w:p>
    <w:p w:rsidR="00C97DDD" w:rsidRDefault="00C97DDD" w:rsidP="00C97DDD">
      <w:pPr>
        <w:pStyle w:val="BodyNum"/>
      </w:pPr>
      <w:r>
        <w:t>OPC provides</w:t>
      </w:r>
      <w:r w:rsidRPr="00F1403F">
        <w:t xml:space="preserve"> instrument drafting services that are tied</w:t>
      </w:r>
      <w:r>
        <w:t xml:space="preserve"> to OPC</w:t>
      </w:r>
      <w:r w:rsidRPr="00F1403F">
        <w:t xml:space="preserve"> under the </w:t>
      </w:r>
      <w:r w:rsidRPr="00324922">
        <w:rPr>
          <w:i/>
        </w:rPr>
        <w:t>Legal Services Directions 2005</w:t>
      </w:r>
      <w:r w:rsidRPr="00F1403F">
        <w:t xml:space="preserve"> </w:t>
      </w:r>
      <w:r>
        <w:t xml:space="preserve">to sponsoring agencies </w:t>
      </w:r>
      <w:r w:rsidRPr="00F1403F">
        <w:t xml:space="preserve">on a budget-funded basis. </w:t>
      </w:r>
      <w:r>
        <w:t>OPC also provides i</w:t>
      </w:r>
      <w:r w:rsidRPr="00F1403F">
        <w:t xml:space="preserve">nstrument drafting services that are not tied to OPC </w:t>
      </w:r>
      <w:r>
        <w:t xml:space="preserve">to government agency clients </w:t>
      </w:r>
      <w:r w:rsidRPr="00F1403F">
        <w:t>on a contestable, user-pays basis.</w:t>
      </w:r>
    </w:p>
    <w:p w:rsidR="00DB1912" w:rsidRPr="00C95AED" w:rsidRDefault="00DB1912" w:rsidP="00DB1912">
      <w:pPr>
        <w:pStyle w:val="BodyNum"/>
      </w:pPr>
      <w:r w:rsidRPr="00C95AED">
        <w:t xml:space="preserve">OPC </w:t>
      </w:r>
      <w:r>
        <w:t xml:space="preserve">has </w:t>
      </w:r>
      <w:r w:rsidRPr="00C95AED">
        <w:t>a bidding and priority system for instruments</w:t>
      </w:r>
      <w:r>
        <w:t xml:space="preserve"> which is </w:t>
      </w:r>
      <w:r w:rsidRPr="00C95AED">
        <w:t>very closely</w:t>
      </w:r>
      <w:r>
        <w:t xml:space="preserve"> based on the system for Bills.</w:t>
      </w:r>
    </w:p>
    <w:p w:rsidR="00DB1912" w:rsidRPr="00C95AED" w:rsidRDefault="00DB1912" w:rsidP="00DB1912">
      <w:pPr>
        <w:pStyle w:val="BodyNum"/>
      </w:pPr>
      <w:r w:rsidRPr="00C95AED">
        <w:t xml:space="preserve">The main difference is that there is no ministerial involvement </w:t>
      </w:r>
      <w:r w:rsidRPr="00C95AED">
        <w:lastRenderedPageBreak/>
        <w:t xml:space="preserve">in determining the final priorities. Where necessary, this will be done by OPC in consultation with the relevant </w:t>
      </w:r>
      <w:r w:rsidR="007E755B">
        <w:t>government agencies</w:t>
      </w:r>
      <w:r w:rsidRPr="00C95AED">
        <w:t>.</w:t>
      </w:r>
    </w:p>
    <w:p w:rsidR="00DB1912" w:rsidRDefault="00DB1912" w:rsidP="00DB1912">
      <w:pPr>
        <w:pStyle w:val="BodyNum"/>
      </w:pPr>
      <w:r w:rsidRPr="00C95AED">
        <w:t>In addition, the priorities used are 1, 2, 3 and 4 (rather than T, A, B and C).</w:t>
      </w:r>
    </w:p>
    <w:p w:rsidR="00DB1912" w:rsidRPr="00C95AED" w:rsidRDefault="00DB1912" w:rsidP="00DB1912">
      <w:pPr>
        <w:pStyle w:val="BodyNum"/>
      </w:pPr>
      <w:r>
        <w:t>The priority system has been very useful for OPC in planning instrument drafting work. It also appears to be assisting instructing agencies in achieving greater coordination of their instrument drafting.</w:t>
      </w:r>
    </w:p>
    <w:p w:rsidR="00DB1912" w:rsidRDefault="00DB1912" w:rsidP="00DB1912">
      <w:pPr>
        <w:pStyle w:val="BodyNum"/>
      </w:pPr>
      <w:r w:rsidRPr="00C95AED">
        <w:t>As OPC drafts both Bills and instruments, drafters have been able to work closely on significant projects that required changes to both Acts and subordinate legislation. This has facilitated a more effective and efficient management of projects across both legislation processes</w:t>
      </w:r>
      <w:r w:rsidR="006E1F95">
        <w:t>.</w:t>
      </w:r>
    </w:p>
    <w:p w:rsidR="00C97DDD" w:rsidRPr="00324922" w:rsidRDefault="00C97DDD" w:rsidP="00C97DDD">
      <w:pPr>
        <w:pStyle w:val="Head5"/>
      </w:pPr>
      <w:r>
        <w:t xml:space="preserve">Budget-funded </w:t>
      </w:r>
      <w:r w:rsidR="00811A9F">
        <w:t xml:space="preserve">instrument </w:t>
      </w:r>
      <w:r w:rsidRPr="00324922">
        <w:t>drafting services</w:t>
      </w:r>
    </w:p>
    <w:p w:rsidR="00C97DDD" w:rsidRDefault="00C97DDD" w:rsidP="005F740D">
      <w:pPr>
        <w:pStyle w:val="BodyNum"/>
      </w:pPr>
      <w:r>
        <w:t xml:space="preserve">Under the </w:t>
      </w:r>
      <w:r w:rsidRPr="00D07753">
        <w:rPr>
          <w:i/>
        </w:rPr>
        <w:t>Legal Services Directions 2005</w:t>
      </w:r>
      <w:r w:rsidRPr="00F1403F">
        <w:t xml:space="preserve"> </w:t>
      </w:r>
      <w:r>
        <w:t>the drafting of regulations, Ordinances and regulations of non-self-governing Territories, and other legislative instruments made or approved by the Governor-General is tied to OPC and is provided on a budget-</w:t>
      </w:r>
      <w:r>
        <w:lastRenderedPageBreak/>
        <w:t>funded basis. Drafting services are also provided on a budget-f</w:t>
      </w:r>
      <w:r w:rsidR="00DB5EF4">
        <w:t xml:space="preserve">unded basis for </w:t>
      </w:r>
      <w:r w:rsidR="00C221DE">
        <w:t>r</w:t>
      </w:r>
      <w:r w:rsidR="00DB5EF4">
        <w:t>ules of court.</w:t>
      </w:r>
    </w:p>
    <w:p w:rsidR="00DB1912" w:rsidRDefault="00DB1912" w:rsidP="00DB1912">
      <w:pPr>
        <w:pStyle w:val="BodyNum"/>
      </w:pPr>
      <w:r w:rsidRPr="001A0239">
        <w:t>During the year,</w:t>
      </w:r>
      <w:r w:rsidR="007C3896">
        <w:t xml:space="preserve"> </w:t>
      </w:r>
      <w:r w:rsidR="00960AC6">
        <w:t>264</w:t>
      </w:r>
      <w:r w:rsidR="007C3896">
        <w:t xml:space="preserve"> </w:t>
      </w:r>
      <w:proofErr w:type="spellStart"/>
      <w:r>
        <w:t>ExCo</w:t>
      </w:r>
      <w:proofErr w:type="spellEnd"/>
      <w:r>
        <w:t xml:space="preserve"> legislative and notifiable instruments, </w:t>
      </w:r>
      <w:r w:rsidRPr="001A0239">
        <w:t xml:space="preserve">totalling </w:t>
      </w:r>
      <w:r w:rsidR="007C3896">
        <w:t>3,</w:t>
      </w:r>
      <w:r w:rsidR="00960AC6">
        <w:t>4</w:t>
      </w:r>
      <w:r w:rsidR="00C82FEF">
        <w:t>5</w:t>
      </w:r>
      <w:r w:rsidR="007C3896">
        <w:t xml:space="preserve">9 </w:t>
      </w:r>
      <w:r w:rsidRPr="001A0239">
        <w:t xml:space="preserve">pages, drafted </w:t>
      </w:r>
      <w:r>
        <w:t>by</w:t>
      </w:r>
      <w:r w:rsidRPr="001A0239">
        <w:t xml:space="preserve"> OPC</w:t>
      </w:r>
      <w:r>
        <w:t xml:space="preserve"> were made and</w:t>
      </w:r>
      <w:r w:rsidRPr="001A0239">
        <w:t xml:space="preserve"> registered on the </w:t>
      </w:r>
      <w:r w:rsidR="00773A15">
        <w:t>Legislation Register</w:t>
      </w:r>
      <w:r w:rsidRPr="001A0239">
        <w:t>.</w:t>
      </w:r>
    </w:p>
    <w:p w:rsidR="00DB1912" w:rsidRPr="0041193E" w:rsidRDefault="00DB1912" w:rsidP="00DB1912">
      <w:pPr>
        <w:pStyle w:val="Head5"/>
      </w:pPr>
      <w:r w:rsidRPr="0041193E">
        <w:t>User-pays drafting services</w:t>
      </w:r>
    </w:p>
    <w:p w:rsidR="00DB1912" w:rsidRDefault="00DB1912" w:rsidP="00DB1912">
      <w:pPr>
        <w:pStyle w:val="BodyNum"/>
      </w:pPr>
      <w:r w:rsidRPr="00F1403F">
        <w:t>Instrument drafting services that are not tied to OPC are provided on a contestable, user-pays basis. Editing, compilation and related IT services for instruments that are not tied to OPC are also provided on a u</w:t>
      </w:r>
      <w:bookmarkStart w:id="48" w:name="BK_S22P25L44C29"/>
      <w:bookmarkEnd w:id="48"/>
      <w:r w:rsidRPr="00F1403F">
        <w:t xml:space="preserve">ser-pays basis. </w:t>
      </w:r>
      <w:r w:rsidRPr="00822012">
        <w:t>The fees for these services are consistent with the competitive neutrality guidelines and are relied on by OPC as part of the funding mix that assists to sustain the deliv</w:t>
      </w:r>
      <w:r>
        <w:t>ery of all its functions.</w:t>
      </w:r>
    </w:p>
    <w:p w:rsidR="00DB1912" w:rsidRDefault="00DB1912" w:rsidP="00DB1912">
      <w:pPr>
        <w:pStyle w:val="BodyNum"/>
      </w:pPr>
      <w:r w:rsidRPr="005A7848">
        <w:t>During the year, approximately</w:t>
      </w:r>
      <w:r w:rsidR="007C3896">
        <w:t xml:space="preserve"> 1</w:t>
      </w:r>
      <w:r w:rsidR="00960AC6">
        <w:t>08</w:t>
      </w:r>
      <w:r w:rsidRPr="005A7848">
        <w:t xml:space="preserve"> legislative </w:t>
      </w:r>
      <w:r>
        <w:t xml:space="preserve">and notifiable </w:t>
      </w:r>
      <w:r w:rsidRPr="005A7848">
        <w:t>instruments, totalling</w:t>
      </w:r>
      <w:r w:rsidR="007C3896">
        <w:t xml:space="preserve"> 1,</w:t>
      </w:r>
      <w:r w:rsidR="00960AC6">
        <w:t>308</w:t>
      </w:r>
      <w:r w:rsidRPr="005A7848">
        <w:t xml:space="preserve"> pages, were drafted by OPC on a u</w:t>
      </w:r>
      <w:bookmarkStart w:id="49" w:name="BK_S22P25L55C7"/>
      <w:bookmarkEnd w:id="49"/>
      <w:r w:rsidRPr="005A7848">
        <w:t>ser-pays basis for government agency clients and registered on the Le</w:t>
      </w:r>
      <w:r>
        <w:t>gislation</w:t>
      </w:r>
      <w:r w:rsidR="005645B7">
        <w:t xml:space="preserve"> Register</w:t>
      </w:r>
      <w:r w:rsidRPr="005A7848">
        <w:t>.</w:t>
      </w:r>
    </w:p>
    <w:p w:rsidR="00C97DDD" w:rsidRPr="005A7848" w:rsidRDefault="00C97DDD" w:rsidP="00C97DDD">
      <w:pPr>
        <w:pStyle w:val="Head5"/>
      </w:pPr>
      <w:r w:rsidRPr="005A7848">
        <w:lastRenderedPageBreak/>
        <w:t>Client feedback</w:t>
      </w:r>
    </w:p>
    <w:p w:rsidR="00C97DDD" w:rsidRPr="005A7848" w:rsidRDefault="00C97DDD" w:rsidP="00C97DDD">
      <w:pPr>
        <w:pStyle w:val="BodyNum"/>
      </w:pPr>
      <w:r w:rsidRPr="005A7848">
        <w:t>OPC surveys its direct clients (agency instructors) ab</w:t>
      </w:r>
      <w:r w:rsidR="00DB5EF4">
        <w:t>out instruments drafted by OPC.</w:t>
      </w:r>
    </w:p>
    <w:p w:rsidR="00C97DDD" w:rsidRPr="005A7848" w:rsidRDefault="00C97DDD" w:rsidP="00C97DDD">
      <w:pPr>
        <w:pStyle w:val="BodyNum"/>
      </w:pPr>
      <w:r w:rsidRPr="005A7848">
        <w:t xml:space="preserve">The target in the Portfolio Budget Statements for the average response to “overall satisfaction” was 4.0 out of 5 (where 5 is the highest rating). The result for this year was </w:t>
      </w:r>
      <w:r w:rsidRPr="00A6047A">
        <w:t>4.</w:t>
      </w:r>
      <w:r w:rsidR="00A6047A" w:rsidRPr="00A6047A">
        <w:t>9</w:t>
      </w:r>
      <w:r w:rsidRPr="005A7848">
        <w:t xml:space="preserve"> out of 5.</w:t>
      </w:r>
    </w:p>
    <w:p w:rsidR="00DB1912" w:rsidRPr="005A7848" w:rsidRDefault="00C97DDD" w:rsidP="00727098">
      <w:pPr>
        <w:pStyle w:val="BodyNum"/>
      </w:pPr>
      <w:r w:rsidRPr="005A7848">
        <w:t>Comments included in responses to the client surveys reinforce</w:t>
      </w:r>
      <w:r>
        <w:t>d</w:t>
      </w:r>
      <w:r w:rsidRPr="005A7848">
        <w:t xml:space="preserve"> this very high degree of satisfaction with services provided by OPC. Comments in response to the question “</w:t>
      </w:r>
      <w:r w:rsidRPr="005A7848">
        <w:rPr>
          <w:rFonts w:cs="Arial"/>
          <w:i/>
        </w:rPr>
        <w:t>What did you like most about this experience with the Office?</w:t>
      </w:r>
      <w:r w:rsidRPr="00C221DE">
        <w:rPr>
          <w:rFonts w:cs="Arial"/>
        </w:rPr>
        <w:t>”</w:t>
      </w:r>
      <w:r w:rsidRPr="005A7848">
        <w:rPr>
          <w:rFonts w:cs="Arial"/>
          <w:i/>
        </w:rPr>
        <w:t xml:space="preserve"> </w:t>
      </w:r>
      <w:r w:rsidRPr="005A7848">
        <w:t>include</w:t>
      </w:r>
      <w:r>
        <w:t>d</w:t>
      </w:r>
      <w:r w:rsidRPr="005A7848">
        <w:t>:</w:t>
      </w:r>
    </w:p>
    <w:p w:rsidR="0057050A" w:rsidRPr="0057050A" w:rsidRDefault="009A21DE" w:rsidP="0057050A">
      <w:pPr>
        <w:pStyle w:val="BodyPara"/>
        <w:rPr>
          <w:i/>
        </w:rPr>
      </w:pPr>
      <w:r>
        <w:rPr>
          <w:i/>
        </w:rPr>
        <w:t>“</w:t>
      </w:r>
      <w:r w:rsidR="0057050A" w:rsidRPr="0057050A">
        <w:rPr>
          <w:i/>
        </w:rPr>
        <w:t>Our drafter’s expertise was evident. Furthermore, he was available to discuss the complex policy to ensure we had a shared understanding of policy aims.</w:t>
      </w:r>
      <w:r>
        <w:rPr>
          <w:i/>
        </w:rPr>
        <w:t>”</w:t>
      </w:r>
    </w:p>
    <w:p w:rsidR="0057050A" w:rsidRPr="0057050A" w:rsidRDefault="009A21DE" w:rsidP="0057050A">
      <w:pPr>
        <w:pStyle w:val="BodyPara"/>
        <w:rPr>
          <w:i/>
        </w:rPr>
      </w:pPr>
      <w:r>
        <w:rPr>
          <w:i/>
        </w:rPr>
        <w:t>“</w:t>
      </w:r>
      <w:r w:rsidR="0057050A" w:rsidRPr="0057050A">
        <w:rPr>
          <w:i/>
        </w:rPr>
        <w:t>Extremely professional, yet very relaxed, friendly, responsive, timely and approachable.</w:t>
      </w:r>
      <w:r>
        <w:rPr>
          <w:i/>
        </w:rPr>
        <w:t>”</w:t>
      </w:r>
    </w:p>
    <w:p w:rsidR="0057050A" w:rsidRPr="0057050A" w:rsidRDefault="009A21DE" w:rsidP="0057050A">
      <w:pPr>
        <w:pStyle w:val="BodyPara"/>
        <w:rPr>
          <w:i/>
        </w:rPr>
      </w:pPr>
      <w:r>
        <w:rPr>
          <w:i/>
        </w:rPr>
        <w:t>“</w:t>
      </w:r>
      <w:r w:rsidR="0057050A" w:rsidRPr="0057050A">
        <w:rPr>
          <w:i/>
        </w:rPr>
        <w:t>The drafting, and the legal analysis which underpinned it, was of a very high standard.</w:t>
      </w:r>
      <w:r>
        <w:rPr>
          <w:i/>
        </w:rPr>
        <w:t>”</w:t>
      </w:r>
      <w:r w:rsidR="0057050A" w:rsidRPr="0057050A">
        <w:rPr>
          <w:i/>
        </w:rPr>
        <w:t xml:space="preserve"> </w:t>
      </w:r>
    </w:p>
    <w:p w:rsidR="0057050A" w:rsidRDefault="009A21DE" w:rsidP="0057050A">
      <w:pPr>
        <w:pStyle w:val="BodyPara"/>
        <w:rPr>
          <w:i/>
        </w:rPr>
      </w:pPr>
      <w:r>
        <w:rPr>
          <w:i/>
        </w:rPr>
        <w:t>“</w:t>
      </w:r>
      <w:r w:rsidR="0057050A" w:rsidRPr="0057050A">
        <w:rPr>
          <w:i/>
        </w:rPr>
        <w:t xml:space="preserve">What I liked most about this experience was that the Office drafted our amendments very </w:t>
      </w:r>
      <w:r w:rsidR="0057050A" w:rsidRPr="0057050A">
        <w:rPr>
          <w:i/>
        </w:rPr>
        <w:lastRenderedPageBreak/>
        <w:t>quickly and effectively, and identified issues and workable solutions that we as the instructors hadn't identified or considered.</w:t>
      </w:r>
      <w:r>
        <w:rPr>
          <w:i/>
        </w:rPr>
        <w:t>”</w:t>
      </w:r>
    </w:p>
    <w:p w:rsidR="004E0CBC" w:rsidRDefault="004E0CBC" w:rsidP="00BE3CFD">
      <w:pPr>
        <w:pStyle w:val="Head4"/>
      </w:pPr>
      <w:r w:rsidRPr="004E0CBC">
        <w:t>Legislative drafting capability</w:t>
      </w:r>
    </w:p>
    <w:p w:rsidR="004E0CBC" w:rsidRPr="00BE3CFD" w:rsidRDefault="004E0CBC" w:rsidP="00BE3CFD">
      <w:pPr>
        <w:pStyle w:val="Head5"/>
      </w:pPr>
      <w:r w:rsidRPr="00BE3CFD">
        <w:t>Building and maintaining drafters’ capability for long-term viability of resources</w:t>
      </w:r>
    </w:p>
    <w:p w:rsidR="004E0CBC" w:rsidRDefault="004E0CBC" w:rsidP="004E0CBC">
      <w:pPr>
        <w:pStyle w:val="BodyNum"/>
      </w:pPr>
      <w:r>
        <w:t xml:space="preserve">For OPC to achieve its legislative drafting purpose, and meet the related performance criteria, into the future, it is essential that </w:t>
      </w:r>
      <w:proofErr w:type="spellStart"/>
      <w:r>
        <w:t>OPC’s</w:t>
      </w:r>
      <w:proofErr w:type="spellEnd"/>
      <w:r>
        <w:t xml:space="preserve"> drafting capability is maintained.</w:t>
      </w:r>
    </w:p>
    <w:p w:rsidR="004E0CBC" w:rsidRDefault="00EF4A72" w:rsidP="00EF4A72">
      <w:pPr>
        <w:pStyle w:val="BodyNum"/>
      </w:pPr>
      <w:r>
        <w:t xml:space="preserve">In previous years, </w:t>
      </w:r>
      <w:proofErr w:type="spellStart"/>
      <w:r>
        <w:t>OPC’s</w:t>
      </w:r>
      <w:proofErr w:type="spellEnd"/>
      <w:r>
        <w:t xml:space="preserve"> turnover of drafting staff has been extremely low.</w:t>
      </w:r>
    </w:p>
    <w:p w:rsidR="00FF7AFF" w:rsidRDefault="00EF4A72" w:rsidP="00B27950">
      <w:pPr>
        <w:pStyle w:val="BodyNum"/>
      </w:pPr>
      <w:r>
        <w:t xml:space="preserve">This very low </w:t>
      </w:r>
      <w:r w:rsidRPr="009C1C22">
        <w:t>turnover</w:t>
      </w:r>
      <w:r>
        <w:t xml:space="preserve"> (about 3% per annum for a number of years) enabled OPC to build up a strong group of drafters. It also meant that OPC did not need to recruit to the same extent that it had in previous years.</w:t>
      </w:r>
      <w:bookmarkStart w:id="50" w:name="_Ref81117178"/>
    </w:p>
    <w:p w:rsidR="00B27950" w:rsidRDefault="00B27950" w:rsidP="00B27950">
      <w:pPr>
        <w:pStyle w:val="BodyNum"/>
      </w:pPr>
      <w:r>
        <w:t xml:space="preserve">Since the transfer of the instrument drafting function, there has been an increase in the number of drafters leaving OPC. During the year, a </w:t>
      </w:r>
      <w:r w:rsidRPr="00E42E01">
        <w:t xml:space="preserve">number of drafters left </w:t>
      </w:r>
      <w:r w:rsidR="00CA6A2D">
        <w:t>OPC</w:t>
      </w:r>
      <w:r w:rsidRPr="00E42E01">
        <w:t xml:space="preserve"> through </w:t>
      </w:r>
      <w:r>
        <w:t>retiring</w:t>
      </w:r>
      <w:r w:rsidRPr="00E42E01">
        <w:t xml:space="preserve"> or transferring to other positions.</w:t>
      </w:r>
    </w:p>
    <w:p w:rsidR="0062250B" w:rsidRPr="00E42E01" w:rsidRDefault="0062250B" w:rsidP="00B27950">
      <w:pPr>
        <w:pStyle w:val="BodyNum"/>
      </w:pPr>
      <w:r>
        <w:lastRenderedPageBreak/>
        <w:t xml:space="preserve">OPC recruited </w:t>
      </w:r>
      <w:r w:rsidR="00C82FEF">
        <w:t>2</w:t>
      </w:r>
      <w:r>
        <w:t xml:space="preserve"> new drafters during the year</w:t>
      </w:r>
      <w:r w:rsidR="00C82FEF">
        <w:t xml:space="preserve"> and completed the process to recruit another 3</w:t>
      </w:r>
      <w:r>
        <w:t>.</w:t>
      </w:r>
    </w:p>
    <w:p w:rsidR="00B27950" w:rsidRPr="00E42E01" w:rsidRDefault="00B27950" w:rsidP="00B27950">
      <w:pPr>
        <w:pStyle w:val="BodyNum"/>
      </w:pPr>
      <w:bookmarkStart w:id="51" w:name="_Ref79899685"/>
      <w:r w:rsidRPr="00E42E01">
        <w:t>Assistant drafters working on Bills work closely with senior drafters (SES or Statutory Office holder</w:t>
      </w:r>
      <w:r>
        <w:t>s</w:t>
      </w:r>
      <w:r w:rsidRPr="00E42E01">
        <w:t>). The primary purpose of this arrangement is to develop the drafting skills of the assistant drafters, while allowing the assistant drafters to make a significant contrib</w:t>
      </w:r>
      <w:r w:rsidR="00DB5EF4">
        <w:t xml:space="preserve">ution to </w:t>
      </w:r>
      <w:proofErr w:type="spellStart"/>
      <w:r w:rsidR="00DB5EF4">
        <w:t>OPC’s</w:t>
      </w:r>
      <w:proofErr w:type="spellEnd"/>
      <w:r w:rsidR="00DB5EF4">
        <w:t xml:space="preserve"> drafting output.</w:t>
      </w:r>
    </w:p>
    <w:bookmarkEnd w:id="51"/>
    <w:p w:rsidR="00B27950" w:rsidRPr="00E42E01" w:rsidRDefault="00B27950" w:rsidP="00B27950">
      <w:pPr>
        <w:pStyle w:val="BodyNum"/>
      </w:pPr>
      <w:r w:rsidRPr="00E42E01">
        <w:t xml:space="preserve">Drafters working on instruments generally work in a team arrangement with about </w:t>
      </w:r>
      <w:r w:rsidR="0062250B">
        <w:t>2</w:t>
      </w:r>
      <w:r w:rsidRPr="00E42E01">
        <w:t xml:space="preserve"> assistant drafters and one SES drafter. On any particular instrument, there will generally be 2 drafters working together with one doing the principal drafting and the other checking or settling the work.</w:t>
      </w:r>
    </w:p>
    <w:p w:rsidR="00FF501A" w:rsidRPr="004007F5" w:rsidRDefault="00B27950" w:rsidP="00FF501A">
      <w:pPr>
        <w:pStyle w:val="BodyNum"/>
      </w:pPr>
      <w:r>
        <w:t xml:space="preserve">Legislative drafters have maintained and improved their drafting skills and knowledge through working in teams in a range of subject areas and through participating in various OPC professional development activities. See Chapter 4 (Management of human resources) for more details </w:t>
      </w:r>
      <w:r w:rsidRPr="004007F5">
        <w:t>about this.</w:t>
      </w:r>
      <w:bookmarkEnd w:id="50"/>
    </w:p>
    <w:p w:rsidR="00FF501A" w:rsidRDefault="00B27950" w:rsidP="0062250B">
      <w:pPr>
        <w:pStyle w:val="BodyNum"/>
      </w:pPr>
      <w:r w:rsidRPr="004007F5">
        <w:lastRenderedPageBreak/>
        <w:t xml:space="preserve">The Director of Drafter Training coordinates a </w:t>
      </w:r>
      <w:r>
        <w:t>program</w:t>
      </w:r>
      <w:r w:rsidRPr="004007F5">
        <w:t xml:space="preserve"> of formal training activities. A key component of this is the </w:t>
      </w:r>
      <w:r>
        <w:t>program</w:t>
      </w:r>
      <w:r w:rsidRPr="004007F5">
        <w:t xml:space="preserve"> of in-house seminars for drafters. The seminars cover emerging issues that drafters need to be aware of, as well as reminder sessions on topics that continue to be of relevance. The in-house seminars have been running for a number of years now and play an important role in the training and development of drafters.</w:t>
      </w:r>
    </w:p>
    <w:p w:rsidR="00B27950" w:rsidRPr="00BE3CFD" w:rsidRDefault="00B27950" w:rsidP="00BE3CFD">
      <w:pPr>
        <w:pStyle w:val="Head5"/>
      </w:pPr>
      <w:r w:rsidRPr="00BE3CFD">
        <w:t xml:space="preserve">Building instructor capability to enable efficient use of drafting resources and quality legislation </w:t>
      </w:r>
    </w:p>
    <w:p w:rsidR="0062250B" w:rsidRDefault="0062250B" w:rsidP="00B27950">
      <w:pPr>
        <w:pStyle w:val="BodyNum"/>
        <w:widowControl w:val="0"/>
      </w:pPr>
      <w:r>
        <w:t>During the year,</w:t>
      </w:r>
      <w:r w:rsidR="0057050A">
        <w:t xml:space="preserve"> 16 </w:t>
      </w:r>
      <w:r>
        <w:t xml:space="preserve">Legislation Process Courses were run with a total of </w:t>
      </w:r>
      <w:r w:rsidR="0057050A">
        <w:t>476</w:t>
      </w:r>
      <w:r w:rsidR="00E43C1F">
        <w:t xml:space="preserve"> </w:t>
      </w:r>
      <w:r>
        <w:t>participants.</w:t>
      </w:r>
    </w:p>
    <w:p w:rsidR="0062250B" w:rsidRDefault="0062250B" w:rsidP="0062250B">
      <w:pPr>
        <w:pStyle w:val="BodyNum"/>
        <w:widowControl w:val="0"/>
        <w:spacing w:before="120"/>
      </w:pPr>
      <w:r w:rsidRPr="00E42E01">
        <w:t xml:space="preserve">A total of </w:t>
      </w:r>
      <w:r w:rsidR="0057050A">
        <w:t>253</w:t>
      </w:r>
      <w:r w:rsidRPr="00E42E01">
        <w:t xml:space="preserve"> legislation process courses have been run since they </w:t>
      </w:r>
      <w:r>
        <w:t>began</w:t>
      </w:r>
      <w:r w:rsidRPr="00E42E01">
        <w:t xml:space="preserve"> in 1994.</w:t>
      </w:r>
    </w:p>
    <w:p w:rsidR="0062250B" w:rsidRDefault="0062250B" w:rsidP="0062250B">
      <w:pPr>
        <w:pStyle w:val="BodyNum"/>
        <w:widowControl w:val="0"/>
        <w:spacing w:before="120"/>
      </w:pPr>
      <w:r>
        <w:t>In addition, the election period was used to develop 3 new courses. These are an Advanced Legislation Process Course, a course on drafting basic instruments and a more adva</w:t>
      </w:r>
      <w:r w:rsidR="00C221DE">
        <w:t>nced instrument drafting course</w:t>
      </w:r>
      <w:r>
        <w:t>. It is envisaged that more courses, possibly in the form of masterclasses on specific topics</w:t>
      </w:r>
      <w:r w:rsidR="00C221DE">
        <w:t>,</w:t>
      </w:r>
      <w:r>
        <w:t xml:space="preserve"> will be developed.</w:t>
      </w:r>
    </w:p>
    <w:p w:rsidR="0057050A" w:rsidRDefault="0057050A" w:rsidP="0062250B">
      <w:pPr>
        <w:pStyle w:val="BodyNum"/>
        <w:widowControl w:val="0"/>
        <w:spacing w:before="120"/>
      </w:pPr>
      <w:r>
        <w:lastRenderedPageBreak/>
        <w:t>There were 4 Advanced Legislation Process Courses and 4 Simple Instrument training courses run with a total of 167 participants.</w:t>
      </w:r>
    </w:p>
    <w:p w:rsidR="0062250B" w:rsidRDefault="0062250B" w:rsidP="0062250B">
      <w:pPr>
        <w:pStyle w:val="BodyNum"/>
        <w:widowControl w:val="0"/>
        <w:spacing w:before="120"/>
      </w:pPr>
      <w:r>
        <w:t>OPC considers that running these courses is an important way that OPC can contribute to the improvement in the standard of instructing and instrument drafting.</w:t>
      </w:r>
    </w:p>
    <w:p w:rsidR="004E0CBC" w:rsidRDefault="004E0CBC" w:rsidP="00BE3CFD">
      <w:pPr>
        <w:pStyle w:val="Head4"/>
      </w:pPr>
      <w:r>
        <w:t>Standardisation and quality control of legislation</w:t>
      </w:r>
    </w:p>
    <w:p w:rsidR="00B27950" w:rsidRDefault="00B27950" w:rsidP="00BE3CFD">
      <w:pPr>
        <w:pStyle w:val="Head5"/>
        <w:rPr>
          <w:rStyle w:val="CharSubdText"/>
        </w:rPr>
      </w:pPr>
      <w:r>
        <w:rPr>
          <w:rStyle w:val="CharSubdText"/>
        </w:rPr>
        <w:t>Drafting standards and quality assurance</w:t>
      </w:r>
    </w:p>
    <w:p w:rsidR="00D50B61" w:rsidRDefault="00D50B61" w:rsidP="00B27950">
      <w:pPr>
        <w:pStyle w:val="BodyNum"/>
      </w:pPr>
      <w:r>
        <w:t>An important aspect of ensuring that drafting standards and conventions are applied consistently is the editorial checking and quality assurance processes.</w:t>
      </w:r>
    </w:p>
    <w:p w:rsidR="00B27950" w:rsidRDefault="00B27950" w:rsidP="00B27950">
      <w:pPr>
        <w:pStyle w:val="BodyNum"/>
      </w:pPr>
      <w:r>
        <w:t xml:space="preserve">Editorial checking ensured that drafting standards and conventions and the normal rules of grammar were applied consistently to all </w:t>
      </w:r>
      <w:r w:rsidRPr="005F065A">
        <w:t>Bills</w:t>
      </w:r>
      <w:r>
        <w:t xml:space="preserve"> and </w:t>
      </w:r>
      <w:proofErr w:type="spellStart"/>
      <w:r>
        <w:t>ExCo</w:t>
      </w:r>
      <w:proofErr w:type="spellEnd"/>
      <w:r>
        <w:t xml:space="preserve"> instruments. Editorial checking involves a range of automated checks (including spelling and grammar checking built into our word</w:t>
      </w:r>
      <w:r>
        <w:noBreakHyphen/>
        <w:t xml:space="preserve">processing software, and customised checks to identify such things as departures from </w:t>
      </w:r>
      <w:proofErr w:type="spellStart"/>
      <w:r>
        <w:t>OPC’s</w:t>
      </w:r>
      <w:proofErr w:type="spellEnd"/>
      <w:r>
        <w:t xml:space="preserve"> basic formatting requirements), </w:t>
      </w:r>
      <w:r w:rsidR="00C221DE">
        <w:t>as well as</w:t>
      </w:r>
      <w:r>
        <w:t xml:space="preserve"> manual checks by an editorial team. This manual checking detects errors of various kinds, including:</w:t>
      </w:r>
    </w:p>
    <w:p w:rsidR="00B27950" w:rsidRDefault="00B27950" w:rsidP="00B27950">
      <w:pPr>
        <w:pStyle w:val="AnnualReportBullet"/>
        <w:tabs>
          <w:tab w:val="left" w:pos="360"/>
        </w:tabs>
        <w:ind w:left="360" w:hanging="360"/>
      </w:pPr>
      <w:r>
        <w:rPr>
          <w:rFonts w:ascii="Symbol" w:hAnsi="Symbol"/>
        </w:rPr>
        <w:lastRenderedPageBreak/>
        <w:t></w:t>
      </w:r>
      <w:r>
        <w:rPr>
          <w:rFonts w:ascii="Symbol" w:hAnsi="Symbol"/>
        </w:rPr>
        <w:tab/>
      </w:r>
      <w:r>
        <w:t>words missing from sentences;</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inconsistencies of expression;</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punctuation errors;</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grammatical errors (e.g. inconsistencies of tense or lack of agreement between subject and verb);</w:t>
      </w:r>
    </w:p>
    <w:p w:rsidR="00B27950" w:rsidRDefault="00B27950" w:rsidP="00B27950">
      <w:pPr>
        <w:pStyle w:val="AnnualReportBullet"/>
        <w:tabs>
          <w:tab w:val="left" w:pos="360"/>
        </w:tabs>
        <w:ind w:left="360" w:hanging="360"/>
      </w:pPr>
      <w:r>
        <w:rPr>
          <w:rFonts w:ascii="Symbol" w:hAnsi="Symbol"/>
        </w:rPr>
        <w:t></w:t>
      </w:r>
      <w:r>
        <w:rPr>
          <w:rFonts w:ascii="Symbol" w:hAnsi="Symbol"/>
        </w:rPr>
        <w:tab/>
      </w:r>
      <w:r w:rsidR="00C221DE">
        <w:t>incorrect cross-</w:t>
      </w:r>
      <w:r>
        <w:t>references;</w:t>
      </w:r>
    </w:p>
    <w:p w:rsidR="00B27950" w:rsidRDefault="00B27950" w:rsidP="00B27950">
      <w:pPr>
        <w:pStyle w:val="AnnualReportBullet"/>
        <w:tabs>
          <w:tab w:val="left" w:pos="360"/>
        </w:tabs>
        <w:ind w:left="360" w:hanging="360"/>
      </w:pPr>
      <w:r>
        <w:rPr>
          <w:rFonts w:ascii="Symbol" w:hAnsi="Symbol"/>
        </w:rPr>
        <w:t></w:t>
      </w:r>
      <w:r>
        <w:rPr>
          <w:rFonts w:ascii="Symbol" w:hAnsi="Symbol"/>
        </w:rPr>
        <w:tab/>
      </w:r>
      <w:proofErr w:type="spellStart"/>
      <w:r>
        <w:t>misdescribed</w:t>
      </w:r>
      <w:proofErr w:type="spellEnd"/>
      <w:r>
        <w:t xml:space="preserve"> amendments; and</w:t>
      </w:r>
    </w:p>
    <w:p w:rsidR="00B27950" w:rsidRDefault="00B27950" w:rsidP="00B74C78">
      <w:pPr>
        <w:pStyle w:val="AnnualReportBullet"/>
        <w:tabs>
          <w:tab w:val="left" w:pos="360"/>
        </w:tabs>
        <w:ind w:left="360" w:hanging="360"/>
      </w:pPr>
      <w:r>
        <w:rPr>
          <w:rFonts w:ascii="Symbol" w:hAnsi="Symbol"/>
        </w:rPr>
        <w:t></w:t>
      </w:r>
      <w:r>
        <w:rPr>
          <w:rFonts w:ascii="Symbol" w:hAnsi="Symbol"/>
        </w:rPr>
        <w:tab/>
      </w:r>
      <w:r>
        <w:t>clashing amendments.</w:t>
      </w:r>
      <w:bookmarkStart w:id="52" w:name="_Ref79899795"/>
    </w:p>
    <w:p w:rsidR="00B27950" w:rsidRDefault="00B27950" w:rsidP="00B27950">
      <w:pPr>
        <w:pStyle w:val="BodyNum"/>
      </w:pPr>
      <w:r>
        <w:t>It should be noted that apart from such things as basic grammar, formatting requirements and standard amending forms, there are different drafting styles and some will be more or less appropriate than others for particular legislation. This means that while all OPC legislation should (and does) look basically the same, different legislation might make different use of aids such as outlines and notes, and use more or less technical or colloquial language, depending on such things as the subject matter of the legislation and its intended audience.</w:t>
      </w:r>
      <w:bookmarkEnd w:id="52"/>
    </w:p>
    <w:p w:rsidR="00B27950" w:rsidRDefault="00B27950" w:rsidP="00B27950">
      <w:pPr>
        <w:pStyle w:val="BodyNum"/>
      </w:pPr>
      <w:bookmarkStart w:id="53" w:name="_Ref79899609"/>
      <w:r>
        <w:t>OPC has a Drafting Manual that gives an overview of drafting matters and then refers the reader to particular Drafting Directions for greater detail.</w:t>
      </w:r>
    </w:p>
    <w:p w:rsidR="00B27950" w:rsidRDefault="00B27950" w:rsidP="00B27950">
      <w:pPr>
        <w:pStyle w:val="BodyNum"/>
      </w:pPr>
      <w:r>
        <w:lastRenderedPageBreak/>
        <w:t>The Drafting Directions are organised on a subject-matter basis. This arrangement makes the Drafting Directions easy to use.</w:t>
      </w:r>
    </w:p>
    <w:bookmarkEnd w:id="53"/>
    <w:p w:rsidR="00B27950" w:rsidRDefault="00B27950" w:rsidP="00B27950">
      <w:pPr>
        <w:pStyle w:val="BodyNum"/>
      </w:pPr>
      <w:r>
        <w:t xml:space="preserve">The Drafting Manual and all current Drafting Directions are available from the OPC Documents menu on </w:t>
      </w:r>
      <w:proofErr w:type="spellStart"/>
      <w:r>
        <w:t>OPC’s</w:t>
      </w:r>
      <w:proofErr w:type="spellEnd"/>
      <w:r>
        <w:t xml:space="preserve"> website: www.opc.gov.au.</w:t>
      </w:r>
    </w:p>
    <w:p w:rsidR="00B27950" w:rsidRDefault="00B27950" w:rsidP="00B27950">
      <w:pPr>
        <w:pStyle w:val="BodyNum"/>
      </w:pPr>
      <w:bookmarkStart w:id="54" w:name="_Ref79899848"/>
      <w:r>
        <w:t>Over the past few years, discussions have taken place amongst drafters on the desirability of even greater consistency in the drafting of provisions and ways in which such consistency could be achieved. This has led to a noticeable increase in consultation between drafting teams about the best drafting approach to adopt in particular cases.</w:t>
      </w:r>
      <w:bookmarkEnd w:id="54"/>
    </w:p>
    <w:p w:rsidR="00B27950" w:rsidRDefault="00B27950" w:rsidP="00B27950">
      <w:pPr>
        <w:pStyle w:val="BodyNum"/>
      </w:pPr>
      <w:r>
        <w:t>The compilations team within the Publications group has continued with significant work to move the format of compilations of Commonwealth legislation into a standard style. The compilations team also continues to provide an important quality control function for Commonwealth legislation.</w:t>
      </w:r>
    </w:p>
    <w:p w:rsidR="00B27950" w:rsidRDefault="00B27950" w:rsidP="00B27950">
      <w:pPr>
        <w:pStyle w:val="BodyNum"/>
      </w:pPr>
      <w:r>
        <w:t>OPC has regular meetings of drafters</w:t>
      </w:r>
      <w:r w:rsidR="00CA6A2D">
        <w:t>,</w:t>
      </w:r>
      <w:r>
        <w:t xml:space="preserve"> used to discuss drafting issues of general interest. The meetings have been very productive and have been the </w:t>
      </w:r>
      <w:r>
        <w:lastRenderedPageBreak/>
        <w:t>subject of positive feedback from drafters. OPC will continue to review the meetings to see how they can be improved.</w:t>
      </w:r>
    </w:p>
    <w:p w:rsidR="00AD3C9E" w:rsidRDefault="00AD3C9E" w:rsidP="00D3439E">
      <w:pPr>
        <w:pStyle w:val="Head5"/>
        <w:rPr>
          <w:rStyle w:val="CharSubdText"/>
        </w:rPr>
      </w:pPr>
      <w:r>
        <w:rPr>
          <w:rStyle w:val="CharSubdText"/>
        </w:rPr>
        <w:t>Maintenance of the statute book</w:t>
      </w:r>
    </w:p>
    <w:p w:rsidR="00AD3C9E" w:rsidRDefault="00AD3C9E" w:rsidP="00AD3C9E">
      <w:pPr>
        <w:pStyle w:val="BodyNum"/>
      </w:pPr>
      <w:r w:rsidRPr="0042777C">
        <w:t xml:space="preserve">OPC prepared amendments to correct a number of minor errors in Acts, most of which were identified by the Publications </w:t>
      </w:r>
      <w:r>
        <w:t>g</w:t>
      </w:r>
      <w:r w:rsidRPr="0042777C">
        <w:t>roup in the course of preparing compilations of Acts.</w:t>
      </w:r>
    </w:p>
    <w:p w:rsidR="00AD3C9E" w:rsidRDefault="00AD3C9E" w:rsidP="00AD3C9E">
      <w:pPr>
        <w:pStyle w:val="BodyNum"/>
      </w:pPr>
      <w:r>
        <w:t>Two</w:t>
      </w:r>
      <w:r w:rsidRPr="00475120">
        <w:t xml:space="preserve"> Statute Law Revision Bills were prepared in the financial year.</w:t>
      </w:r>
    </w:p>
    <w:p w:rsidR="00AD3C9E" w:rsidRDefault="00AD3C9E" w:rsidP="00AD3C9E">
      <w:pPr>
        <w:pStyle w:val="BodyNum"/>
      </w:pPr>
      <w:r>
        <w:t>The Statute Law Revision Bill (No. 2) 2016 had previously been prepared in 2015</w:t>
      </w:r>
      <w:r>
        <w:noBreakHyphen/>
        <w:t>2016, was introduced in the Autumn 2016 sittings, then lapsed. It was prepared for reintroduction, as the Statute Law Revision (Spring 2016) Bill 2016, in the Spring 2016 sittings and assented to on 20 October 2016. That Bill included amendments to:</w:t>
      </w:r>
    </w:p>
    <w:p w:rsidR="00AD3C9E" w:rsidRDefault="00AD3C9E" w:rsidP="00AD3C9E">
      <w:pPr>
        <w:pStyle w:val="AnnualReportBullet"/>
        <w:tabs>
          <w:tab w:val="left" w:pos="360"/>
        </w:tabs>
        <w:ind w:left="360" w:hanging="360"/>
      </w:pPr>
      <w:r>
        <w:t>•</w:t>
      </w:r>
      <w:r>
        <w:tab/>
        <w:t xml:space="preserve">reduce the need for reliance on substituted reference orders under sections 19B and 19BA of the </w:t>
      </w:r>
      <w:r w:rsidRPr="00F176FD">
        <w:rPr>
          <w:i/>
        </w:rPr>
        <w:t>Acts Interpretation Act 1901</w:t>
      </w:r>
      <w:r>
        <w:t xml:space="preserve">, and the need for such orders to be made in the future by inserting generic references </w:t>
      </w:r>
      <w:r>
        <w:lastRenderedPageBreak/>
        <w:t>to Ministers and Departments in Commonwealth Acts; and</w:t>
      </w:r>
    </w:p>
    <w:p w:rsidR="00AD3C9E" w:rsidRDefault="00AD3C9E" w:rsidP="00AD3C9E">
      <w:pPr>
        <w:pStyle w:val="AnnualReportBullet"/>
        <w:tabs>
          <w:tab w:val="left" w:pos="360"/>
        </w:tabs>
        <w:ind w:left="360" w:hanging="360"/>
      </w:pPr>
      <w:r>
        <w:t>•</w:t>
      </w:r>
      <w:r>
        <w:tab/>
      </w:r>
      <w:r w:rsidRPr="00C10DBE">
        <w:t xml:space="preserve">repeal spent and obsolete provisions and Acts, </w:t>
      </w:r>
      <w:r>
        <w:t>to</w:t>
      </w:r>
      <w:r w:rsidRPr="00C10DBE">
        <w:t xml:space="preserve"> result in the repeal of approximately 27 pages of spent and obsolete provisions, including one Act.</w:t>
      </w:r>
    </w:p>
    <w:p w:rsidR="00AD3C9E" w:rsidRDefault="00AD3C9E" w:rsidP="00AD3C9E">
      <w:pPr>
        <w:pStyle w:val="BodyNum"/>
      </w:pPr>
      <w:r>
        <w:t>The Statute Law Revision Bill 2016 was prepared in 2016</w:t>
      </w:r>
      <w:r>
        <w:noBreakHyphen/>
        <w:t>2017. It was the privilege Bill for the opening of the 45th Parliament.</w:t>
      </w:r>
    </w:p>
    <w:p w:rsidR="00AD3C9E" w:rsidRDefault="00AD3C9E" w:rsidP="00AD3C9E">
      <w:pPr>
        <w:pStyle w:val="BodyNum"/>
      </w:pPr>
      <w:r>
        <w:t>Three general Statute Update Bills (which are now used to update the statute book and repeal spent Acts) were prepared in the financial year.</w:t>
      </w:r>
    </w:p>
    <w:p w:rsidR="00AD3C9E" w:rsidRDefault="00AD3C9E" w:rsidP="00AD3C9E">
      <w:pPr>
        <w:pStyle w:val="BodyNum"/>
      </w:pPr>
      <w:r>
        <w:t>The Statute Update Bill 2016 had previously been prepared in 2015</w:t>
      </w:r>
      <w:r>
        <w:noBreakHyphen/>
        <w:t>2016, was introduced in the Autumn 2016 sittings, then lapsed. It was prepared for reintroduction, with the same short title, in the Spring 2016 sittings and assented to on 23 September 2016. That Bill included amendments to:</w:t>
      </w:r>
    </w:p>
    <w:p w:rsidR="00AD3C9E" w:rsidRDefault="00AD3C9E" w:rsidP="00AD3C9E">
      <w:pPr>
        <w:pStyle w:val="AnnualReportBullet"/>
        <w:tabs>
          <w:tab w:val="left" w:pos="360"/>
        </w:tabs>
        <w:ind w:left="360" w:hanging="360"/>
      </w:pPr>
      <w:r>
        <w:t>•</w:t>
      </w:r>
      <w:r>
        <w:tab/>
        <w:t>update references to penalties expressed as a number of dollars with penalties expressed as a number of penalty units;</w:t>
      </w:r>
    </w:p>
    <w:p w:rsidR="00AD3C9E" w:rsidRDefault="00AD3C9E" w:rsidP="00AD3C9E">
      <w:pPr>
        <w:pStyle w:val="AnnualReportBullet"/>
        <w:tabs>
          <w:tab w:val="left" w:pos="360"/>
        </w:tabs>
        <w:ind w:left="360" w:hanging="360"/>
      </w:pPr>
      <w:r>
        <w:t>•</w:t>
      </w:r>
      <w:r>
        <w:tab/>
        <w:t>replace references to “maximum penalty” with “penalty”;</w:t>
      </w:r>
    </w:p>
    <w:p w:rsidR="00AD3C9E" w:rsidRDefault="00AD3C9E" w:rsidP="00AD3C9E">
      <w:pPr>
        <w:pStyle w:val="AnnualReportBullet"/>
        <w:tabs>
          <w:tab w:val="left" w:pos="360"/>
        </w:tabs>
        <w:ind w:left="360" w:hanging="360"/>
      </w:pPr>
      <w:r>
        <w:lastRenderedPageBreak/>
        <w:t>•</w:t>
      </w:r>
      <w:r>
        <w:tab/>
        <w:t>amend provisions that deal with the evidentiary status of a certificate or other instrument, or of a register, to provide that it is prima facie evidence of the matters stated in it; and</w:t>
      </w:r>
    </w:p>
    <w:p w:rsidR="00AD3C9E" w:rsidRDefault="00AD3C9E" w:rsidP="00AD3C9E">
      <w:pPr>
        <w:pStyle w:val="AnnualReportBullet"/>
        <w:tabs>
          <w:tab w:val="left" w:pos="360"/>
        </w:tabs>
        <w:ind w:left="360" w:hanging="360"/>
      </w:pPr>
      <w:r>
        <w:t>•</w:t>
      </w:r>
      <w:r>
        <w:tab/>
        <w:t xml:space="preserve">update references to aircraft registered in accordance with the </w:t>
      </w:r>
      <w:r w:rsidRPr="007E5243">
        <w:rPr>
          <w:i/>
        </w:rPr>
        <w:t>Civil Aviation Regulations 1988</w:t>
      </w:r>
      <w:r>
        <w:t>.</w:t>
      </w:r>
    </w:p>
    <w:p w:rsidR="00AD3C9E" w:rsidRDefault="00AD3C9E" w:rsidP="00AD3C9E">
      <w:pPr>
        <w:pStyle w:val="BodyNum"/>
      </w:pPr>
      <w:r>
        <w:t>The Statute Update (A.C.T. Self</w:t>
      </w:r>
      <w:r>
        <w:noBreakHyphen/>
        <w:t>Government (Consequential Provisions) Regulations) Bill 2016 was introduced in the Spring 2016 sittings and assented to on 22 February 2017. That Bill made</w:t>
      </w:r>
      <w:r w:rsidRPr="009A5D92">
        <w:t xml:space="preserve"> minor technical amendments to 18 Acts across nine portfolios to incorporate previously unincorporated modifications made by the </w:t>
      </w:r>
      <w:r w:rsidRPr="009A5D92">
        <w:rPr>
          <w:i/>
        </w:rPr>
        <w:t>A.C.T. Self</w:t>
      </w:r>
      <w:r>
        <w:rPr>
          <w:i/>
        </w:rPr>
        <w:noBreakHyphen/>
      </w:r>
      <w:r w:rsidRPr="009A5D92">
        <w:rPr>
          <w:i/>
        </w:rPr>
        <w:t>Government (Consequential Provisions) Regulations</w:t>
      </w:r>
      <w:r>
        <w:t xml:space="preserve"> and repeal Schedule 1 to those Regulations.</w:t>
      </w:r>
    </w:p>
    <w:p w:rsidR="00AD3C9E" w:rsidRDefault="00AD3C9E" w:rsidP="00AD3C9E">
      <w:pPr>
        <w:pStyle w:val="BodyNum"/>
      </w:pPr>
      <w:r>
        <w:t>The Statute Update (Winter 2017) Bill 2017 was introduced in the Winter 2017 sittings. That Bill includes amendments to:</w:t>
      </w:r>
    </w:p>
    <w:p w:rsidR="00AD3C9E" w:rsidRDefault="00AD3C9E" w:rsidP="00AD3C9E">
      <w:pPr>
        <w:pStyle w:val="AnnualReportBullet"/>
        <w:tabs>
          <w:tab w:val="left" w:pos="360"/>
        </w:tabs>
        <w:ind w:left="360" w:hanging="360"/>
      </w:pPr>
      <w:r>
        <w:t>•</w:t>
      </w:r>
      <w:r>
        <w:tab/>
        <w:t xml:space="preserve">amend Acts so that their text reflects the legal effect that key provisions of the </w:t>
      </w:r>
      <w:r w:rsidRPr="009A5D92">
        <w:rPr>
          <w:i/>
        </w:rPr>
        <w:t>Acts and Instruments (Framework Reform) Act 2015</w:t>
      </w:r>
      <w:r>
        <w:t xml:space="preserve"> and section 10 of the </w:t>
      </w:r>
      <w:r w:rsidRPr="009A5D92">
        <w:rPr>
          <w:i/>
        </w:rPr>
        <w:t>Acts Interpretation Act 1901</w:t>
      </w:r>
      <w:r>
        <w:t xml:space="preserve"> currently have; and</w:t>
      </w:r>
    </w:p>
    <w:p w:rsidR="00AD3C9E" w:rsidRDefault="00AD3C9E" w:rsidP="00AD3C9E">
      <w:pPr>
        <w:pStyle w:val="AnnualReportBullet"/>
        <w:tabs>
          <w:tab w:val="left" w:pos="360"/>
        </w:tabs>
        <w:ind w:left="360" w:hanging="360"/>
      </w:pPr>
      <w:r>
        <w:lastRenderedPageBreak/>
        <w:t>•</w:t>
      </w:r>
      <w:r>
        <w:tab/>
        <w:t>repeal spent and obsolete provisions and Acts (which will result in the repeal of approximately 46 pages of spent and obsolete provisions); and</w:t>
      </w:r>
    </w:p>
    <w:p w:rsidR="00AD3C9E" w:rsidRDefault="00AD3C9E" w:rsidP="00AD3C9E">
      <w:pPr>
        <w:pStyle w:val="AnnualReportBullet"/>
        <w:tabs>
          <w:tab w:val="left" w:pos="360"/>
        </w:tabs>
        <w:ind w:left="360" w:hanging="360"/>
      </w:pPr>
      <w:r>
        <w:t>•</w:t>
      </w:r>
      <w:r>
        <w:tab/>
        <w:t>modernise language and make other technical amendments in certain legislation.</w:t>
      </w:r>
    </w:p>
    <w:p w:rsidR="00AD3C9E" w:rsidRPr="008B7F83" w:rsidRDefault="00AD3C9E" w:rsidP="00AD3C9E">
      <w:pPr>
        <w:pStyle w:val="BodyNum"/>
        <w:rPr>
          <w:rFonts w:eastAsiaTheme="minorHAnsi"/>
        </w:rPr>
      </w:pPr>
      <w:r>
        <w:rPr>
          <w:rFonts w:eastAsiaTheme="minorHAnsi"/>
        </w:rPr>
        <w:t>Over 2016</w:t>
      </w:r>
      <w:r>
        <w:rPr>
          <w:rFonts w:eastAsiaTheme="minorHAnsi"/>
        </w:rPr>
        <w:noBreakHyphen/>
        <w:t>2017</w:t>
      </w:r>
      <w:r w:rsidRPr="0042777C">
        <w:rPr>
          <w:rFonts w:eastAsiaTheme="minorHAnsi"/>
        </w:rPr>
        <w:t>, OPC continu</w:t>
      </w:r>
      <w:r>
        <w:rPr>
          <w:rFonts w:eastAsiaTheme="minorHAnsi"/>
        </w:rPr>
        <w:t xml:space="preserve">ed to </w:t>
      </w:r>
      <w:r w:rsidRPr="0042777C">
        <w:rPr>
          <w:rFonts w:eastAsiaTheme="minorHAnsi"/>
        </w:rPr>
        <w:t xml:space="preserve">work </w:t>
      </w:r>
      <w:r>
        <w:rPr>
          <w:rFonts w:eastAsiaTheme="minorHAnsi"/>
        </w:rPr>
        <w:t>with the Attorney</w:t>
      </w:r>
      <w:r>
        <w:rPr>
          <w:rFonts w:eastAsiaTheme="minorHAnsi"/>
        </w:rPr>
        <w:noBreakHyphen/>
        <w:t xml:space="preserve">General’s Department </w:t>
      </w:r>
      <w:r w:rsidRPr="007457C4">
        <w:rPr>
          <w:rFonts w:eastAsiaTheme="minorHAnsi"/>
        </w:rPr>
        <w:t>to identify redundant</w:t>
      </w:r>
      <w:r>
        <w:rPr>
          <w:rFonts w:eastAsiaTheme="minorHAnsi"/>
        </w:rPr>
        <w:t xml:space="preserve"> legislation, including</w:t>
      </w:r>
      <w:r w:rsidRPr="007457C4">
        <w:rPr>
          <w:rFonts w:eastAsiaTheme="minorHAnsi"/>
        </w:rPr>
        <w:t xml:space="preserve"> legislative instruments </w:t>
      </w:r>
      <w:r>
        <w:rPr>
          <w:rFonts w:eastAsiaTheme="minorHAnsi"/>
        </w:rPr>
        <w:t>with the aim of</w:t>
      </w:r>
      <w:r w:rsidRPr="007457C4">
        <w:rPr>
          <w:rFonts w:eastAsiaTheme="minorHAnsi"/>
        </w:rPr>
        <w:t xml:space="preserve"> </w:t>
      </w:r>
      <w:r>
        <w:rPr>
          <w:rFonts w:eastAsiaTheme="minorHAnsi"/>
        </w:rPr>
        <w:t xml:space="preserve">providing for the </w:t>
      </w:r>
      <w:r w:rsidRPr="007457C4">
        <w:rPr>
          <w:rFonts w:eastAsiaTheme="minorHAnsi"/>
        </w:rPr>
        <w:t xml:space="preserve">repeal </w:t>
      </w:r>
      <w:r>
        <w:rPr>
          <w:rFonts w:eastAsiaTheme="minorHAnsi"/>
        </w:rPr>
        <w:t xml:space="preserve">of those instruments </w:t>
      </w:r>
      <w:r w:rsidRPr="007457C4">
        <w:rPr>
          <w:rFonts w:eastAsiaTheme="minorHAnsi"/>
        </w:rPr>
        <w:t xml:space="preserve">in bulk. This work has enabled the repeal of </w:t>
      </w:r>
      <w:r>
        <w:rPr>
          <w:rFonts w:eastAsiaTheme="minorHAnsi"/>
        </w:rPr>
        <w:t>approximately</w:t>
      </w:r>
      <w:r w:rsidRPr="007457C4">
        <w:rPr>
          <w:rFonts w:eastAsiaTheme="minorHAnsi"/>
        </w:rPr>
        <w:t xml:space="preserve"> </w:t>
      </w:r>
      <w:r>
        <w:rPr>
          <w:rFonts w:eastAsiaTheme="minorHAnsi"/>
        </w:rPr>
        <w:t>18,000</w:t>
      </w:r>
      <w:r w:rsidRPr="00A23580">
        <w:rPr>
          <w:rFonts w:eastAsiaTheme="minorHAnsi"/>
          <w:color w:val="4F81BD" w:themeColor="accent1"/>
        </w:rPr>
        <w:t xml:space="preserve"> </w:t>
      </w:r>
      <w:r w:rsidRPr="007457C4">
        <w:rPr>
          <w:rFonts w:eastAsiaTheme="minorHAnsi"/>
        </w:rPr>
        <w:t xml:space="preserve">instruments since legislation to enable bulk repeals was enacted </w:t>
      </w:r>
      <w:r>
        <w:rPr>
          <w:rFonts w:eastAsiaTheme="minorHAnsi"/>
        </w:rPr>
        <w:t>in the Legislation Act</w:t>
      </w:r>
      <w:r w:rsidRPr="007457C4">
        <w:rPr>
          <w:rFonts w:eastAsiaTheme="minorHAnsi"/>
        </w:rPr>
        <w:t xml:space="preserve"> in </w:t>
      </w:r>
      <w:r>
        <w:rPr>
          <w:rFonts w:eastAsiaTheme="minorHAnsi"/>
        </w:rPr>
        <w:t>late 2012.</w:t>
      </w:r>
    </w:p>
    <w:p w:rsidR="00AD3C9E" w:rsidRPr="00AD3C9E" w:rsidRDefault="00AD3C9E" w:rsidP="00D3439E">
      <w:pPr>
        <w:pStyle w:val="Head5"/>
        <w:rPr>
          <w:rStyle w:val="CharSubdText"/>
        </w:rPr>
      </w:pPr>
      <w:r w:rsidRPr="00AD3C9E">
        <w:rPr>
          <w:rStyle w:val="CharSubdText"/>
        </w:rPr>
        <w:t>Editorial changes</w:t>
      </w:r>
    </w:p>
    <w:p w:rsidR="004E2734" w:rsidRPr="00E93E46" w:rsidRDefault="004E2734" w:rsidP="004E2734">
      <w:pPr>
        <w:pStyle w:val="BodyNum"/>
        <w:rPr>
          <w:rFonts w:eastAsiaTheme="minorHAnsi"/>
        </w:rPr>
      </w:pPr>
      <w:r w:rsidRPr="00E93E46">
        <w:rPr>
          <w:rFonts w:eastAsiaTheme="minorHAnsi"/>
        </w:rPr>
        <w:t xml:space="preserve">Under Division 3 (Editorial changes and other changes) </w:t>
      </w:r>
      <w:r w:rsidR="00872462">
        <w:rPr>
          <w:rFonts w:eastAsiaTheme="minorHAnsi"/>
        </w:rPr>
        <w:t>of Part 2 of Chapter 2</w:t>
      </w:r>
      <w:r w:rsidRPr="00E93E46">
        <w:rPr>
          <w:rFonts w:eastAsiaTheme="minorHAnsi"/>
        </w:rPr>
        <w:t xml:space="preserve"> of the</w:t>
      </w:r>
      <w:r w:rsidR="00872462">
        <w:rPr>
          <w:rFonts w:eastAsiaTheme="minorHAnsi"/>
        </w:rPr>
        <w:t xml:space="preserve"> Legislation Act</w:t>
      </w:r>
      <w:r w:rsidRPr="00E93E46">
        <w:rPr>
          <w:rFonts w:eastAsiaTheme="minorHAnsi"/>
        </w:rPr>
        <w:t>, F</w:t>
      </w:r>
      <w:r w:rsidR="000C61BE">
        <w:rPr>
          <w:rFonts w:eastAsiaTheme="minorHAnsi"/>
        </w:rPr>
        <w:t xml:space="preserve">irst </w:t>
      </w:r>
      <w:r w:rsidRPr="00E93E46">
        <w:rPr>
          <w:rFonts w:eastAsiaTheme="minorHAnsi"/>
        </w:rPr>
        <w:t>P</w:t>
      </w:r>
      <w:r w:rsidR="000C61BE">
        <w:rPr>
          <w:rFonts w:eastAsiaTheme="minorHAnsi"/>
        </w:rPr>
        <w:t xml:space="preserve">arliamentary </w:t>
      </w:r>
      <w:r w:rsidRPr="00E93E46">
        <w:rPr>
          <w:rFonts w:eastAsiaTheme="minorHAnsi"/>
        </w:rPr>
        <w:t>C</w:t>
      </w:r>
      <w:r w:rsidR="000C61BE">
        <w:rPr>
          <w:rFonts w:eastAsiaTheme="minorHAnsi"/>
        </w:rPr>
        <w:t>ounsel</w:t>
      </w:r>
      <w:r w:rsidRPr="00E93E46">
        <w:rPr>
          <w:rFonts w:eastAsiaTheme="minorHAnsi"/>
        </w:rPr>
        <w:t xml:space="preserve"> may make minor editorial changes to an Act or instrument, to correct an error, give effect to a </w:t>
      </w:r>
      <w:proofErr w:type="spellStart"/>
      <w:r w:rsidRPr="00E93E46">
        <w:rPr>
          <w:rFonts w:eastAsiaTheme="minorHAnsi"/>
        </w:rPr>
        <w:t>misdescribed</w:t>
      </w:r>
      <w:proofErr w:type="spellEnd"/>
      <w:r w:rsidRPr="00E93E46">
        <w:rPr>
          <w:rFonts w:eastAsiaTheme="minorHAnsi"/>
        </w:rPr>
        <w:t xml:space="preserve"> amendment, or bring the Act or instrument into line with legislative drafting practice. These changes must not alter the effect of the legislation.</w:t>
      </w:r>
    </w:p>
    <w:p w:rsidR="004E2734" w:rsidRDefault="004E2734" w:rsidP="004E2734">
      <w:pPr>
        <w:pStyle w:val="BodyNum"/>
        <w:rPr>
          <w:rFonts w:eastAsiaTheme="minorHAnsi"/>
        </w:rPr>
      </w:pPr>
      <w:r>
        <w:rPr>
          <w:rFonts w:eastAsiaTheme="minorHAnsi"/>
        </w:rPr>
        <w:lastRenderedPageBreak/>
        <w:t>These changes are intended to reduce the time needed for parliamentary consideration of these matters and ensure that readers of legislation can better access the law as in effect in the Act or instrument.</w:t>
      </w:r>
    </w:p>
    <w:p w:rsidR="00873ADA" w:rsidRPr="00111AD7" w:rsidRDefault="00560D48" w:rsidP="00873ADA">
      <w:pPr>
        <w:pStyle w:val="BodyNum"/>
      </w:pPr>
      <w:r>
        <w:rPr>
          <w:rFonts w:eastAsiaTheme="minorHAnsi"/>
        </w:rPr>
        <w:t>During</w:t>
      </w:r>
      <w:r w:rsidR="00495C3E">
        <w:rPr>
          <w:rFonts w:eastAsiaTheme="minorHAnsi"/>
        </w:rPr>
        <w:t xml:space="preserve"> 2016-2017</w:t>
      </w:r>
      <w:r w:rsidR="004E2734">
        <w:rPr>
          <w:rFonts w:eastAsiaTheme="minorHAnsi"/>
        </w:rPr>
        <w:t>, F</w:t>
      </w:r>
      <w:r w:rsidR="000C61BE">
        <w:rPr>
          <w:rFonts w:eastAsiaTheme="minorHAnsi"/>
        </w:rPr>
        <w:t xml:space="preserve">irst </w:t>
      </w:r>
      <w:r w:rsidR="004E2734">
        <w:rPr>
          <w:rFonts w:eastAsiaTheme="minorHAnsi"/>
        </w:rPr>
        <w:t>P</w:t>
      </w:r>
      <w:r w:rsidR="000C61BE">
        <w:rPr>
          <w:rFonts w:eastAsiaTheme="minorHAnsi"/>
        </w:rPr>
        <w:t xml:space="preserve">arliamentary </w:t>
      </w:r>
      <w:r w:rsidR="004E2734">
        <w:rPr>
          <w:rFonts w:eastAsiaTheme="minorHAnsi"/>
        </w:rPr>
        <w:t>C</w:t>
      </w:r>
      <w:r w:rsidR="000C61BE">
        <w:rPr>
          <w:rFonts w:eastAsiaTheme="minorHAnsi"/>
        </w:rPr>
        <w:t>ounsel</w:t>
      </w:r>
      <w:r w:rsidR="004E2734">
        <w:rPr>
          <w:rFonts w:eastAsiaTheme="minorHAnsi"/>
        </w:rPr>
        <w:t xml:space="preserve"> exercised this power in </w:t>
      </w:r>
      <w:r w:rsidR="00495C3E">
        <w:rPr>
          <w:rFonts w:eastAsiaTheme="minorHAnsi"/>
        </w:rPr>
        <w:t>88</w:t>
      </w:r>
      <w:r w:rsidR="004E2734">
        <w:rPr>
          <w:rFonts w:eastAsiaTheme="minorHAnsi"/>
        </w:rPr>
        <w:t xml:space="preserve"> compilations. </w:t>
      </w:r>
      <w:r w:rsidR="00873ADA">
        <w:rPr>
          <w:rFonts w:eastAsiaTheme="minorHAnsi"/>
        </w:rPr>
        <w:t xml:space="preserve">A summary of the kinds of editorial changes made for the </w:t>
      </w:r>
      <w:r w:rsidR="00495C3E">
        <w:rPr>
          <w:rFonts w:eastAsiaTheme="minorHAnsi"/>
        </w:rPr>
        <w:t>88</w:t>
      </w:r>
      <w:r w:rsidR="00873ADA">
        <w:rPr>
          <w:rFonts w:eastAsiaTheme="minorHAnsi"/>
        </w:rPr>
        <w:t xml:space="preserve"> compilations is as follows</w:t>
      </w:r>
      <w:r w:rsidR="00873ADA" w:rsidRPr="00111AD7">
        <w:t>:</w:t>
      </w:r>
    </w:p>
    <w:p w:rsidR="00873ADA" w:rsidRPr="001F4B60" w:rsidRDefault="00873ADA" w:rsidP="00873ADA">
      <w:pPr>
        <w:pStyle w:val="Tabletext"/>
        <w:spacing w:before="0" w:line="240" w:lineRule="auto"/>
      </w:pPr>
    </w:p>
    <w:tbl>
      <w:tblPr>
        <w:tblW w:w="0" w:type="auto"/>
        <w:tblInd w:w="108" w:type="dxa"/>
        <w:tblLayout w:type="fixed"/>
        <w:tblLook w:val="0000" w:firstRow="0" w:lastRow="0" w:firstColumn="0" w:lastColumn="0" w:noHBand="0" w:noVBand="0"/>
      </w:tblPr>
      <w:tblGrid>
        <w:gridCol w:w="545"/>
        <w:gridCol w:w="1931"/>
        <w:gridCol w:w="821"/>
      </w:tblGrid>
      <w:tr w:rsidR="00873ADA" w:rsidRPr="00D247EE" w:rsidTr="00294E26">
        <w:trPr>
          <w:trHeight w:val="693"/>
          <w:tblHeader/>
        </w:trPr>
        <w:tc>
          <w:tcPr>
            <w:tcW w:w="545" w:type="dxa"/>
            <w:tcBorders>
              <w:top w:val="single" w:sz="12" w:space="0" w:color="auto"/>
            </w:tcBorders>
            <w:shd w:val="clear" w:color="auto" w:fill="auto"/>
            <w:vAlign w:val="center"/>
          </w:tcPr>
          <w:p w:rsidR="00873ADA" w:rsidRPr="00D247EE" w:rsidRDefault="000E6E29" w:rsidP="00294E26">
            <w:pPr>
              <w:pStyle w:val="Tabletext"/>
              <w:keepNext/>
              <w:spacing w:line="120" w:lineRule="atLeast"/>
              <w:rPr>
                <w:b/>
                <w:sz w:val="16"/>
                <w:szCs w:val="16"/>
              </w:rPr>
            </w:pPr>
            <w:r>
              <w:rPr>
                <w:b/>
                <w:sz w:val="16"/>
                <w:szCs w:val="16"/>
              </w:rPr>
              <w:t>Item</w:t>
            </w:r>
          </w:p>
        </w:tc>
        <w:tc>
          <w:tcPr>
            <w:tcW w:w="1931" w:type="dxa"/>
            <w:tcBorders>
              <w:top w:val="single" w:sz="12" w:space="0" w:color="auto"/>
            </w:tcBorders>
            <w:shd w:val="clear" w:color="auto" w:fill="auto"/>
          </w:tcPr>
          <w:p w:rsidR="00873ADA" w:rsidRPr="00D247EE" w:rsidRDefault="00873ADA" w:rsidP="000C61BE">
            <w:pPr>
              <w:pStyle w:val="Tabletext"/>
              <w:keepNext/>
              <w:rPr>
                <w:b/>
                <w:sz w:val="16"/>
                <w:szCs w:val="16"/>
              </w:rPr>
            </w:pPr>
            <w:r>
              <w:rPr>
                <w:b/>
                <w:sz w:val="16"/>
                <w:szCs w:val="16"/>
              </w:rPr>
              <w:t>Kind of editorial change</w:t>
            </w:r>
          </w:p>
        </w:tc>
        <w:tc>
          <w:tcPr>
            <w:tcW w:w="821" w:type="dxa"/>
            <w:tcBorders>
              <w:top w:val="single" w:sz="12" w:space="0" w:color="auto"/>
            </w:tcBorders>
            <w:shd w:val="clear" w:color="auto" w:fill="auto"/>
            <w:vAlign w:val="center"/>
          </w:tcPr>
          <w:p w:rsidR="00873ADA" w:rsidRPr="00D247EE" w:rsidRDefault="000E6E29" w:rsidP="00294E26">
            <w:pPr>
              <w:pStyle w:val="Tabletext"/>
              <w:keepNext/>
              <w:rPr>
                <w:b/>
                <w:sz w:val="16"/>
                <w:szCs w:val="16"/>
              </w:rPr>
            </w:pPr>
            <w:r>
              <w:rPr>
                <w:b/>
                <w:sz w:val="16"/>
                <w:szCs w:val="16"/>
              </w:rPr>
              <w:t>Number</w:t>
            </w:r>
          </w:p>
        </w:tc>
      </w:tr>
      <w:tr w:rsidR="00873ADA" w:rsidRPr="00D247EE" w:rsidTr="00662267">
        <w:trPr>
          <w:trHeight w:val="363"/>
        </w:trPr>
        <w:tc>
          <w:tcPr>
            <w:tcW w:w="545" w:type="dxa"/>
            <w:tcBorders>
              <w:top w:val="single" w:sz="12" w:space="0" w:color="auto"/>
              <w:bottom w:val="single" w:sz="2" w:space="0" w:color="auto"/>
            </w:tcBorders>
            <w:shd w:val="clear" w:color="auto" w:fill="auto"/>
          </w:tcPr>
          <w:p w:rsidR="00873ADA" w:rsidRPr="00D247EE" w:rsidRDefault="00873ADA" w:rsidP="00727098">
            <w:pPr>
              <w:pStyle w:val="Tabletext"/>
              <w:rPr>
                <w:sz w:val="16"/>
                <w:szCs w:val="16"/>
              </w:rPr>
            </w:pPr>
            <w:r w:rsidRPr="00D247EE">
              <w:rPr>
                <w:sz w:val="16"/>
                <w:szCs w:val="16"/>
              </w:rPr>
              <w:t>1</w:t>
            </w:r>
          </w:p>
        </w:tc>
        <w:tc>
          <w:tcPr>
            <w:tcW w:w="1931" w:type="dxa"/>
            <w:tcBorders>
              <w:top w:val="single" w:sz="12" w:space="0" w:color="auto"/>
              <w:bottom w:val="single" w:sz="2" w:space="0" w:color="auto"/>
            </w:tcBorders>
            <w:shd w:val="clear" w:color="auto" w:fill="auto"/>
          </w:tcPr>
          <w:p w:rsidR="00873ADA" w:rsidRPr="00D247EE" w:rsidRDefault="000E6E29" w:rsidP="00727098">
            <w:pPr>
              <w:pStyle w:val="Tabletext"/>
              <w:rPr>
                <w:sz w:val="16"/>
                <w:szCs w:val="16"/>
              </w:rPr>
            </w:pPr>
            <w:r>
              <w:rPr>
                <w:sz w:val="16"/>
                <w:szCs w:val="16"/>
              </w:rPr>
              <w:t>Change to typeface</w:t>
            </w:r>
          </w:p>
        </w:tc>
        <w:tc>
          <w:tcPr>
            <w:tcW w:w="821" w:type="dxa"/>
            <w:tcBorders>
              <w:top w:val="single" w:sz="12" w:space="0" w:color="auto"/>
              <w:bottom w:val="single" w:sz="2" w:space="0" w:color="auto"/>
            </w:tcBorders>
            <w:shd w:val="clear" w:color="auto" w:fill="auto"/>
          </w:tcPr>
          <w:p w:rsidR="00873ADA" w:rsidRPr="00CF1970" w:rsidRDefault="00495C3E" w:rsidP="000E6E29">
            <w:pPr>
              <w:pStyle w:val="Tabletext"/>
              <w:jc w:val="center"/>
              <w:rPr>
                <w:sz w:val="16"/>
                <w:szCs w:val="16"/>
                <w:highlight w:val="yellow"/>
              </w:rPr>
            </w:pPr>
            <w:r w:rsidRPr="00495C3E">
              <w:rPr>
                <w:sz w:val="16"/>
                <w:szCs w:val="16"/>
              </w:rPr>
              <w:t>20</w:t>
            </w:r>
          </w:p>
        </w:tc>
      </w:tr>
      <w:tr w:rsidR="000E6E29" w:rsidRPr="00D247EE" w:rsidTr="00662267">
        <w:tc>
          <w:tcPr>
            <w:tcW w:w="545"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sidRPr="00D247EE">
              <w:rPr>
                <w:sz w:val="16"/>
                <w:szCs w:val="16"/>
              </w:rPr>
              <w:t>2</w:t>
            </w:r>
          </w:p>
        </w:tc>
        <w:tc>
          <w:tcPr>
            <w:tcW w:w="1931" w:type="dxa"/>
            <w:tcBorders>
              <w:top w:val="single" w:sz="2" w:space="0" w:color="auto"/>
              <w:bottom w:val="single" w:sz="2" w:space="0" w:color="auto"/>
            </w:tcBorders>
            <w:shd w:val="clear" w:color="auto" w:fill="auto"/>
          </w:tcPr>
          <w:p w:rsidR="000E6E29" w:rsidRPr="00D247EE" w:rsidRDefault="00495C3E" w:rsidP="00727098">
            <w:pPr>
              <w:pStyle w:val="Tabletext"/>
              <w:rPr>
                <w:sz w:val="16"/>
                <w:szCs w:val="16"/>
              </w:rPr>
            </w:pPr>
            <w:r>
              <w:rPr>
                <w:sz w:val="16"/>
                <w:szCs w:val="16"/>
              </w:rPr>
              <w:t>Change to grammar, syntax or the use of conjunctives or disjunctives</w:t>
            </w:r>
          </w:p>
        </w:tc>
        <w:tc>
          <w:tcPr>
            <w:tcW w:w="821" w:type="dxa"/>
            <w:tcBorders>
              <w:top w:val="single" w:sz="2" w:space="0" w:color="auto"/>
              <w:bottom w:val="single" w:sz="2" w:space="0" w:color="auto"/>
            </w:tcBorders>
            <w:shd w:val="clear" w:color="auto" w:fill="auto"/>
          </w:tcPr>
          <w:p w:rsidR="000E6E29" w:rsidRPr="00495C3E" w:rsidRDefault="00495C3E" w:rsidP="000E6E29">
            <w:pPr>
              <w:pStyle w:val="Tabletext"/>
              <w:jc w:val="center"/>
              <w:rPr>
                <w:sz w:val="16"/>
                <w:szCs w:val="16"/>
              </w:rPr>
            </w:pPr>
            <w:r w:rsidRPr="00495C3E">
              <w:rPr>
                <w:sz w:val="16"/>
                <w:szCs w:val="16"/>
              </w:rPr>
              <w:t>5</w:t>
            </w:r>
          </w:p>
        </w:tc>
      </w:tr>
      <w:tr w:rsidR="000E6E29" w:rsidRPr="00D247EE" w:rsidTr="00662267">
        <w:tc>
          <w:tcPr>
            <w:tcW w:w="545"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sidRPr="00D247EE">
              <w:rPr>
                <w:sz w:val="16"/>
                <w:szCs w:val="16"/>
              </w:rPr>
              <w:t>3</w:t>
            </w:r>
          </w:p>
        </w:tc>
        <w:tc>
          <w:tcPr>
            <w:tcW w:w="1931"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Pr>
                <w:sz w:val="16"/>
                <w:szCs w:val="16"/>
              </w:rPr>
              <w:t>Change to punctuation</w:t>
            </w:r>
          </w:p>
        </w:tc>
        <w:tc>
          <w:tcPr>
            <w:tcW w:w="821" w:type="dxa"/>
            <w:tcBorders>
              <w:top w:val="single" w:sz="2" w:space="0" w:color="auto"/>
              <w:bottom w:val="single" w:sz="2" w:space="0" w:color="auto"/>
            </w:tcBorders>
            <w:shd w:val="clear" w:color="auto" w:fill="auto"/>
          </w:tcPr>
          <w:p w:rsidR="000E6E29" w:rsidRPr="00495C3E" w:rsidRDefault="00495C3E" w:rsidP="000E6E29">
            <w:pPr>
              <w:pStyle w:val="Tabletext"/>
              <w:jc w:val="center"/>
              <w:rPr>
                <w:sz w:val="16"/>
                <w:szCs w:val="16"/>
              </w:rPr>
            </w:pPr>
            <w:r w:rsidRPr="00495C3E">
              <w:rPr>
                <w:sz w:val="16"/>
                <w:szCs w:val="16"/>
              </w:rPr>
              <w:t>20</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sidRPr="00D247EE">
              <w:rPr>
                <w:sz w:val="16"/>
                <w:szCs w:val="16"/>
              </w:rPr>
              <w:t>4</w:t>
            </w:r>
          </w:p>
        </w:tc>
        <w:tc>
          <w:tcPr>
            <w:tcW w:w="1931"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Pr>
                <w:sz w:val="16"/>
                <w:szCs w:val="16"/>
              </w:rPr>
              <w:t xml:space="preserve">Give effect to the </w:t>
            </w:r>
            <w:proofErr w:type="spellStart"/>
            <w:r>
              <w:rPr>
                <w:sz w:val="16"/>
                <w:szCs w:val="16"/>
              </w:rPr>
              <w:t>misdescribed</w:t>
            </w:r>
            <w:proofErr w:type="spellEnd"/>
            <w:r>
              <w:rPr>
                <w:sz w:val="16"/>
                <w:szCs w:val="16"/>
              </w:rPr>
              <w:t xml:space="preserve"> amendment as intended</w:t>
            </w:r>
          </w:p>
        </w:tc>
        <w:tc>
          <w:tcPr>
            <w:tcW w:w="821" w:type="dxa"/>
            <w:tcBorders>
              <w:top w:val="single" w:sz="2" w:space="0" w:color="auto"/>
              <w:bottom w:val="single" w:sz="2" w:space="0" w:color="auto"/>
            </w:tcBorders>
            <w:shd w:val="clear" w:color="auto" w:fill="auto"/>
          </w:tcPr>
          <w:p w:rsidR="000E6E29" w:rsidRPr="00495C3E" w:rsidRDefault="00495C3E" w:rsidP="000E6E29">
            <w:pPr>
              <w:pStyle w:val="Tabletext"/>
              <w:jc w:val="center"/>
              <w:rPr>
                <w:sz w:val="16"/>
                <w:szCs w:val="16"/>
              </w:rPr>
            </w:pPr>
            <w:r w:rsidRPr="00495C3E">
              <w:rPr>
                <w:sz w:val="16"/>
                <w:szCs w:val="16"/>
              </w:rPr>
              <w:t>29</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Pr>
                <w:sz w:val="16"/>
                <w:szCs w:val="16"/>
              </w:rPr>
              <w:t>5</w:t>
            </w:r>
          </w:p>
        </w:tc>
        <w:tc>
          <w:tcPr>
            <w:tcW w:w="1931" w:type="dxa"/>
            <w:tcBorders>
              <w:top w:val="single" w:sz="2" w:space="0" w:color="auto"/>
              <w:bottom w:val="single" w:sz="2" w:space="0" w:color="auto"/>
            </w:tcBorders>
            <w:shd w:val="clear" w:color="auto" w:fill="auto"/>
          </w:tcPr>
          <w:p w:rsidR="000E6E29" w:rsidRDefault="00495C3E" w:rsidP="00727098">
            <w:pPr>
              <w:pStyle w:val="Tabletext"/>
              <w:rPr>
                <w:sz w:val="16"/>
                <w:szCs w:val="16"/>
              </w:rPr>
            </w:pPr>
            <w:r>
              <w:rPr>
                <w:sz w:val="16"/>
                <w:szCs w:val="16"/>
              </w:rPr>
              <w:t>Reordering of provisions</w:t>
            </w:r>
          </w:p>
        </w:tc>
        <w:tc>
          <w:tcPr>
            <w:tcW w:w="821" w:type="dxa"/>
            <w:tcBorders>
              <w:top w:val="single" w:sz="2" w:space="0" w:color="auto"/>
              <w:bottom w:val="single" w:sz="2" w:space="0" w:color="auto"/>
            </w:tcBorders>
            <w:shd w:val="clear" w:color="auto" w:fill="auto"/>
          </w:tcPr>
          <w:p w:rsidR="000E6E29" w:rsidRPr="00495C3E" w:rsidRDefault="000E6E29" w:rsidP="000E6E29">
            <w:pPr>
              <w:pStyle w:val="Tabletext"/>
              <w:jc w:val="center"/>
              <w:rPr>
                <w:sz w:val="16"/>
                <w:szCs w:val="16"/>
              </w:rPr>
            </w:pPr>
            <w:r w:rsidRPr="00495C3E">
              <w:rPr>
                <w:sz w:val="16"/>
                <w:szCs w:val="16"/>
              </w:rPr>
              <w:t>1</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6</w:t>
            </w:r>
          </w:p>
        </w:tc>
        <w:tc>
          <w:tcPr>
            <w:tcW w:w="1931"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Renumbering of provisions</w:t>
            </w:r>
          </w:p>
        </w:tc>
        <w:tc>
          <w:tcPr>
            <w:tcW w:w="821" w:type="dxa"/>
            <w:tcBorders>
              <w:top w:val="single" w:sz="2" w:space="0" w:color="auto"/>
              <w:bottom w:val="single" w:sz="2" w:space="0" w:color="auto"/>
            </w:tcBorders>
            <w:shd w:val="clear" w:color="auto" w:fill="auto"/>
          </w:tcPr>
          <w:p w:rsidR="000E6E29" w:rsidRPr="00495C3E" w:rsidRDefault="00495C3E" w:rsidP="000E6E29">
            <w:pPr>
              <w:pStyle w:val="Tabletext"/>
              <w:jc w:val="center"/>
              <w:rPr>
                <w:sz w:val="16"/>
                <w:szCs w:val="16"/>
              </w:rPr>
            </w:pPr>
            <w:r w:rsidRPr="00495C3E">
              <w:rPr>
                <w:sz w:val="16"/>
                <w:szCs w:val="16"/>
              </w:rPr>
              <w:t>15</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7</w:t>
            </w:r>
          </w:p>
        </w:tc>
        <w:tc>
          <w:tcPr>
            <w:tcW w:w="1931"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Removal of redundant text</w:t>
            </w:r>
          </w:p>
        </w:tc>
        <w:tc>
          <w:tcPr>
            <w:tcW w:w="821" w:type="dxa"/>
            <w:tcBorders>
              <w:top w:val="single" w:sz="2" w:space="0" w:color="auto"/>
              <w:bottom w:val="single" w:sz="2" w:space="0" w:color="auto"/>
            </w:tcBorders>
            <w:shd w:val="clear" w:color="auto" w:fill="auto"/>
          </w:tcPr>
          <w:p w:rsidR="000E6E29" w:rsidRPr="00495C3E" w:rsidRDefault="00495C3E" w:rsidP="000E6E29">
            <w:pPr>
              <w:pStyle w:val="Tabletext"/>
              <w:jc w:val="center"/>
              <w:rPr>
                <w:sz w:val="16"/>
                <w:szCs w:val="16"/>
              </w:rPr>
            </w:pPr>
            <w:r w:rsidRPr="00495C3E">
              <w:rPr>
                <w:sz w:val="16"/>
                <w:szCs w:val="16"/>
              </w:rPr>
              <w:t>15</w:t>
            </w:r>
          </w:p>
        </w:tc>
      </w:tr>
      <w:tr w:rsidR="000E6E29" w:rsidRPr="00D247EE" w:rsidTr="00662267">
        <w:trPr>
          <w:cantSplit/>
        </w:trPr>
        <w:tc>
          <w:tcPr>
            <w:tcW w:w="545"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lastRenderedPageBreak/>
              <w:t>8</w:t>
            </w:r>
          </w:p>
        </w:tc>
        <w:tc>
          <w:tcPr>
            <w:tcW w:w="1931" w:type="dxa"/>
            <w:tcBorders>
              <w:top w:val="single" w:sz="2" w:space="0" w:color="auto"/>
              <w:bottom w:val="single" w:sz="2" w:space="0" w:color="auto"/>
            </w:tcBorders>
            <w:shd w:val="clear" w:color="auto" w:fill="auto"/>
          </w:tcPr>
          <w:p w:rsidR="000E6E29" w:rsidRDefault="000E6E29" w:rsidP="00727098">
            <w:pPr>
              <w:pStyle w:val="Tabletext"/>
              <w:rPr>
                <w:sz w:val="16"/>
                <w:szCs w:val="16"/>
              </w:rPr>
            </w:pPr>
            <w:r>
              <w:rPr>
                <w:sz w:val="16"/>
                <w:szCs w:val="16"/>
              </w:rPr>
              <w:t>Correct a typographical error</w:t>
            </w:r>
          </w:p>
        </w:tc>
        <w:tc>
          <w:tcPr>
            <w:tcW w:w="821" w:type="dxa"/>
            <w:tcBorders>
              <w:top w:val="single" w:sz="2" w:space="0" w:color="auto"/>
              <w:bottom w:val="single" w:sz="2" w:space="0" w:color="auto"/>
            </w:tcBorders>
            <w:shd w:val="clear" w:color="auto" w:fill="auto"/>
          </w:tcPr>
          <w:p w:rsidR="000E6E29" w:rsidRPr="00495C3E" w:rsidRDefault="00495C3E" w:rsidP="000E6E29">
            <w:pPr>
              <w:pStyle w:val="Tabletext"/>
              <w:jc w:val="center"/>
              <w:rPr>
                <w:sz w:val="16"/>
                <w:szCs w:val="16"/>
              </w:rPr>
            </w:pPr>
            <w:r w:rsidRPr="00495C3E">
              <w:rPr>
                <w:sz w:val="16"/>
                <w:szCs w:val="16"/>
              </w:rPr>
              <w:t>29</w:t>
            </w:r>
          </w:p>
        </w:tc>
      </w:tr>
      <w:tr w:rsidR="000E6E29" w:rsidRPr="008138AB" w:rsidTr="001A3EEA">
        <w:tc>
          <w:tcPr>
            <w:tcW w:w="545"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Pr>
                <w:sz w:val="16"/>
                <w:szCs w:val="16"/>
              </w:rPr>
              <w:t>9</w:t>
            </w:r>
          </w:p>
        </w:tc>
        <w:tc>
          <w:tcPr>
            <w:tcW w:w="1931" w:type="dxa"/>
            <w:tcBorders>
              <w:top w:val="single" w:sz="2" w:space="0" w:color="auto"/>
              <w:bottom w:val="single" w:sz="2" w:space="0" w:color="auto"/>
            </w:tcBorders>
            <w:shd w:val="clear" w:color="auto" w:fill="auto"/>
          </w:tcPr>
          <w:p w:rsidR="000E6E29" w:rsidRPr="00D247EE" w:rsidRDefault="000E6E29" w:rsidP="00727098">
            <w:pPr>
              <w:pStyle w:val="Tabletext"/>
              <w:rPr>
                <w:sz w:val="16"/>
                <w:szCs w:val="16"/>
              </w:rPr>
            </w:pPr>
            <w:r>
              <w:rPr>
                <w:sz w:val="16"/>
                <w:szCs w:val="16"/>
              </w:rPr>
              <w:t>Change to spelling</w:t>
            </w:r>
          </w:p>
        </w:tc>
        <w:tc>
          <w:tcPr>
            <w:tcW w:w="821" w:type="dxa"/>
            <w:tcBorders>
              <w:top w:val="single" w:sz="2" w:space="0" w:color="auto"/>
              <w:bottom w:val="single" w:sz="2" w:space="0" w:color="auto"/>
            </w:tcBorders>
            <w:shd w:val="clear" w:color="auto" w:fill="auto"/>
          </w:tcPr>
          <w:p w:rsidR="000E6E29" w:rsidRPr="001A3EEA" w:rsidRDefault="001A3EEA" w:rsidP="000E6E29">
            <w:pPr>
              <w:pStyle w:val="Tabletext"/>
              <w:jc w:val="center"/>
              <w:rPr>
                <w:sz w:val="16"/>
                <w:szCs w:val="16"/>
              </w:rPr>
            </w:pPr>
            <w:r w:rsidRPr="001A3EEA">
              <w:rPr>
                <w:sz w:val="16"/>
                <w:szCs w:val="16"/>
              </w:rPr>
              <w:t>6</w:t>
            </w:r>
          </w:p>
        </w:tc>
      </w:tr>
      <w:tr w:rsidR="001A3EEA" w:rsidRPr="008138AB" w:rsidTr="00CF0E6A">
        <w:trPr>
          <w:cantSplit/>
        </w:trPr>
        <w:tc>
          <w:tcPr>
            <w:tcW w:w="545" w:type="dxa"/>
            <w:tcBorders>
              <w:top w:val="single" w:sz="2" w:space="0" w:color="auto"/>
              <w:bottom w:val="single" w:sz="2" w:space="0" w:color="auto"/>
            </w:tcBorders>
            <w:shd w:val="clear" w:color="auto" w:fill="auto"/>
          </w:tcPr>
          <w:p w:rsidR="001A3EEA" w:rsidRDefault="001A3EEA" w:rsidP="00727098">
            <w:pPr>
              <w:pStyle w:val="Tabletext"/>
              <w:rPr>
                <w:sz w:val="16"/>
                <w:szCs w:val="16"/>
              </w:rPr>
            </w:pPr>
            <w:r>
              <w:rPr>
                <w:sz w:val="16"/>
                <w:szCs w:val="16"/>
              </w:rPr>
              <w:t>10</w:t>
            </w:r>
          </w:p>
        </w:tc>
        <w:tc>
          <w:tcPr>
            <w:tcW w:w="1931" w:type="dxa"/>
            <w:tcBorders>
              <w:top w:val="single" w:sz="2" w:space="0" w:color="auto"/>
              <w:bottom w:val="single" w:sz="2" w:space="0" w:color="auto"/>
            </w:tcBorders>
            <w:shd w:val="clear" w:color="auto" w:fill="auto"/>
          </w:tcPr>
          <w:p w:rsidR="001A3EEA" w:rsidRDefault="001A3EEA" w:rsidP="00727098">
            <w:pPr>
              <w:pStyle w:val="Tabletext"/>
              <w:rPr>
                <w:sz w:val="16"/>
                <w:szCs w:val="16"/>
              </w:rPr>
            </w:pPr>
            <w:r>
              <w:rPr>
                <w:sz w:val="16"/>
                <w:szCs w:val="16"/>
              </w:rPr>
              <w:t>Update to reference of a law or a provision</w:t>
            </w:r>
          </w:p>
        </w:tc>
        <w:tc>
          <w:tcPr>
            <w:tcW w:w="821" w:type="dxa"/>
            <w:tcBorders>
              <w:top w:val="single" w:sz="2" w:space="0" w:color="auto"/>
              <w:bottom w:val="single" w:sz="2" w:space="0" w:color="auto"/>
            </w:tcBorders>
            <w:shd w:val="clear" w:color="auto" w:fill="auto"/>
          </w:tcPr>
          <w:p w:rsidR="001A3EEA" w:rsidRPr="001A3EEA" w:rsidRDefault="001A3EEA" w:rsidP="000E6E29">
            <w:pPr>
              <w:pStyle w:val="Tabletext"/>
              <w:jc w:val="center"/>
              <w:rPr>
                <w:sz w:val="16"/>
                <w:szCs w:val="16"/>
              </w:rPr>
            </w:pPr>
            <w:r w:rsidRPr="001A3EEA">
              <w:rPr>
                <w:sz w:val="16"/>
                <w:szCs w:val="16"/>
              </w:rPr>
              <w:t>1</w:t>
            </w:r>
          </w:p>
        </w:tc>
      </w:tr>
      <w:tr w:rsidR="001A3EEA" w:rsidRPr="008138AB" w:rsidTr="00662267">
        <w:tc>
          <w:tcPr>
            <w:tcW w:w="545" w:type="dxa"/>
            <w:tcBorders>
              <w:top w:val="single" w:sz="2" w:space="0" w:color="auto"/>
              <w:bottom w:val="single" w:sz="12" w:space="0" w:color="auto"/>
            </w:tcBorders>
            <w:shd w:val="clear" w:color="auto" w:fill="auto"/>
          </w:tcPr>
          <w:p w:rsidR="001A3EEA" w:rsidRDefault="001A3EEA" w:rsidP="00727098">
            <w:pPr>
              <w:pStyle w:val="Tabletext"/>
              <w:rPr>
                <w:sz w:val="16"/>
                <w:szCs w:val="16"/>
              </w:rPr>
            </w:pPr>
            <w:r>
              <w:rPr>
                <w:sz w:val="16"/>
                <w:szCs w:val="16"/>
              </w:rPr>
              <w:t>11</w:t>
            </w:r>
          </w:p>
        </w:tc>
        <w:tc>
          <w:tcPr>
            <w:tcW w:w="1931" w:type="dxa"/>
            <w:tcBorders>
              <w:top w:val="single" w:sz="2" w:space="0" w:color="auto"/>
              <w:bottom w:val="single" w:sz="12" w:space="0" w:color="auto"/>
            </w:tcBorders>
            <w:shd w:val="clear" w:color="auto" w:fill="auto"/>
          </w:tcPr>
          <w:p w:rsidR="001A3EEA" w:rsidRDefault="001A3EEA" w:rsidP="00727098">
            <w:pPr>
              <w:pStyle w:val="Tabletext"/>
              <w:rPr>
                <w:sz w:val="16"/>
                <w:szCs w:val="16"/>
              </w:rPr>
            </w:pPr>
            <w:r>
              <w:rPr>
                <w:sz w:val="16"/>
                <w:szCs w:val="16"/>
              </w:rPr>
              <w:t>Update a cross-reference</w:t>
            </w:r>
          </w:p>
        </w:tc>
        <w:tc>
          <w:tcPr>
            <w:tcW w:w="821" w:type="dxa"/>
            <w:tcBorders>
              <w:top w:val="single" w:sz="2" w:space="0" w:color="auto"/>
              <w:bottom w:val="single" w:sz="12" w:space="0" w:color="auto"/>
            </w:tcBorders>
            <w:shd w:val="clear" w:color="auto" w:fill="auto"/>
          </w:tcPr>
          <w:p w:rsidR="001A3EEA" w:rsidRPr="001A3EEA" w:rsidRDefault="001A3EEA" w:rsidP="000E6E29">
            <w:pPr>
              <w:pStyle w:val="Tabletext"/>
              <w:jc w:val="center"/>
              <w:rPr>
                <w:sz w:val="16"/>
                <w:szCs w:val="16"/>
              </w:rPr>
            </w:pPr>
            <w:r>
              <w:rPr>
                <w:sz w:val="16"/>
                <w:szCs w:val="16"/>
              </w:rPr>
              <w:t>2</w:t>
            </w:r>
          </w:p>
        </w:tc>
      </w:tr>
    </w:tbl>
    <w:p w:rsidR="00873ADA" w:rsidRDefault="00873ADA" w:rsidP="00873ADA">
      <w:pPr>
        <w:pStyle w:val="FootnoteText"/>
        <w:rPr>
          <w:rFonts w:ascii="Arial" w:hAnsi="Arial" w:cs="Arial"/>
          <w:sz w:val="16"/>
          <w:szCs w:val="16"/>
        </w:rPr>
      </w:pPr>
    </w:p>
    <w:p w:rsidR="004E2734" w:rsidRPr="003A5A2B" w:rsidRDefault="004E2734" w:rsidP="004E2734">
      <w:pPr>
        <w:pStyle w:val="BodyNum"/>
        <w:rPr>
          <w:rFonts w:eastAsiaTheme="minorHAnsi"/>
        </w:rPr>
      </w:pPr>
      <w:r>
        <w:rPr>
          <w:rFonts w:eastAsiaTheme="minorHAnsi"/>
        </w:rPr>
        <w:t>A report with details of all editorial changes made in 201</w:t>
      </w:r>
      <w:r w:rsidR="00CF1970">
        <w:rPr>
          <w:rFonts w:eastAsiaTheme="minorHAnsi"/>
        </w:rPr>
        <w:t>6</w:t>
      </w:r>
      <w:r>
        <w:rPr>
          <w:rFonts w:eastAsiaTheme="minorHAnsi"/>
        </w:rPr>
        <w:t>-</w:t>
      </w:r>
      <w:r w:rsidR="0034379D">
        <w:rPr>
          <w:rFonts w:eastAsiaTheme="minorHAnsi"/>
        </w:rPr>
        <w:t>20</w:t>
      </w:r>
      <w:r>
        <w:rPr>
          <w:rFonts w:eastAsiaTheme="minorHAnsi"/>
        </w:rPr>
        <w:t>1</w:t>
      </w:r>
      <w:r w:rsidR="00CF1970">
        <w:rPr>
          <w:rFonts w:eastAsiaTheme="minorHAnsi"/>
        </w:rPr>
        <w:t>7</w:t>
      </w:r>
      <w:r>
        <w:rPr>
          <w:rFonts w:eastAsiaTheme="minorHAnsi"/>
        </w:rPr>
        <w:t xml:space="preserve"> can be found on the Legislation Register </w:t>
      </w:r>
      <w:r w:rsidR="00872462">
        <w:rPr>
          <w:rFonts w:eastAsiaTheme="minorHAnsi"/>
        </w:rPr>
        <w:t xml:space="preserve">at </w:t>
      </w:r>
      <w:r w:rsidR="00662267">
        <w:rPr>
          <w:rFonts w:eastAsiaTheme="minorHAnsi"/>
        </w:rPr>
        <w:t>www.legislation.gov.au/Content/EditorialChanges</w:t>
      </w:r>
      <w:r w:rsidR="008B7F83">
        <w:rPr>
          <w:rFonts w:eastAsiaTheme="minorHAnsi"/>
        </w:rPr>
        <w:t>.</w:t>
      </w:r>
    </w:p>
    <w:p w:rsidR="00D50B61" w:rsidRPr="0046444C" w:rsidRDefault="00D50B61" w:rsidP="00D50B61">
      <w:pPr>
        <w:pStyle w:val="Head5"/>
        <w:rPr>
          <w:rFonts w:eastAsiaTheme="minorHAnsi"/>
        </w:rPr>
      </w:pPr>
      <w:r>
        <w:rPr>
          <w:rFonts w:eastAsiaTheme="minorHAnsi"/>
        </w:rPr>
        <w:t>Sunsetting and review of legislative instruments</w:t>
      </w:r>
    </w:p>
    <w:p w:rsidR="0075278F" w:rsidRPr="0075278F" w:rsidRDefault="0075278F" w:rsidP="0075278F">
      <w:pPr>
        <w:pStyle w:val="BodyNum"/>
      </w:pPr>
      <w:r w:rsidRPr="00D41D88">
        <w:rPr>
          <w:rFonts w:eastAsiaTheme="minorHAnsi"/>
          <w:spacing w:val="-2"/>
        </w:rPr>
        <w:t>Under the</w:t>
      </w:r>
      <w:r w:rsidR="00872462">
        <w:rPr>
          <w:rFonts w:eastAsiaTheme="minorHAnsi"/>
          <w:spacing w:val="-2"/>
        </w:rPr>
        <w:t xml:space="preserve"> Legislation Act</w:t>
      </w:r>
      <w:r w:rsidRPr="00D41D88">
        <w:rPr>
          <w:rFonts w:eastAsiaTheme="minorHAnsi"/>
          <w:spacing w:val="-2"/>
        </w:rPr>
        <w:t>, legislative instruments sunset automatically after 10 years unless action is taken to preserve them.</w:t>
      </w:r>
    </w:p>
    <w:p w:rsidR="0075278F" w:rsidRPr="0075278F" w:rsidRDefault="0075278F" w:rsidP="0075278F">
      <w:pPr>
        <w:pStyle w:val="BodyNum"/>
      </w:pPr>
      <w:r w:rsidRPr="00D41D88">
        <w:rPr>
          <w:rFonts w:eastAsiaTheme="minorHAnsi"/>
          <w:spacing w:val="-2"/>
        </w:rPr>
        <w:t>The purpose of sunsetting is to ensure that legi</w:t>
      </w:r>
      <w:r w:rsidR="00872462">
        <w:rPr>
          <w:rFonts w:eastAsiaTheme="minorHAnsi"/>
          <w:spacing w:val="-2"/>
        </w:rPr>
        <w:t>slative instruments are kept up-</w:t>
      </w:r>
      <w:r w:rsidRPr="00D41D88">
        <w:rPr>
          <w:rFonts w:eastAsiaTheme="minorHAnsi"/>
          <w:spacing w:val="-2"/>
        </w:rPr>
        <w:t>to</w:t>
      </w:r>
      <w:r w:rsidR="00872462">
        <w:rPr>
          <w:rFonts w:eastAsiaTheme="minorHAnsi"/>
          <w:spacing w:val="-2"/>
        </w:rPr>
        <w:t>-</w:t>
      </w:r>
      <w:r w:rsidRPr="00D41D88">
        <w:rPr>
          <w:rFonts w:eastAsiaTheme="minorHAnsi"/>
          <w:spacing w:val="-2"/>
        </w:rPr>
        <w:t>date, and only remain in force as long as they are required. Sunsetting is also an important mechanism to pursue clearer laws and reduce red tape.</w:t>
      </w:r>
    </w:p>
    <w:p w:rsidR="00D50B61" w:rsidRDefault="00D50B61" w:rsidP="00D50B61">
      <w:pPr>
        <w:pStyle w:val="BodyNum"/>
        <w:rPr>
          <w:rFonts w:eastAsiaTheme="minorHAnsi"/>
        </w:rPr>
      </w:pPr>
      <w:r w:rsidRPr="0042777C">
        <w:rPr>
          <w:rFonts w:eastAsiaTheme="minorHAnsi"/>
        </w:rPr>
        <w:t xml:space="preserve">OPC </w:t>
      </w:r>
      <w:r>
        <w:rPr>
          <w:rFonts w:eastAsiaTheme="minorHAnsi"/>
        </w:rPr>
        <w:t xml:space="preserve">continued to work closely with agencies to manage </w:t>
      </w:r>
      <w:r>
        <w:rPr>
          <w:rFonts w:eastAsiaTheme="minorHAnsi"/>
        </w:rPr>
        <w:lastRenderedPageBreak/>
        <w:t>the sunsetting of legislative instruments. This included working with</w:t>
      </w:r>
      <w:r w:rsidRPr="0042777C">
        <w:rPr>
          <w:rFonts w:eastAsiaTheme="minorHAnsi"/>
        </w:rPr>
        <w:t xml:space="preserve"> sunsetting coordinators in all portfolios to encourage early action on sunsetting</w:t>
      </w:r>
      <w:r>
        <w:rPr>
          <w:rFonts w:eastAsiaTheme="minorHAnsi"/>
        </w:rPr>
        <w:t xml:space="preserve"> through</w:t>
      </w:r>
      <w:r w:rsidRPr="0042777C">
        <w:rPr>
          <w:rFonts w:eastAsiaTheme="minorHAnsi"/>
        </w:rPr>
        <w:t xml:space="preserve"> the preparation of sunset lists for tabling in Parliament.</w:t>
      </w:r>
    </w:p>
    <w:p w:rsidR="00CF1970" w:rsidRDefault="00CF1970" w:rsidP="00D50B61">
      <w:pPr>
        <w:pStyle w:val="BodyNum"/>
        <w:rPr>
          <w:rFonts w:eastAsiaTheme="minorHAnsi"/>
        </w:rPr>
      </w:pPr>
      <w:r>
        <w:rPr>
          <w:rFonts w:eastAsiaTheme="minorHAnsi"/>
        </w:rPr>
        <w:t>OPC also presented a number of seminars on sunsetting in conjunction with the Attorney-General’s Department and with assistance from the Department of Defence. The seminars were very well attended and very well received.</w:t>
      </w:r>
    </w:p>
    <w:p w:rsidR="0075278F" w:rsidRPr="004A6790" w:rsidRDefault="0075278F" w:rsidP="0075278F">
      <w:pPr>
        <w:pStyle w:val="BodyNum"/>
      </w:pPr>
      <w:r w:rsidRPr="00860BE0">
        <w:rPr>
          <w:rFonts w:eastAsiaTheme="minorHAnsi"/>
          <w:spacing w:val="-2"/>
        </w:rPr>
        <w:t>In 201</w:t>
      </w:r>
      <w:r w:rsidR="00CF1970">
        <w:rPr>
          <w:rFonts w:eastAsiaTheme="minorHAnsi"/>
          <w:spacing w:val="-2"/>
        </w:rPr>
        <w:t>6</w:t>
      </w:r>
      <w:r w:rsidRPr="00E4548F">
        <w:rPr>
          <w:rFonts w:eastAsiaTheme="minorHAnsi"/>
          <w:spacing w:val="-2"/>
        </w:rPr>
        <w:t>-</w:t>
      </w:r>
      <w:r w:rsidRPr="00860BE0">
        <w:rPr>
          <w:rFonts w:eastAsiaTheme="minorHAnsi"/>
          <w:spacing w:val="-2"/>
        </w:rPr>
        <w:t>201</w:t>
      </w:r>
      <w:r w:rsidR="00CF1970">
        <w:rPr>
          <w:rFonts w:eastAsiaTheme="minorHAnsi"/>
          <w:spacing w:val="-2"/>
        </w:rPr>
        <w:t>7</w:t>
      </w:r>
      <w:r w:rsidRPr="00E4548F">
        <w:rPr>
          <w:rFonts w:eastAsiaTheme="minorHAnsi"/>
          <w:spacing w:val="-2"/>
        </w:rPr>
        <w:t xml:space="preserve">, </w:t>
      </w:r>
      <w:r w:rsidR="00872462" w:rsidRPr="001A3EEA">
        <w:rPr>
          <w:rFonts w:eastAsiaTheme="minorHAnsi"/>
          <w:spacing w:val="-2"/>
        </w:rPr>
        <w:t>2</w:t>
      </w:r>
      <w:r w:rsidRPr="001A3EEA">
        <w:rPr>
          <w:rFonts w:eastAsiaTheme="minorHAnsi"/>
          <w:spacing w:val="-2"/>
        </w:rPr>
        <w:t xml:space="preserve"> lists of instruments due to sunset</w:t>
      </w:r>
      <w:r w:rsidRPr="001A3EEA">
        <w:rPr>
          <w:spacing w:val="-2"/>
        </w:rPr>
        <w:t xml:space="preserve"> soon</w:t>
      </w:r>
      <w:r w:rsidRPr="00860BE0">
        <w:rPr>
          <w:spacing w:val="-2"/>
        </w:rPr>
        <w:t xml:space="preserve"> were prepared for the Attorney-General to table in Parliament in accordance with the L</w:t>
      </w:r>
      <w:r>
        <w:rPr>
          <w:spacing w:val="-2"/>
        </w:rPr>
        <w:t xml:space="preserve">egislation </w:t>
      </w:r>
      <w:r w:rsidRPr="00860BE0">
        <w:rPr>
          <w:spacing w:val="-2"/>
        </w:rPr>
        <w:t>A</w:t>
      </w:r>
      <w:r>
        <w:rPr>
          <w:spacing w:val="-2"/>
        </w:rPr>
        <w:t>ct</w:t>
      </w:r>
      <w:r w:rsidRPr="00860BE0">
        <w:rPr>
          <w:spacing w:val="-2"/>
        </w:rPr>
        <w:t>.</w:t>
      </w:r>
    </w:p>
    <w:p w:rsidR="00D50B61" w:rsidRDefault="00D50B61" w:rsidP="00D50B61">
      <w:pPr>
        <w:pStyle w:val="BodyNum"/>
        <w:rPr>
          <w:rFonts w:eastAsiaTheme="minorHAnsi"/>
        </w:rPr>
      </w:pPr>
      <w:r w:rsidRPr="008E4CD0">
        <w:rPr>
          <w:rFonts w:eastAsiaTheme="minorHAnsi"/>
        </w:rPr>
        <w:t>OPC also assisted in the management of the sunsetting of legislative instruments by drafting instruments for the Attorney-General under the Legislation Act to allow for the deferral of sunsetting and to align the suns</w:t>
      </w:r>
      <w:r>
        <w:rPr>
          <w:rFonts w:eastAsiaTheme="minorHAnsi"/>
        </w:rPr>
        <w:t>e</w:t>
      </w:r>
      <w:r w:rsidRPr="008E4CD0">
        <w:rPr>
          <w:rFonts w:eastAsiaTheme="minorHAnsi"/>
        </w:rPr>
        <w:t>tting of instruments to facilitate the thematic review of instruments.</w:t>
      </w:r>
    </w:p>
    <w:p w:rsidR="00D50B61" w:rsidRPr="00662267" w:rsidRDefault="00D50B61" w:rsidP="00662267">
      <w:pPr>
        <w:pStyle w:val="BodyNum"/>
        <w:rPr>
          <w:rFonts w:eastAsiaTheme="minorHAnsi"/>
        </w:rPr>
      </w:pPr>
      <w:r w:rsidRPr="004F7853">
        <w:t xml:space="preserve">Key legislative instruments that were reviewed by </w:t>
      </w:r>
      <w:r>
        <w:t xml:space="preserve">agencies </w:t>
      </w:r>
      <w:r w:rsidRPr="004F7853">
        <w:t xml:space="preserve">and redrafted by OPC before the instruments were due to sunset </w:t>
      </w:r>
      <w:r>
        <w:lastRenderedPageBreak/>
        <w:t xml:space="preserve">included </w:t>
      </w:r>
      <w:r w:rsidR="00465ECA" w:rsidRPr="00B84374">
        <w:t xml:space="preserve">the </w:t>
      </w:r>
      <w:r w:rsidR="00465ECA" w:rsidRPr="00465ECA">
        <w:rPr>
          <w:i/>
        </w:rPr>
        <w:t>Human Services (Medicare) Regulations 2017</w:t>
      </w:r>
      <w:r w:rsidR="00465ECA">
        <w:t xml:space="preserve">, the </w:t>
      </w:r>
      <w:proofErr w:type="spellStart"/>
      <w:r w:rsidR="00465ECA" w:rsidRPr="00465ECA">
        <w:rPr>
          <w:i/>
        </w:rPr>
        <w:t>AusCheck</w:t>
      </w:r>
      <w:proofErr w:type="spellEnd"/>
      <w:r w:rsidR="00465ECA" w:rsidRPr="00465ECA">
        <w:rPr>
          <w:i/>
        </w:rPr>
        <w:t xml:space="preserve"> Regulations 2017</w:t>
      </w:r>
      <w:r w:rsidR="00465ECA">
        <w:t xml:space="preserve">, </w:t>
      </w:r>
      <w:r w:rsidR="00D3439E">
        <w:t xml:space="preserve">and </w:t>
      </w:r>
      <w:r w:rsidR="00465ECA">
        <w:t xml:space="preserve">the </w:t>
      </w:r>
      <w:r w:rsidR="00465ECA" w:rsidRPr="00465ECA">
        <w:rPr>
          <w:i/>
        </w:rPr>
        <w:t>National Health (Pharmaceutical Benefits) Regulations 2017</w:t>
      </w:r>
      <w:r w:rsidR="00465ECA">
        <w:rPr>
          <w:i/>
        </w:rPr>
        <w:t>.</w:t>
      </w:r>
    </w:p>
    <w:p w:rsidR="00D50B61" w:rsidRDefault="00D50B61" w:rsidP="00D50B61">
      <w:pPr>
        <w:pStyle w:val="BodyNum"/>
      </w:pPr>
      <w:r>
        <w:t>The rewritten instruments greatly improved the quality and readability of these instruments and generally decreased the number of pages on the statute book.</w:t>
      </w:r>
    </w:p>
    <w:p w:rsidR="00CF1970" w:rsidRPr="00CF1970" w:rsidRDefault="00CF1970" w:rsidP="00D50B61">
      <w:pPr>
        <w:pStyle w:val="BodyNum"/>
      </w:pPr>
      <w:r>
        <w:t>First Parliamentary Counsel was appointed by the Attorney-General as one of the members of a panel to do a review of sunsetting. The review is required by the Legislation Act. The review is expected to report late in 2017.</w:t>
      </w:r>
    </w:p>
    <w:p w:rsidR="00D50B61" w:rsidRDefault="00D50B61" w:rsidP="00D50B61">
      <w:pPr>
        <w:pStyle w:val="BodyNum"/>
      </w:pPr>
      <w:r w:rsidRPr="00D64E1C">
        <w:rPr>
          <w:rFonts w:eastAsiaTheme="minorHAnsi"/>
        </w:rPr>
        <w:t>OPC will continue to play an important role in updating and modernising legislative instruments due to sunset, repealing spent and redundant legislation and ensuring that the Commonwealth statute book is as coherent, readable and readily accessible as possible</w:t>
      </w:r>
      <w:r w:rsidR="00872462">
        <w:rPr>
          <w:rFonts w:eastAsiaTheme="minorHAnsi"/>
        </w:rPr>
        <w:t>.</w:t>
      </w:r>
    </w:p>
    <w:p w:rsidR="00D50B61" w:rsidRPr="00C575CA" w:rsidRDefault="00D50B61" w:rsidP="00D50B61">
      <w:pPr>
        <w:pStyle w:val="Head4"/>
        <w:rPr>
          <w:rStyle w:val="CharSubdText"/>
        </w:rPr>
      </w:pPr>
      <w:r w:rsidRPr="00C575CA">
        <w:rPr>
          <w:rStyle w:val="CharSubdText"/>
        </w:rPr>
        <w:t>Encouraging high standards in the drafting of legislative</w:t>
      </w:r>
      <w:r>
        <w:rPr>
          <w:rStyle w:val="CharSubdText"/>
        </w:rPr>
        <w:t xml:space="preserve"> and notifiable</w:t>
      </w:r>
      <w:r w:rsidRPr="00C575CA">
        <w:rPr>
          <w:rStyle w:val="CharSubdText"/>
        </w:rPr>
        <w:t xml:space="preserve"> instruments</w:t>
      </w:r>
    </w:p>
    <w:p w:rsidR="00D50B61" w:rsidRDefault="00D50B61" w:rsidP="00D50B61">
      <w:pPr>
        <w:pStyle w:val="BodyNum"/>
      </w:pPr>
      <w:r>
        <w:t xml:space="preserve">In addition to the above deliverables for the standardisation and quality control of legislation, OPC also undertakes a broad </w:t>
      </w:r>
      <w:r>
        <w:lastRenderedPageBreak/>
        <w:t>range of measures to encourage high standards in the drafting of Commonwealth legislative and notifiable instruments.</w:t>
      </w:r>
    </w:p>
    <w:p w:rsidR="00D50B61" w:rsidRDefault="00872462" w:rsidP="00D50B61">
      <w:pPr>
        <w:pStyle w:val="BodyNum"/>
      </w:pPr>
      <w:r>
        <w:t>F</w:t>
      </w:r>
      <w:r w:rsidR="00D50B61">
        <w:t>irst Parliamentary Counsel</w:t>
      </w:r>
      <w:r w:rsidR="005B0CF0">
        <w:t xml:space="preserve"> (</w:t>
      </w:r>
      <w:r w:rsidR="005B0CF0" w:rsidRPr="005B0CF0">
        <w:rPr>
          <w:b/>
          <w:i/>
        </w:rPr>
        <w:t>FPC</w:t>
      </w:r>
      <w:r w:rsidR="005B0CF0">
        <w:t>)</w:t>
      </w:r>
      <w:r w:rsidR="00D50B61">
        <w:t xml:space="preserve"> causes these measures to be undertaken to fulfil his</w:t>
      </w:r>
      <w:bookmarkStart w:id="55" w:name="BK_S28P38L33C28"/>
      <w:bookmarkEnd w:id="55"/>
      <w:r w:rsidR="00D50B61">
        <w:t xml:space="preserve"> obligation under section 16 of the Legislation Act to promote the legal effectiveness, clarity, and intelligibility to</w:t>
      </w:r>
      <w:r>
        <w:t xml:space="preserve"> anticipated users</w:t>
      </w:r>
      <w:r w:rsidR="00D50B61">
        <w:t xml:space="preserve"> of legislative and notifiable instruments.</w:t>
      </w:r>
    </w:p>
    <w:p w:rsidR="00D50B61" w:rsidRDefault="00D50B61" w:rsidP="00D50B61">
      <w:pPr>
        <w:pStyle w:val="BodyNum"/>
      </w:pPr>
      <w:r>
        <w:t xml:space="preserve">Since this obligation transferred from the Secretary of the Attorney-General’s Department to </w:t>
      </w:r>
      <w:r w:rsidR="005B0CF0">
        <w:t>FPC</w:t>
      </w:r>
      <w:r>
        <w:t xml:space="preserve"> in 2012, a number of measures have been taken to encourage high standards and enhance the quality of all legislative and notifiable instruments and the Commonwealth statute book generally. These measures include:</w:t>
      </w:r>
    </w:p>
    <w:p w:rsidR="00D50B61" w:rsidRDefault="00D50B61" w:rsidP="00D50B61">
      <w:pPr>
        <w:pStyle w:val="BodyNum"/>
        <w:numPr>
          <w:ilvl w:val="0"/>
          <w:numId w:val="32"/>
        </w:numPr>
      </w:pPr>
      <w:r>
        <w:t>harmonising drafting standards and the presentation of Commonwealth Bills and OPC drafted instruments to enable a more cohesive Commonwealth statute book and set a precedent for other drafters of untied legislative or notifiable instruments;</w:t>
      </w:r>
    </w:p>
    <w:p w:rsidR="00D50B61" w:rsidRDefault="00D50B61" w:rsidP="00D50B61">
      <w:pPr>
        <w:pStyle w:val="BodyNum"/>
        <w:numPr>
          <w:ilvl w:val="0"/>
          <w:numId w:val="32"/>
        </w:numPr>
      </w:pPr>
      <w:r>
        <w:lastRenderedPageBreak/>
        <w:t xml:space="preserve">developing a prioritisation system for </w:t>
      </w:r>
      <w:proofErr w:type="spellStart"/>
      <w:r>
        <w:t>ExCo</w:t>
      </w:r>
      <w:proofErr w:type="spellEnd"/>
      <w:r>
        <w:t xml:space="preserve"> legislative instruments to better manage the government’s program and enhance the quality of instruments;</w:t>
      </w:r>
    </w:p>
    <w:p w:rsidR="00D50B61" w:rsidRDefault="00D50B61" w:rsidP="00D50B61">
      <w:pPr>
        <w:pStyle w:val="BodyNum"/>
        <w:numPr>
          <w:ilvl w:val="0"/>
          <w:numId w:val="32"/>
        </w:numPr>
      </w:pPr>
      <w:r>
        <w:t>developing broader instruments drafting expertise within OPC to enable more highly experienced drafters to be available to assist with untied drafting work;</w:t>
      </w:r>
    </w:p>
    <w:p w:rsidR="00D50B61" w:rsidRDefault="00D50B61" w:rsidP="00D50B61">
      <w:pPr>
        <w:pStyle w:val="BodyNum"/>
        <w:numPr>
          <w:ilvl w:val="0"/>
          <w:numId w:val="32"/>
        </w:numPr>
      </w:pPr>
      <w:r>
        <w:t xml:space="preserve">actively engaging with agencies in relation to untied instruments through OPC </w:t>
      </w:r>
      <w:r w:rsidR="004E3E71">
        <w:t>C</w:t>
      </w:r>
      <w:r>
        <w:t xml:space="preserve">lient </w:t>
      </w:r>
      <w:r w:rsidR="004E3E71">
        <w:t>A</w:t>
      </w:r>
      <w:r>
        <w:t>dvisers from whom agencies can also obtain quick, informal advice about legislative or notifiable instrument drafting;</w:t>
      </w:r>
    </w:p>
    <w:p w:rsidR="00D50B61" w:rsidRDefault="00D50B61" w:rsidP="00D50B61">
      <w:pPr>
        <w:pStyle w:val="BodyNum"/>
        <w:numPr>
          <w:ilvl w:val="0"/>
          <w:numId w:val="32"/>
        </w:numPr>
      </w:pPr>
      <w:r>
        <w:t>developing further guidance to agencies in relation to managing and drafting legislative or notifiable instruments through drafting standards and the reissue of the Instruments Handbook;</w:t>
      </w:r>
    </w:p>
    <w:p w:rsidR="00D50B61" w:rsidRDefault="00D50B61" w:rsidP="00D50B61">
      <w:pPr>
        <w:pStyle w:val="BodyNum"/>
        <w:numPr>
          <w:ilvl w:val="0"/>
          <w:numId w:val="32"/>
        </w:numPr>
      </w:pPr>
      <w:r>
        <w:t xml:space="preserve">rationalising instrument-making powers to ensure instruments that have the most significant impacts on </w:t>
      </w:r>
      <w:r>
        <w:lastRenderedPageBreak/>
        <w:t>the community are professionally drafted by OPC;</w:t>
      </w:r>
    </w:p>
    <w:p w:rsidR="00D50B61" w:rsidRDefault="00D50B61" w:rsidP="00D50B61">
      <w:pPr>
        <w:pStyle w:val="BodyNum"/>
        <w:numPr>
          <w:ilvl w:val="0"/>
          <w:numId w:val="32"/>
        </w:numPr>
      </w:pPr>
      <w:r>
        <w:t xml:space="preserve">limiting the proliferation of the number and types of instruments in enabling legislation to </w:t>
      </w:r>
      <w:r w:rsidR="00D3439E">
        <w:t>achieve</w:t>
      </w:r>
      <w:r>
        <w:t xml:space="preserve"> greater consistency in legislative and notifiable instruments;</w:t>
      </w:r>
    </w:p>
    <w:p w:rsidR="00D50B61" w:rsidRDefault="00D50B61" w:rsidP="00D50B61">
      <w:pPr>
        <w:pStyle w:val="BodyNum"/>
        <w:numPr>
          <w:ilvl w:val="0"/>
          <w:numId w:val="32"/>
        </w:numPr>
      </w:pPr>
      <w:r>
        <w:t>rationalising the number of legislative instruments that will need to be considered for sunsetting through automatic repeal and bulk repeal instruments and working with agencies to manage sunsetting; and</w:t>
      </w:r>
    </w:p>
    <w:p w:rsidR="00D50B61" w:rsidRDefault="00D50B61" w:rsidP="00D50B61">
      <w:pPr>
        <w:pStyle w:val="BodyNum"/>
        <w:numPr>
          <w:ilvl w:val="0"/>
          <w:numId w:val="32"/>
        </w:numPr>
      </w:pPr>
      <w:r>
        <w:t xml:space="preserve">developing and implementing further measures to efficiently manage the Commonwealth statute book through changes included in the </w:t>
      </w:r>
      <w:r w:rsidRPr="00EA0571">
        <w:rPr>
          <w:i/>
        </w:rPr>
        <w:t>Acts and Instrument (Framework Reform) Act 2015</w:t>
      </w:r>
      <w:r w:rsidR="006E79E6">
        <w:rPr>
          <w:i/>
        </w:rPr>
        <w:t>.</w:t>
      </w:r>
    </w:p>
    <w:p w:rsidR="00D50B61" w:rsidRDefault="00D50B61" w:rsidP="00D50B61">
      <w:pPr>
        <w:pStyle w:val="BodyNum"/>
      </w:pPr>
      <w:r>
        <w:t>In addition to continued work on the ab</w:t>
      </w:r>
      <w:r w:rsidR="0055279D">
        <w:t>ove measures, in 201</w:t>
      </w:r>
      <w:r w:rsidR="00CF1970">
        <w:t>6</w:t>
      </w:r>
      <w:r w:rsidR="0055279D">
        <w:t>-201</w:t>
      </w:r>
      <w:r w:rsidR="00CF1970">
        <w:t>7</w:t>
      </w:r>
      <w:r w:rsidR="0055279D">
        <w:t xml:space="preserve">, </w:t>
      </w:r>
      <w:r>
        <w:t>FPC fulfilled his</w:t>
      </w:r>
      <w:bookmarkStart w:id="56" w:name="BK_S28P39L69C22"/>
      <w:bookmarkEnd w:id="56"/>
      <w:r>
        <w:t xml:space="preserve"> obligation under section 16 of the Legislation Act by causing steps to be taken for OPC to undertake and supervise the drafting of legislative </w:t>
      </w:r>
      <w:r>
        <w:lastRenderedPageBreak/>
        <w:t>and notifiable instruments, providing advice and training in drafting and related matters to agencies</w:t>
      </w:r>
      <w:r w:rsidR="005B0CF0">
        <w:t>,</w:t>
      </w:r>
      <w:r>
        <w:t xml:space="preserve"> and providing drafting precedents to guide agencies in drafting instruments in the future.</w:t>
      </w:r>
    </w:p>
    <w:p w:rsidR="00D50B61" w:rsidRPr="00C50FD0" w:rsidRDefault="00D50B61" w:rsidP="00D50B61">
      <w:pPr>
        <w:pStyle w:val="BodyNum"/>
        <w:rPr>
          <w:i/>
        </w:rPr>
      </w:pPr>
      <w:r>
        <w:t>OPC will seek to continue to build capacity to further assist agencies to draft their untied legislative instruments and take further steps to encourage high standards in the drafting of legislative and notifiable instruments.</w:t>
      </w:r>
    </w:p>
    <w:p w:rsidR="00D50B61" w:rsidRPr="006C6997" w:rsidRDefault="00D50B61" w:rsidP="00D50B61">
      <w:pPr>
        <w:pStyle w:val="BodyNum"/>
      </w:pPr>
      <w:r>
        <w:t>In 201</w:t>
      </w:r>
      <w:r w:rsidR="00CF1970">
        <w:t>6</w:t>
      </w:r>
      <w:r>
        <w:t>-201</w:t>
      </w:r>
      <w:r w:rsidR="00CF1970">
        <w:t>7</w:t>
      </w:r>
      <w:r>
        <w:t xml:space="preserve">, OPC </w:t>
      </w:r>
      <w:r w:rsidRPr="006C6997">
        <w:t>provided</w:t>
      </w:r>
      <w:r>
        <w:t xml:space="preserve"> drafting services to settle or check legislative instruments drafted by a number of agencies</w:t>
      </w:r>
      <w:r w:rsidRPr="006C6997">
        <w:t>, including:</w:t>
      </w:r>
    </w:p>
    <w:p w:rsidR="00D50B61" w:rsidRPr="00E61C2A" w:rsidRDefault="00D50B61" w:rsidP="00D50B61">
      <w:pPr>
        <w:pStyle w:val="AnnualReportBullet"/>
        <w:tabs>
          <w:tab w:val="left" w:pos="360"/>
        </w:tabs>
        <w:ind w:left="360" w:hanging="360"/>
        <w:rPr>
          <w:rFonts w:cs="Arial"/>
        </w:rPr>
      </w:pPr>
      <w:r w:rsidRPr="00E61C2A">
        <w:rPr>
          <w:rFonts w:ascii="Symbol" w:hAnsi="Symbol"/>
        </w:rPr>
        <w:t></w:t>
      </w:r>
      <w:r w:rsidRPr="00E61C2A">
        <w:rPr>
          <w:rFonts w:ascii="Symbol" w:hAnsi="Symbol"/>
        </w:rPr>
        <w:tab/>
      </w:r>
      <w:r w:rsidRPr="00E61C2A">
        <w:rPr>
          <w:rFonts w:cs="Arial"/>
        </w:rPr>
        <w:t>the Attorney-General’s Department;</w:t>
      </w:r>
    </w:p>
    <w:p w:rsidR="00E61C2A" w:rsidRPr="00E61C2A" w:rsidRDefault="00E61C2A" w:rsidP="00E61C2A">
      <w:pPr>
        <w:pStyle w:val="AnnualReportBullet"/>
        <w:tabs>
          <w:tab w:val="left" w:pos="360"/>
        </w:tabs>
        <w:ind w:left="360" w:hanging="360"/>
        <w:rPr>
          <w:rFonts w:cs="Arial"/>
        </w:rPr>
      </w:pPr>
      <w:r w:rsidRPr="00E61C2A">
        <w:rPr>
          <w:rFonts w:ascii="Symbol" w:hAnsi="Symbol"/>
        </w:rPr>
        <w:t></w:t>
      </w:r>
      <w:r w:rsidRPr="00E61C2A">
        <w:rPr>
          <w:rFonts w:ascii="Symbol" w:hAnsi="Symbol"/>
        </w:rPr>
        <w:tab/>
      </w:r>
      <w:r w:rsidRPr="00E61C2A">
        <w:rPr>
          <w:rFonts w:cs="Arial"/>
        </w:rPr>
        <w:t>the Department of Agriculture and Water Resources;</w:t>
      </w:r>
    </w:p>
    <w:p w:rsidR="00E61C2A" w:rsidRDefault="00E61C2A" w:rsidP="00E61C2A">
      <w:pPr>
        <w:pStyle w:val="AnnualReportBullet"/>
        <w:tabs>
          <w:tab w:val="left" w:pos="360"/>
        </w:tabs>
        <w:ind w:left="360" w:hanging="360"/>
        <w:rPr>
          <w:rFonts w:cs="Arial"/>
        </w:rPr>
      </w:pPr>
      <w:r w:rsidRPr="00E61C2A">
        <w:rPr>
          <w:rFonts w:ascii="Symbol" w:hAnsi="Symbol"/>
        </w:rPr>
        <w:t></w:t>
      </w:r>
      <w:r w:rsidRPr="00E61C2A">
        <w:rPr>
          <w:rFonts w:ascii="Symbol" w:hAnsi="Symbol"/>
        </w:rPr>
        <w:tab/>
      </w:r>
      <w:r w:rsidRPr="00E61C2A">
        <w:rPr>
          <w:rFonts w:cs="Arial"/>
        </w:rPr>
        <w:t>the Department of Employment;</w:t>
      </w:r>
    </w:p>
    <w:p w:rsidR="00E61C2A" w:rsidRDefault="00E61C2A" w:rsidP="00E61C2A">
      <w:pPr>
        <w:pStyle w:val="AnnualReportBullet"/>
        <w:tabs>
          <w:tab w:val="left" w:pos="360"/>
        </w:tabs>
        <w:ind w:left="360" w:hanging="360"/>
        <w:rPr>
          <w:rFonts w:cs="Arial"/>
        </w:rPr>
      </w:pPr>
      <w:r w:rsidRPr="00E61C2A">
        <w:rPr>
          <w:rFonts w:ascii="Symbol" w:hAnsi="Symbol"/>
        </w:rPr>
        <w:t></w:t>
      </w:r>
      <w:r w:rsidRPr="00E61C2A">
        <w:rPr>
          <w:rFonts w:ascii="Symbol" w:hAnsi="Symbol"/>
        </w:rPr>
        <w:tab/>
      </w:r>
      <w:r w:rsidRPr="00E61C2A">
        <w:rPr>
          <w:rFonts w:cs="Arial"/>
        </w:rPr>
        <w:t xml:space="preserve">the Department of </w:t>
      </w:r>
      <w:r>
        <w:rPr>
          <w:rFonts w:cs="Arial"/>
        </w:rPr>
        <w:t>Education and Training</w:t>
      </w:r>
      <w:r w:rsidRPr="00E61C2A">
        <w:rPr>
          <w:rFonts w:cs="Arial"/>
        </w:rPr>
        <w:t>;</w:t>
      </w:r>
    </w:p>
    <w:p w:rsidR="00E61C2A" w:rsidRDefault="00E61C2A" w:rsidP="00E61C2A">
      <w:pPr>
        <w:pStyle w:val="AnnualReportBullet"/>
        <w:tabs>
          <w:tab w:val="left" w:pos="360"/>
        </w:tabs>
        <w:ind w:left="360" w:hanging="360"/>
        <w:rPr>
          <w:rFonts w:cs="Arial"/>
        </w:rPr>
      </w:pPr>
      <w:r w:rsidRPr="00E61C2A">
        <w:rPr>
          <w:rFonts w:ascii="Symbol" w:hAnsi="Symbol"/>
        </w:rPr>
        <w:t></w:t>
      </w:r>
      <w:r w:rsidRPr="00E61C2A">
        <w:rPr>
          <w:rFonts w:ascii="Symbol" w:hAnsi="Symbol"/>
        </w:rPr>
        <w:tab/>
      </w:r>
      <w:r w:rsidRPr="00E61C2A">
        <w:rPr>
          <w:rFonts w:cs="Arial"/>
        </w:rPr>
        <w:t xml:space="preserve">the Department of </w:t>
      </w:r>
      <w:r>
        <w:rPr>
          <w:rFonts w:cs="Arial"/>
        </w:rPr>
        <w:t>Immigration and Border Protection</w:t>
      </w:r>
      <w:r w:rsidRPr="00E61C2A">
        <w:rPr>
          <w:rFonts w:cs="Arial"/>
        </w:rPr>
        <w:t>;</w:t>
      </w:r>
    </w:p>
    <w:p w:rsidR="00E61C2A" w:rsidRDefault="00E61C2A" w:rsidP="00E61C2A">
      <w:pPr>
        <w:pStyle w:val="AnnualReportBullet"/>
        <w:tabs>
          <w:tab w:val="left" w:pos="360"/>
        </w:tabs>
        <w:ind w:left="360" w:hanging="360"/>
        <w:rPr>
          <w:rFonts w:cs="Arial"/>
        </w:rPr>
      </w:pPr>
      <w:r w:rsidRPr="00E61C2A">
        <w:rPr>
          <w:rFonts w:ascii="Symbol" w:hAnsi="Symbol"/>
        </w:rPr>
        <w:t></w:t>
      </w:r>
      <w:r w:rsidRPr="00E61C2A">
        <w:rPr>
          <w:rFonts w:ascii="Symbol" w:hAnsi="Symbol"/>
        </w:rPr>
        <w:tab/>
      </w:r>
      <w:r w:rsidRPr="00E61C2A">
        <w:rPr>
          <w:rFonts w:cs="Arial"/>
        </w:rPr>
        <w:t xml:space="preserve">the </w:t>
      </w:r>
      <w:r>
        <w:rPr>
          <w:rFonts w:cs="Arial"/>
        </w:rPr>
        <w:t>Treasury</w:t>
      </w:r>
      <w:r w:rsidRPr="00E61C2A">
        <w:rPr>
          <w:rFonts w:cs="Arial"/>
        </w:rPr>
        <w:t>;</w:t>
      </w:r>
    </w:p>
    <w:p w:rsidR="00E61C2A" w:rsidRPr="00E61C2A" w:rsidRDefault="00E61C2A" w:rsidP="00E61C2A">
      <w:pPr>
        <w:pStyle w:val="AnnualReportBullet"/>
        <w:tabs>
          <w:tab w:val="left" w:pos="360"/>
        </w:tabs>
        <w:ind w:left="360" w:hanging="360"/>
        <w:rPr>
          <w:rFonts w:cs="Arial"/>
        </w:rPr>
      </w:pPr>
      <w:r w:rsidRPr="00E61C2A">
        <w:rPr>
          <w:rFonts w:ascii="Symbol" w:hAnsi="Symbol"/>
        </w:rPr>
        <w:t></w:t>
      </w:r>
      <w:r w:rsidRPr="00E61C2A">
        <w:rPr>
          <w:rFonts w:ascii="Symbol" w:hAnsi="Symbol"/>
        </w:rPr>
        <w:tab/>
      </w:r>
      <w:r w:rsidRPr="00E61C2A">
        <w:rPr>
          <w:rFonts w:cs="Arial"/>
        </w:rPr>
        <w:t>the Department of Finance;</w:t>
      </w:r>
      <w:r>
        <w:rPr>
          <w:rFonts w:cs="Arial"/>
        </w:rPr>
        <w:t xml:space="preserve"> and</w:t>
      </w:r>
    </w:p>
    <w:p w:rsidR="00E61C2A" w:rsidRPr="00E61C2A" w:rsidRDefault="00E61C2A" w:rsidP="00E61C2A">
      <w:pPr>
        <w:pStyle w:val="AnnualReportBullet"/>
        <w:tabs>
          <w:tab w:val="left" w:pos="360"/>
        </w:tabs>
        <w:ind w:left="360" w:hanging="360"/>
        <w:rPr>
          <w:rFonts w:cs="Arial"/>
        </w:rPr>
      </w:pPr>
      <w:r w:rsidRPr="00E61C2A">
        <w:rPr>
          <w:rFonts w:ascii="Symbol" w:hAnsi="Symbol"/>
        </w:rPr>
        <w:t></w:t>
      </w:r>
      <w:r w:rsidRPr="00E61C2A">
        <w:rPr>
          <w:rFonts w:ascii="Symbol" w:hAnsi="Symbol"/>
        </w:rPr>
        <w:tab/>
      </w:r>
      <w:r w:rsidRPr="00E61C2A">
        <w:rPr>
          <w:rFonts w:cs="Arial"/>
        </w:rPr>
        <w:t xml:space="preserve">the Department of </w:t>
      </w:r>
      <w:r>
        <w:rPr>
          <w:rFonts w:cs="Arial"/>
        </w:rPr>
        <w:t>Social Services.</w:t>
      </w:r>
    </w:p>
    <w:p w:rsidR="00D50B61" w:rsidRDefault="00D50B61" w:rsidP="00D50B61">
      <w:pPr>
        <w:pStyle w:val="BodyNum"/>
      </w:pPr>
      <w:r>
        <w:lastRenderedPageBreak/>
        <w:t>OPC also sought to increase our services to agencies in the drafting of precedents to guide ag</w:t>
      </w:r>
      <w:r w:rsidR="00CF1970">
        <w:t>encies in preparing instruments</w:t>
      </w:r>
      <w:r w:rsidRPr="00F70655">
        <w:t xml:space="preserve">. </w:t>
      </w:r>
      <w:r w:rsidRPr="00E61C2A">
        <w:t xml:space="preserve">This included preparing templates for </w:t>
      </w:r>
      <w:r w:rsidR="00E61C2A">
        <w:t xml:space="preserve">the </w:t>
      </w:r>
      <w:r w:rsidRPr="00E61C2A">
        <w:t>Department of Agriculture and Water Resources</w:t>
      </w:r>
      <w:r w:rsidRPr="00F70655">
        <w:t>.</w:t>
      </w:r>
    </w:p>
    <w:p w:rsidR="00E61C2A" w:rsidRPr="00F70655" w:rsidRDefault="00E61C2A" w:rsidP="00D50B61">
      <w:pPr>
        <w:pStyle w:val="BodyNum"/>
      </w:pPr>
      <w:r>
        <w:t>Templates for legislative instruments were also made available on the OPC website.</w:t>
      </w:r>
    </w:p>
    <w:p w:rsidR="00D50B61" w:rsidRDefault="00D50B61" w:rsidP="00D50B61">
      <w:pPr>
        <w:pStyle w:val="BodyNum"/>
      </w:pPr>
      <w:r>
        <w:t>OPC has also continued to provide advice concerning the drafting of legislative instruments through making OPC Client Advisers available to a number of agencies.</w:t>
      </w:r>
    </w:p>
    <w:p w:rsidR="00D50B61" w:rsidRDefault="00D50B61" w:rsidP="00D50B61">
      <w:pPr>
        <w:pStyle w:val="BodyNum"/>
      </w:pPr>
      <w:r>
        <w:t>To improve the readability and standard of non-self-governing Territory instruments and promote greater consistency in the drafting of these instruments across Territories, OPC also worked in consultation with the Department of Infrastructure and Regional Development to further develop drafting policy in relation to these instruments.</w:t>
      </w:r>
    </w:p>
    <w:p w:rsidR="00D50B61" w:rsidRPr="00F70655" w:rsidRDefault="00CF1970" w:rsidP="00D50B61">
      <w:pPr>
        <w:pStyle w:val="BodyNum"/>
      </w:pPr>
      <w:r>
        <w:t>A</w:t>
      </w:r>
      <w:r w:rsidR="00D50B61">
        <w:t xml:space="preserve">fter excellent feedback on training programs provided to particular agencies in previous financial years, OPC </w:t>
      </w:r>
      <w:r>
        <w:t xml:space="preserve">presented </w:t>
      </w:r>
      <w:r w:rsidR="00D50B61">
        <w:t xml:space="preserve">a Drafting Simple Instruments Course. The course covers the essential requirements for drafting </w:t>
      </w:r>
      <w:r w:rsidR="00D50B61">
        <w:lastRenderedPageBreak/>
        <w:t xml:space="preserve">simple instruments and will be available to all Commonwealth agency staff who have previously attended </w:t>
      </w:r>
      <w:r w:rsidR="006E79E6">
        <w:t xml:space="preserve">a Legislation Process Course. It is </w:t>
      </w:r>
      <w:r w:rsidR="00D50B61">
        <w:t>envisage</w:t>
      </w:r>
      <w:r w:rsidR="006E79E6">
        <w:t>d</w:t>
      </w:r>
      <w:r w:rsidR="00D50B61">
        <w:t xml:space="preserve"> that this training will have a significant impact in encouraging </w:t>
      </w:r>
      <w:r w:rsidR="00D50B61" w:rsidRPr="00C575CA">
        <w:rPr>
          <w:rStyle w:val="CharSubdText"/>
        </w:rPr>
        <w:t>high standards in the drafting of legislative</w:t>
      </w:r>
      <w:r w:rsidR="00D50B61">
        <w:rPr>
          <w:rStyle w:val="CharSubdText"/>
        </w:rPr>
        <w:t xml:space="preserve"> and notifiable</w:t>
      </w:r>
      <w:r w:rsidR="00D50B61" w:rsidRPr="00C575CA">
        <w:rPr>
          <w:rStyle w:val="CharSubdText"/>
        </w:rPr>
        <w:t xml:space="preserve"> instruments</w:t>
      </w:r>
      <w:r w:rsidR="00D50B61">
        <w:rPr>
          <w:rStyle w:val="CharSubdText"/>
        </w:rPr>
        <w:t xml:space="preserve"> across the Commonwealth.</w:t>
      </w:r>
    </w:p>
    <w:p w:rsidR="00D50B61" w:rsidRDefault="0055279D" w:rsidP="00D50B61">
      <w:pPr>
        <w:pStyle w:val="BodyNum"/>
      </w:pPr>
      <w:r>
        <w:t xml:space="preserve">Finally, </w:t>
      </w:r>
      <w:r w:rsidR="00D50B61">
        <w:t>FPC also continued to assist in preventing the inappropriate use of gender-specific language in legislative instruments through guidance provided to agencies in the Instruments Handbook and monitoring of the use of gender-specific language through reporting by agencies at the time of registration.</w:t>
      </w:r>
    </w:p>
    <w:p w:rsidR="00560D48" w:rsidRDefault="00E4744D" w:rsidP="00560D48">
      <w:pPr>
        <w:pStyle w:val="BodyNum"/>
      </w:pPr>
      <w:r>
        <w:t xml:space="preserve">One instance of </w:t>
      </w:r>
      <w:r w:rsidR="00560D48">
        <w:t>inappropriate use of gender-specific language was identified in an instrument registered in 2016-</w:t>
      </w:r>
      <w:r w:rsidR="009A21DE">
        <w:t>20</w:t>
      </w:r>
      <w:r w:rsidR="00560D48">
        <w:t xml:space="preserve">17. The </w:t>
      </w:r>
      <w:proofErr w:type="spellStart"/>
      <w:r w:rsidR="00560D48" w:rsidRPr="003F715E">
        <w:rPr>
          <w:i/>
        </w:rPr>
        <w:t>Seacare</w:t>
      </w:r>
      <w:proofErr w:type="spellEnd"/>
      <w:r w:rsidR="00560D48" w:rsidRPr="003F715E">
        <w:rPr>
          <w:i/>
        </w:rPr>
        <w:t xml:space="preserve"> Code of Practice Approval 2017</w:t>
      </w:r>
      <w:r w:rsidR="00560D48" w:rsidRPr="003F715E">
        <w:t>,</w:t>
      </w:r>
      <w:r w:rsidR="00560D48">
        <w:rPr>
          <w:i/>
        </w:rPr>
        <w:t xml:space="preserve"> </w:t>
      </w:r>
      <w:r w:rsidR="00560D48" w:rsidRPr="003F715E">
        <w:t>preserve</w:t>
      </w:r>
      <w:r w:rsidR="00560D48">
        <w:t>d</w:t>
      </w:r>
      <w:r w:rsidR="00560D48" w:rsidRPr="003F715E">
        <w:t xml:space="preserve"> the </w:t>
      </w:r>
      <w:proofErr w:type="spellStart"/>
      <w:r w:rsidR="00560D48" w:rsidRPr="003F715E">
        <w:rPr>
          <w:i/>
        </w:rPr>
        <w:t>Seacare</w:t>
      </w:r>
      <w:proofErr w:type="spellEnd"/>
      <w:r w:rsidR="00560D48" w:rsidRPr="003F715E">
        <w:rPr>
          <w:i/>
        </w:rPr>
        <w:t xml:space="preserve"> Authority Code of Practice 1/2000</w:t>
      </w:r>
      <w:r w:rsidR="00560D48" w:rsidRPr="003F715E">
        <w:t xml:space="preserve"> beyond 1 April 2017 until 1 April 2019.</w:t>
      </w:r>
      <w:r w:rsidR="00560D48">
        <w:t xml:space="preserve"> The use of gender-specific language reflects</w:t>
      </w:r>
      <w:r>
        <w:t xml:space="preserve"> the age of the existing Code. </w:t>
      </w:r>
      <w:r w:rsidR="00560D48">
        <w:t>A new Code is being developed</w:t>
      </w:r>
      <w:r>
        <w:t xml:space="preserve"> in consultation with industry.</w:t>
      </w:r>
    </w:p>
    <w:p w:rsidR="00D50B61" w:rsidRPr="00560D48" w:rsidRDefault="00560D48" w:rsidP="00560D48">
      <w:pPr>
        <w:pStyle w:val="BodyNum"/>
        <w:sectPr w:rsidR="00D50B61" w:rsidRPr="00560D48">
          <w:headerReference w:type="default" r:id="rId45"/>
          <w:type w:val="continuous"/>
          <w:pgSz w:w="11907" w:h="16839" w:code="9"/>
          <w:pgMar w:top="1134" w:right="2410" w:bottom="4253" w:left="2410" w:header="510" w:footer="3402" w:gutter="0"/>
          <w:cols w:num="2" w:space="709"/>
          <w:docGrid w:linePitch="326"/>
        </w:sectPr>
      </w:pPr>
      <w:r>
        <w:lastRenderedPageBreak/>
        <w:t xml:space="preserve">As required under subsection 16(3) of the Legislation Act, FPC notified the rule-maker that the Code makes inappropriate </w:t>
      </w:r>
      <w:r>
        <w:lastRenderedPageBreak/>
        <w:t>use of gender-specific language and notified both Houses of Parliament that the rule-maker had been advised of this matter.</w:t>
      </w:r>
    </w:p>
    <w:p w:rsidR="008B7F83" w:rsidRDefault="008B7F83" w:rsidP="008B7F83">
      <w:pPr>
        <w:pStyle w:val="Head3"/>
      </w:pPr>
      <w:bookmarkStart w:id="57" w:name="_Toc492656466"/>
      <w:r>
        <w:lastRenderedPageBreak/>
        <w:t>Analysis of performance against Purpose 2: Publi</w:t>
      </w:r>
      <w:r w:rsidR="00AC6992">
        <w:t>cation</w:t>
      </w:r>
      <w:bookmarkEnd w:id="57"/>
    </w:p>
    <w:p w:rsidR="004A43A7" w:rsidRPr="004A43A7" w:rsidRDefault="004A43A7" w:rsidP="004A43A7">
      <w:pPr>
        <w:pStyle w:val="BodyNum"/>
        <w:numPr>
          <w:ilvl w:val="0"/>
          <w:numId w:val="0"/>
        </w:numPr>
        <w:sectPr w:rsidR="004A43A7" w:rsidRPr="004A43A7" w:rsidSect="008B7F83">
          <w:headerReference w:type="default" r:id="rId46"/>
          <w:type w:val="continuous"/>
          <w:pgSz w:w="11907" w:h="16839" w:code="9"/>
          <w:pgMar w:top="1134" w:right="2410" w:bottom="4253" w:left="2410" w:header="510" w:footer="3402" w:gutter="0"/>
          <w:cols w:space="709"/>
          <w:docGrid w:linePitch="326"/>
        </w:sectPr>
      </w:pPr>
    </w:p>
    <w:p w:rsidR="003F34A4" w:rsidRDefault="003F34A4" w:rsidP="003F34A4">
      <w:pPr>
        <w:pStyle w:val="Head4"/>
        <w:spacing w:before="0"/>
        <w:rPr>
          <w:rStyle w:val="CharSubdText"/>
        </w:rPr>
      </w:pPr>
      <w:r>
        <w:rPr>
          <w:rStyle w:val="CharSubdText"/>
        </w:rPr>
        <w:lastRenderedPageBreak/>
        <w:t>Overview</w:t>
      </w:r>
    </w:p>
    <w:p w:rsidR="003F34A4" w:rsidRDefault="003F34A4" w:rsidP="003F34A4">
      <w:pPr>
        <w:pStyle w:val="BodyNum"/>
      </w:pPr>
      <w:proofErr w:type="spellStart"/>
      <w:r>
        <w:t>OPC’s</w:t>
      </w:r>
      <w:proofErr w:type="spellEnd"/>
      <w:r>
        <w:t xml:space="preserve"> second purpose is </w:t>
      </w:r>
      <w:r w:rsidR="00011CD1">
        <w:t>“</w:t>
      </w:r>
      <w:r>
        <w:t>to ensure Commonwealth laws and instruments</w:t>
      </w:r>
      <w:r w:rsidR="00011CD1">
        <w:t xml:space="preserve"> are freely available and accessible to everyone by publishing those laws and instruments on the </w:t>
      </w:r>
      <w:r w:rsidR="005645B7" w:rsidRPr="00885363">
        <w:t>Federal Register of Legislation website</w:t>
      </w:r>
      <w:r w:rsidR="005645B7">
        <w:t>”</w:t>
      </w:r>
      <w:r w:rsidR="00011CD1">
        <w:t>.</w:t>
      </w:r>
    </w:p>
    <w:p w:rsidR="00B7009E" w:rsidRPr="00F26B37" w:rsidRDefault="00011CD1" w:rsidP="00011CD1">
      <w:pPr>
        <w:pStyle w:val="BodyNum"/>
      </w:pPr>
      <w:r>
        <w:t>The Publications group meets this purpose by:</w:t>
      </w:r>
    </w:p>
    <w:p w:rsidR="00B7009E" w:rsidRDefault="00B7009E" w:rsidP="00B7009E">
      <w:pPr>
        <w:pStyle w:val="AnnualReportBullet"/>
        <w:ind w:left="360" w:hanging="360"/>
      </w:pPr>
      <w:r w:rsidRPr="00F26B37">
        <w:rPr>
          <w:rFonts w:ascii="Symbol" w:hAnsi="Symbol"/>
        </w:rPr>
        <w:t></w:t>
      </w:r>
      <w:r w:rsidRPr="00F26B37">
        <w:rPr>
          <w:rFonts w:ascii="Symbol" w:hAnsi="Symbol"/>
        </w:rPr>
        <w:tab/>
      </w:r>
      <w:r w:rsidRPr="00F26B37">
        <w:t>managing the</w:t>
      </w:r>
      <w:r w:rsidR="001401C1">
        <w:t xml:space="preserve"> </w:t>
      </w:r>
      <w:r w:rsidR="004E3E71">
        <w:t>Legislation</w:t>
      </w:r>
      <w:r w:rsidR="00594BD9">
        <w:t xml:space="preserve"> Register</w:t>
      </w:r>
      <w:r w:rsidR="00E302B5">
        <w:t>;</w:t>
      </w:r>
    </w:p>
    <w:p w:rsidR="00E302B5" w:rsidRPr="00F26B37" w:rsidRDefault="00E302B5" w:rsidP="00B7009E">
      <w:pPr>
        <w:pStyle w:val="AnnualReportBullet"/>
        <w:ind w:left="360" w:hanging="360"/>
      </w:pPr>
      <w:r w:rsidRPr="00F26B37">
        <w:rPr>
          <w:rFonts w:ascii="Symbol" w:hAnsi="Symbol"/>
        </w:rPr>
        <w:t></w:t>
      </w:r>
      <w:r w:rsidRPr="00F26B37">
        <w:rPr>
          <w:rFonts w:ascii="Symbol" w:hAnsi="Symbol"/>
        </w:rPr>
        <w:tab/>
      </w:r>
      <w:r w:rsidRPr="00F26B37">
        <w:t>registering legislative instruments and lodging them</w:t>
      </w:r>
      <w:r>
        <w:t xml:space="preserve"> for tabling in the Parliament;</w:t>
      </w:r>
    </w:p>
    <w:p w:rsidR="00B7009E" w:rsidRPr="00F26B37" w:rsidRDefault="00B7009E" w:rsidP="00B7009E">
      <w:pPr>
        <w:pStyle w:val="AnnualReportBullet"/>
        <w:ind w:left="360" w:hanging="360"/>
      </w:pPr>
      <w:r w:rsidRPr="00F26B37">
        <w:rPr>
          <w:rFonts w:ascii="Symbol" w:hAnsi="Symbol"/>
        </w:rPr>
        <w:t></w:t>
      </w:r>
      <w:r w:rsidRPr="00F26B37">
        <w:rPr>
          <w:rFonts w:ascii="Symbol" w:hAnsi="Symbol"/>
        </w:rPr>
        <w:tab/>
      </w:r>
      <w:r w:rsidRPr="00F26B37">
        <w:t>preparing compilations and reprints of, and information relating to, Commonwealth laws;</w:t>
      </w:r>
    </w:p>
    <w:p w:rsidR="00B7009E" w:rsidRPr="00F26B37" w:rsidRDefault="00B7009E" w:rsidP="00B7009E">
      <w:pPr>
        <w:pStyle w:val="AnnualReportBullet"/>
        <w:ind w:left="360" w:hanging="360"/>
      </w:pPr>
      <w:r w:rsidRPr="00F26B37">
        <w:rPr>
          <w:rFonts w:ascii="Symbol" w:hAnsi="Symbol"/>
        </w:rPr>
        <w:t></w:t>
      </w:r>
      <w:r w:rsidRPr="00F26B37">
        <w:rPr>
          <w:rFonts w:ascii="Symbol" w:hAnsi="Symbol"/>
        </w:rPr>
        <w:tab/>
      </w:r>
      <w:r w:rsidRPr="00F26B37">
        <w:t>publishing Commonwealth legislation and legislative information;</w:t>
      </w:r>
    </w:p>
    <w:p w:rsidR="00B7009E" w:rsidRPr="007D538F" w:rsidRDefault="00B7009E" w:rsidP="00B7009E">
      <w:pPr>
        <w:pStyle w:val="AnnualReportBullet"/>
        <w:ind w:left="360" w:hanging="360"/>
      </w:pPr>
      <w:r w:rsidRPr="00F26B37">
        <w:rPr>
          <w:rFonts w:ascii="Symbol" w:hAnsi="Symbol"/>
        </w:rPr>
        <w:t></w:t>
      </w:r>
      <w:r w:rsidRPr="00F26B37">
        <w:rPr>
          <w:rFonts w:ascii="Symbol" w:hAnsi="Symbol"/>
        </w:rPr>
        <w:tab/>
      </w:r>
      <w:r w:rsidRPr="00F26B37">
        <w:t>publishing the Government Notices Gazette;</w:t>
      </w:r>
    </w:p>
    <w:p w:rsidR="00B7009E" w:rsidRPr="00F26B37" w:rsidRDefault="00B7009E" w:rsidP="00B7009E">
      <w:pPr>
        <w:pStyle w:val="AnnualReportBullet"/>
        <w:ind w:left="360" w:hanging="360"/>
      </w:pPr>
      <w:r w:rsidRPr="007D538F">
        <w:rPr>
          <w:rFonts w:ascii="Symbol" w:hAnsi="Symbol"/>
        </w:rPr>
        <w:t></w:t>
      </w:r>
      <w:r w:rsidRPr="007D538F">
        <w:rPr>
          <w:rFonts w:ascii="Symbol" w:hAnsi="Symbol"/>
        </w:rPr>
        <w:tab/>
      </w:r>
      <w:r w:rsidRPr="00F26B37">
        <w:t>proo</w:t>
      </w:r>
      <w:r w:rsidRPr="007D538F">
        <w:t>freading and editorial checking of OPC drafted legislation</w:t>
      </w:r>
      <w:r>
        <w:t xml:space="preserve">; </w:t>
      </w:r>
      <w:r w:rsidRPr="00F26B37">
        <w:t>and</w:t>
      </w:r>
    </w:p>
    <w:p w:rsidR="00B7009E" w:rsidRPr="00F26B37" w:rsidRDefault="00B7009E" w:rsidP="00B7009E">
      <w:pPr>
        <w:pStyle w:val="AnnualReportBullet"/>
        <w:ind w:left="360" w:hanging="360"/>
      </w:pPr>
      <w:r w:rsidRPr="00F26B37">
        <w:rPr>
          <w:rFonts w:ascii="Symbol" w:hAnsi="Symbol"/>
        </w:rPr>
        <w:lastRenderedPageBreak/>
        <w:t></w:t>
      </w:r>
      <w:r w:rsidRPr="00F26B37">
        <w:rPr>
          <w:rFonts w:ascii="Symbol" w:hAnsi="Symbol"/>
        </w:rPr>
        <w:tab/>
      </w:r>
      <w:r w:rsidRPr="00F26B37">
        <w:t xml:space="preserve">developing and operating the whole-of-government </w:t>
      </w:r>
      <w:r w:rsidR="00594BD9">
        <w:t>Legislation Register</w:t>
      </w:r>
      <w:r w:rsidRPr="00F26B37">
        <w:t xml:space="preserve"> website (www.legislation.gov.au).</w:t>
      </w:r>
    </w:p>
    <w:p w:rsidR="00011CD1" w:rsidRDefault="00011CD1" w:rsidP="00B7009E">
      <w:pPr>
        <w:pStyle w:val="BodyNum"/>
      </w:pPr>
      <w:r>
        <w:t xml:space="preserve">OPC has met </w:t>
      </w:r>
      <w:r w:rsidR="00F83050">
        <w:t xml:space="preserve">all </w:t>
      </w:r>
      <w:r w:rsidR="00E302B5">
        <w:t>pe</w:t>
      </w:r>
      <w:r w:rsidR="00F83050">
        <w:t>rformance target</w:t>
      </w:r>
      <w:r w:rsidR="009A21DE">
        <w:t>s</w:t>
      </w:r>
      <w:r>
        <w:t xml:space="preserve"> for this purpose in the 201</w:t>
      </w:r>
      <w:r w:rsidR="00E302B5">
        <w:t>6</w:t>
      </w:r>
      <w:r>
        <w:t>-201</w:t>
      </w:r>
      <w:r w:rsidR="00E302B5">
        <w:t>7</w:t>
      </w:r>
      <w:r>
        <w:t xml:space="preserve"> year.</w:t>
      </w:r>
    </w:p>
    <w:p w:rsidR="00011CD1" w:rsidRDefault="00592670" w:rsidP="00B7009E">
      <w:pPr>
        <w:pStyle w:val="BodyNum"/>
      </w:pPr>
      <w:r>
        <w:t>100% of</w:t>
      </w:r>
      <w:r w:rsidR="00011CD1">
        <w:t xml:space="preserve"> new legislative instruments and gazette notices were registered </w:t>
      </w:r>
      <w:r>
        <w:t xml:space="preserve">promptly, within timeframes set by client agencies, </w:t>
      </w:r>
      <w:r w:rsidR="00AA20FD">
        <w:t xml:space="preserve">and </w:t>
      </w:r>
      <w:r>
        <w:t>in accordance with statutory requirements.</w:t>
      </w:r>
    </w:p>
    <w:p w:rsidR="00592670" w:rsidRDefault="00592670" w:rsidP="00B7009E">
      <w:pPr>
        <w:pStyle w:val="BodyNum"/>
      </w:pPr>
      <w:r>
        <w:t>This met the performance target for legislative instruments and gazette notices that were to be registered on a specific date as required by lodging entities, and exceeded the target of 98% for other legislative instrument and gazette notices that were to be registered no later than 2 business days after lodgement.</w:t>
      </w:r>
    </w:p>
    <w:p w:rsidR="00592670" w:rsidRDefault="00FB3E00" w:rsidP="00B7009E">
      <w:pPr>
        <w:pStyle w:val="BodyNum"/>
      </w:pPr>
      <w:r>
        <w:t xml:space="preserve">100% of Acts were published on the </w:t>
      </w:r>
      <w:r w:rsidR="001401C1">
        <w:t xml:space="preserve">Legislation Register </w:t>
      </w:r>
      <w:r>
        <w:t xml:space="preserve">no later than 2 working days after receipt of notification of </w:t>
      </w:r>
      <w:r>
        <w:lastRenderedPageBreak/>
        <w:t>Royal Assent exceeding the performance target of 98%.</w:t>
      </w:r>
    </w:p>
    <w:p w:rsidR="00FB3E00" w:rsidRDefault="00FB3E00" w:rsidP="00B7009E">
      <w:pPr>
        <w:pStyle w:val="BodyNum"/>
      </w:pPr>
      <w:r>
        <w:t xml:space="preserve">Act compilations were accurate and generally published promptly on the </w:t>
      </w:r>
      <w:r w:rsidR="00594BD9">
        <w:t>Legislation Register</w:t>
      </w:r>
      <w:r>
        <w:t xml:space="preserve"> in accordance with statutory requirements.</w:t>
      </w:r>
    </w:p>
    <w:p w:rsidR="00FB3E00" w:rsidRDefault="00E302B5" w:rsidP="00B7009E">
      <w:pPr>
        <w:pStyle w:val="BodyNum"/>
      </w:pPr>
      <w:r>
        <w:t>99</w:t>
      </w:r>
      <w:r w:rsidR="00FB3E00">
        <w:t xml:space="preserve">% of Act and legislative instrument compilations required to be prepared by OPC were registered on the </w:t>
      </w:r>
      <w:r w:rsidR="00594BD9">
        <w:t>Legislation Register</w:t>
      </w:r>
      <w:r w:rsidR="00FB3E00">
        <w:t xml:space="preserve"> by the later of 90 days after Royal Assent or making date, or 28 days after commencement of the prospective amendments. This </w:t>
      </w:r>
      <w:r>
        <w:t>exceeded</w:t>
      </w:r>
      <w:r w:rsidR="00FB3E00">
        <w:t xml:space="preserve"> the performance target of </w:t>
      </w:r>
      <w:r w:rsidR="00AA20FD">
        <w:t>90</w:t>
      </w:r>
      <w:r w:rsidR="00FB3E00">
        <w:t>%.</w:t>
      </w:r>
    </w:p>
    <w:p w:rsidR="006576F4" w:rsidRDefault="00E302B5" w:rsidP="00E302B5">
      <w:pPr>
        <w:pStyle w:val="BodyNum"/>
      </w:pPr>
      <w:r>
        <w:t>This is an improvement on last financial year when this performance target was not met. The improvement in performance was assisted by a reduced volume of required compilations but also by the implementation of strategies to improve timeliness, particularly in peak periods.</w:t>
      </w:r>
    </w:p>
    <w:p w:rsidR="00CC45CF" w:rsidRPr="00C575CA" w:rsidRDefault="00CC45CF" w:rsidP="00CC45CF">
      <w:pPr>
        <w:pStyle w:val="Head4"/>
        <w:rPr>
          <w:rStyle w:val="CharSubdText"/>
        </w:rPr>
      </w:pPr>
      <w:r>
        <w:rPr>
          <w:rStyle w:val="CharSubdText"/>
        </w:rPr>
        <w:t>Staffing</w:t>
      </w:r>
    </w:p>
    <w:p w:rsidR="00B7009E" w:rsidRDefault="00B7009E" w:rsidP="00E302B5">
      <w:pPr>
        <w:pStyle w:val="BodyNum"/>
      </w:pPr>
      <w:r w:rsidRPr="00CC45CF">
        <w:t xml:space="preserve">Staff have continued to be trained in all the areas of responsibilities within the </w:t>
      </w:r>
      <w:r w:rsidR="00F83050" w:rsidRPr="00CC45CF">
        <w:t>Publications g</w:t>
      </w:r>
      <w:r w:rsidRPr="00CC45CF">
        <w:t>roup to allow resources to be better utilised</w:t>
      </w:r>
      <w:r w:rsidRPr="004764FC">
        <w:t xml:space="preserve"> </w:t>
      </w:r>
      <w:r w:rsidRPr="00CC45CF">
        <w:t>and directed during peak periods.</w:t>
      </w:r>
    </w:p>
    <w:p w:rsidR="004A6790" w:rsidRPr="00C575CA" w:rsidRDefault="004A6790" w:rsidP="004A6790">
      <w:pPr>
        <w:pStyle w:val="Head4"/>
        <w:rPr>
          <w:rStyle w:val="CharSubdText"/>
        </w:rPr>
      </w:pPr>
      <w:r>
        <w:rPr>
          <w:rStyle w:val="CharSubdText"/>
        </w:rPr>
        <w:lastRenderedPageBreak/>
        <w:t>The Legislation Act and Legislation Register</w:t>
      </w:r>
    </w:p>
    <w:p w:rsidR="00B7009E" w:rsidRPr="00D41D88" w:rsidRDefault="00B7009E" w:rsidP="00B7009E">
      <w:pPr>
        <w:pStyle w:val="BodyNum"/>
      </w:pPr>
      <w:r w:rsidRPr="00D41D88">
        <w:t xml:space="preserve">In July 2014, OPC introduced a new annual fee model for standard </w:t>
      </w:r>
      <w:r w:rsidR="00594BD9">
        <w:t>Legislation Register</w:t>
      </w:r>
      <w:r w:rsidRPr="00D41D88">
        <w:t xml:space="preserve"> services to assist clients. </w:t>
      </w:r>
      <w:r w:rsidRPr="007D538F">
        <w:t xml:space="preserve">Fees for some agencies have substantially declined over the last </w:t>
      </w:r>
      <w:r w:rsidR="0065385A">
        <w:t>2</w:t>
      </w:r>
      <w:r w:rsidRPr="007D538F">
        <w:t xml:space="preserve"> years as they change their registration practices. The </w:t>
      </w:r>
      <w:r w:rsidR="00594BD9">
        <w:t>Legislation Register</w:t>
      </w:r>
      <w:r w:rsidRPr="00D41D88">
        <w:t xml:space="preserve"> fees continue to be consistent with the Australian Government Cost Recovery Guidelines and attribute costs that recognise the whole-of-life cost (including IT infrastructure costs) in publishing legislati</w:t>
      </w:r>
      <w:r w:rsidRPr="007D538F">
        <w:t>on</w:t>
      </w:r>
      <w:r w:rsidRPr="00D41D88">
        <w:t>.</w:t>
      </w:r>
    </w:p>
    <w:p w:rsidR="00B7009E" w:rsidRDefault="00B7009E" w:rsidP="00B7009E">
      <w:pPr>
        <w:pStyle w:val="BodyNum"/>
      </w:pPr>
      <w:r w:rsidRPr="00860BE0">
        <w:t xml:space="preserve">The demand for current versions of legislation continues to be met by free online public access provided by </w:t>
      </w:r>
      <w:r w:rsidR="00594BD9">
        <w:t>the Legislation Register</w:t>
      </w:r>
      <w:r w:rsidRPr="00860BE0">
        <w:t xml:space="preserve">. </w:t>
      </w:r>
      <w:r w:rsidRPr="007D538F">
        <w:t>Commercially p</w:t>
      </w:r>
      <w:r w:rsidRPr="00E4548F">
        <w:t xml:space="preserve">rinted </w:t>
      </w:r>
      <w:r w:rsidRPr="007D538F">
        <w:t xml:space="preserve">copies of </w:t>
      </w:r>
      <w:r w:rsidRPr="00E4548F">
        <w:t>version</w:t>
      </w:r>
      <w:r w:rsidRPr="007D538F">
        <w:t>s,</w:t>
      </w:r>
      <w:r w:rsidRPr="00E4548F">
        <w:t xml:space="preserve"> </w:t>
      </w:r>
      <w:r w:rsidRPr="00860BE0">
        <w:t>if</w:t>
      </w:r>
      <w:r w:rsidRPr="00E4548F">
        <w:t xml:space="preserve"> </w:t>
      </w:r>
      <w:r w:rsidRPr="00860BE0">
        <w:t xml:space="preserve">required, </w:t>
      </w:r>
      <w:r w:rsidRPr="007D538F">
        <w:t>can be ordered online using</w:t>
      </w:r>
      <w:r w:rsidRPr="00E4548F">
        <w:t xml:space="preserve"> the</w:t>
      </w:r>
      <w:r w:rsidRPr="00860BE0">
        <w:t xml:space="preserve"> print-on-demand function on </w:t>
      </w:r>
      <w:r w:rsidRPr="007D538F">
        <w:t xml:space="preserve">the </w:t>
      </w:r>
      <w:r w:rsidR="00594BD9">
        <w:t>Legislation Register</w:t>
      </w:r>
      <w:r w:rsidR="00E302B5">
        <w:t>.</w:t>
      </w:r>
    </w:p>
    <w:p w:rsidR="00E302B5" w:rsidRDefault="00E302B5" w:rsidP="00B7009E">
      <w:pPr>
        <w:pStyle w:val="BodyNum"/>
      </w:pPr>
      <w:r>
        <w:t>As a result of an open tender process, print-on-demand and distribution services are now being provided by Docklands Ability Group Pty Ltd.</w:t>
      </w:r>
    </w:p>
    <w:p w:rsidR="00A901D2" w:rsidRPr="00C575CA" w:rsidRDefault="00A901D2" w:rsidP="00A901D2">
      <w:pPr>
        <w:pStyle w:val="Head4"/>
        <w:rPr>
          <w:rStyle w:val="CharSubdText"/>
        </w:rPr>
      </w:pPr>
      <w:r>
        <w:rPr>
          <w:rStyle w:val="CharSubdText"/>
        </w:rPr>
        <w:t>Data acquisition</w:t>
      </w:r>
    </w:p>
    <w:p w:rsidR="00A901D2" w:rsidRDefault="00A901D2" w:rsidP="00B7009E">
      <w:pPr>
        <w:pStyle w:val="BodyNum"/>
      </w:pPr>
      <w:r>
        <w:t>The P</w:t>
      </w:r>
      <w:r w:rsidR="00AA20FD">
        <w:t>ublications g</w:t>
      </w:r>
      <w:r>
        <w:t xml:space="preserve">roup started data acquisition projects to </w:t>
      </w:r>
      <w:r>
        <w:lastRenderedPageBreak/>
        <w:t>make difficult</w:t>
      </w:r>
      <w:r w:rsidR="00AA20FD">
        <w:t>-</w:t>
      </w:r>
      <w:r>
        <w:t>to</w:t>
      </w:r>
      <w:r w:rsidR="00AA20FD">
        <w:t>-</w:t>
      </w:r>
      <w:r>
        <w:t>find historical legislative material more accessible.</w:t>
      </w:r>
    </w:p>
    <w:p w:rsidR="00C86FD2" w:rsidRDefault="00A901D2" w:rsidP="00A901D2">
      <w:pPr>
        <w:pStyle w:val="BodyNum"/>
      </w:pPr>
      <w:r>
        <w:t>All historical General Notice Gazettes, Special and Periodical Gazettes from 1901 have now been published on the Legislation Register.</w:t>
      </w:r>
    </w:p>
    <w:p w:rsidR="00A901D2" w:rsidRDefault="00A901D2" w:rsidP="00A901D2">
      <w:pPr>
        <w:pStyle w:val="BodyNum"/>
      </w:pPr>
      <w:r>
        <w:t>Work has started on preparing versions of as made legislation from 1901 in multiple formats to make this material easier to find and use. This project will continue into next financial year.</w:t>
      </w:r>
    </w:p>
    <w:p w:rsidR="00A901D2" w:rsidRPr="00A901D2" w:rsidRDefault="00A901D2" w:rsidP="00A901D2">
      <w:pPr>
        <w:pStyle w:val="BodyNum"/>
        <w:sectPr w:rsidR="00A901D2" w:rsidRPr="00A901D2" w:rsidSect="00B37353">
          <w:headerReference w:type="even" r:id="rId47"/>
          <w:headerReference w:type="default" r:id="rId48"/>
          <w:type w:val="continuous"/>
          <w:pgSz w:w="11907" w:h="16839" w:code="9"/>
          <w:pgMar w:top="1134" w:right="2410" w:bottom="4253" w:left="2410" w:header="510" w:footer="3402" w:gutter="0"/>
          <w:cols w:num="2" w:space="709"/>
          <w:docGrid w:linePitch="326"/>
        </w:sectPr>
      </w:pPr>
      <w:r>
        <w:lastRenderedPageBreak/>
        <w:t>Significant resources have also been put into back-capturin</w:t>
      </w:r>
      <w:r w:rsidR="00AA20FD">
        <w:t>g historical meta-data on the Legislation R</w:t>
      </w:r>
      <w:r>
        <w:t>egister to make it consistent with current standards and therefore easier to search and retrieve information about older legislation. For example, over 17,000 versions of legislation have had their meta-data updated to add their effective period. This project will also continue into next financial year.</w:t>
      </w:r>
    </w:p>
    <w:p w:rsidR="004F0018" w:rsidRDefault="004F0018">
      <w:pPr>
        <w:rPr>
          <w:rFonts w:ascii="Arial" w:hAnsi="Arial" w:cs="Arial"/>
          <w:b/>
          <w:i/>
          <w:color w:val="0000FF"/>
          <w:kern w:val="28"/>
          <w:sz w:val="22"/>
          <w:szCs w:val="36"/>
        </w:rPr>
      </w:pPr>
      <w:r>
        <w:rPr>
          <w:rFonts w:ascii="Arial" w:hAnsi="Arial" w:cs="Arial"/>
          <w:b/>
          <w:i/>
          <w:color w:val="0000FF"/>
          <w:kern w:val="28"/>
          <w:sz w:val="22"/>
          <w:szCs w:val="36"/>
        </w:rPr>
        <w:lastRenderedPageBreak/>
        <w:br w:type="page"/>
      </w:r>
    </w:p>
    <w:p w:rsidR="00B27950" w:rsidRPr="00704134" w:rsidRDefault="00B27950" w:rsidP="00B27950">
      <w:pPr>
        <w:pStyle w:val="Head5"/>
      </w:pPr>
      <w:r w:rsidRPr="00704134">
        <w:lastRenderedPageBreak/>
        <w:t>Statistics—Publishing</w:t>
      </w:r>
    </w:p>
    <w:tbl>
      <w:tblPr>
        <w:tblW w:w="0" w:type="auto"/>
        <w:tblBorders>
          <w:top w:val="single" w:sz="12" w:space="0" w:color="008000"/>
          <w:bottom w:val="single" w:sz="12" w:space="0" w:color="008000"/>
        </w:tblBorders>
        <w:tblLook w:val="0020" w:firstRow="1" w:lastRow="0" w:firstColumn="0" w:lastColumn="0" w:noHBand="0" w:noVBand="0"/>
      </w:tblPr>
      <w:tblGrid>
        <w:gridCol w:w="2650"/>
        <w:gridCol w:w="1163"/>
        <w:gridCol w:w="1163"/>
        <w:gridCol w:w="1163"/>
        <w:gridCol w:w="1164"/>
      </w:tblGrid>
      <w:tr w:rsidR="0041482C" w:rsidTr="003B5D37">
        <w:trPr>
          <w:trHeight w:val="497"/>
        </w:trPr>
        <w:tc>
          <w:tcPr>
            <w:tcW w:w="2650" w:type="dxa"/>
            <w:tcBorders>
              <w:top w:val="single" w:sz="12" w:space="0" w:color="000000"/>
              <w:bottom w:val="single" w:sz="2" w:space="0" w:color="000000"/>
            </w:tcBorders>
            <w:shd w:val="clear" w:color="auto" w:fill="auto"/>
          </w:tcPr>
          <w:p w:rsidR="0041482C" w:rsidRDefault="0041482C" w:rsidP="00DE340C">
            <w:pPr>
              <w:pStyle w:val="Tabletexthead"/>
            </w:pPr>
            <w:r>
              <w:t>Registration/Publication</w:t>
            </w:r>
          </w:p>
        </w:tc>
        <w:tc>
          <w:tcPr>
            <w:tcW w:w="2326" w:type="dxa"/>
            <w:gridSpan w:val="2"/>
            <w:tcBorders>
              <w:top w:val="single" w:sz="12" w:space="0" w:color="000000"/>
              <w:bottom w:val="single" w:sz="2" w:space="0" w:color="000000"/>
            </w:tcBorders>
          </w:tcPr>
          <w:p w:rsidR="0041482C" w:rsidRDefault="0041482C" w:rsidP="00FE7FAE">
            <w:pPr>
              <w:pStyle w:val="Tabletexthead"/>
              <w:jc w:val="right"/>
            </w:pPr>
            <w:r>
              <w:t>Number of items</w:t>
            </w:r>
          </w:p>
        </w:tc>
        <w:tc>
          <w:tcPr>
            <w:tcW w:w="2327" w:type="dxa"/>
            <w:gridSpan w:val="2"/>
            <w:tcBorders>
              <w:top w:val="single" w:sz="12" w:space="0" w:color="000000"/>
              <w:bottom w:val="single" w:sz="2" w:space="0" w:color="000000"/>
            </w:tcBorders>
            <w:shd w:val="clear" w:color="auto" w:fill="auto"/>
          </w:tcPr>
          <w:p w:rsidR="0041482C" w:rsidRDefault="0041482C" w:rsidP="00FE7FAE">
            <w:pPr>
              <w:pStyle w:val="Tabletexthead"/>
              <w:jc w:val="right"/>
            </w:pPr>
            <w:r>
              <w:t>Number of pages</w:t>
            </w:r>
          </w:p>
        </w:tc>
      </w:tr>
      <w:tr w:rsidR="0041482C" w:rsidTr="003B5D37">
        <w:trPr>
          <w:trHeight w:val="497"/>
        </w:trPr>
        <w:tc>
          <w:tcPr>
            <w:tcW w:w="2650" w:type="dxa"/>
            <w:tcBorders>
              <w:top w:val="single" w:sz="2" w:space="0" w:color="000000"/>
              <w:bottom w:val="single" w:sz="6" w:space="0" w:color="000000"/>
            </w:tcBorders>
            <w:shd w:val="clear" w:color="auto" w:fill="auto"/>
          </w:tcPr>
          <w:p w:rsidR="0041482C" w:rsidRDefault="0041482C" w:rsidP="00DE340C">
            <w:pPr>
              <w:pStyle w:val="Tabletexthead"/>
            </w:pPr>
          </w:p>
        </w:tc>
        <w:tc>
          <w:tcPr>
            <w:tcW w:w="1163" w:type="dxa"/>
            <w:tcBorders>
              <w:top w:val="single" w:sz="2" w:space="0" w:color="000000"/>
              <w:bottom w:val="single" w:sz="6" w:space="0" w:color="000000"/>
            </w:tcBorders>
          </w:tcPr>
          <w:p w:rsidR="0041482C" w:rsidRPr="004E6E29" w:rsidRDefault="0041482C" w:rsidP="00BC1C91">
            <w:pPr>
              <w:pStyle w:val="Tabletexthead"/>
              <w:jc w:val="right"/>
              <w:rPr>
                <w:sz w:val="19"/>
                <w:szCs w:val="19"/>
              </w:rPr>
            </w:pPr>
            <w:r w:rsidRPr="004E6E29">
              <w:rPr>
                <w:sz w:val="19"/>
                <w:szCs w:val="19"/>
              </w:rPr>
              <w:t>201</w:t>
            </w:r>
            <w:r w:rsidR="00BC1C91">
              <w:rPr>
                <w:sz w:val="19"/>
                <w:szCs w:val="19"/>
              </w:rPr>
              <w:t>5</w:t>
            </w:r>
            <w:r w:rsidRPr="004E6E29">
              <w:rPr>
                <w:sz w:val="19"/>
                <w:szCs w:val="19"/>
              </w:rPr>
              <w:t>-201</w:t>
            </w:r>
            <w:r w:rsidR="00BC1C91">
              <w:rPr>
                <w:sz w:val="19"/>
                <w:szCs w:val="19"/>
              </w:rPr>
              <w:t>6</w:t>
            </w:r>
          </w:p>
        </w:tc>
        <w:tc>
          <w:tcPr>
            <w:tcW w:w="1163" w:type="dxa"/>
            <w:tcBorders>
              <w:top w:val="single" w:sz="2" w:space="0" w:color="000000"/>
              <w:bottom w:val="single" w:sz="6" w:space="0" w:color="000000"/>
            </w:tcBorders>
          </w:tcPr>
          <w:p w:rsidR="0041482C" w:rsidRPr="004E6E29" w:rsidRDefault="0041482C" w:rsidP="00BC1C91">
            <w:pPr>
              <w:pStyle w:val="Tabletexthead"/>
              <w:jc w:val="right"/>
              <w:rPr>
                <w:sz w:val="19"/>
                <w:szCs w:val="19"/>
              </w:rPr>
            </w:pPr>
            <w:r w:rsidRPr="004E6E29">
              <w:rPr>
                <w:sz w:val="19"/>
                <w:szCs w:val="19"/>
              </w:rPr>
              <w:t>201</w:t>
            </w:r>
            <w:r w:rsidR="00BC1C91">
              <w:rPr>
                <w:sz w:val="19"/>
                <w:szCs w:val="19"/>
              </w:rPr>
              <w:t>6</w:t>
            </w:r>
            <w:r w:rsidRPr="004E6E29">
              <w:rPr>
                <w:sz w:val="19"/>
                <w:szCs w:val="19"/>
              </w:rPr>
              <w:t>-201</w:t>
            </w:r>
            <w:r w:rsidR="00BC1C91">
              <w:rPr>
                <w:sz w:val="19"/>
                <w:szCs w:val="19"/>
              </w:rPr>
              <w:t>7</w:t>
            </w:r>
          </w:p>
        </w:tc>
        <w:tc>
          <w:tcPr>
            <w:tcW w:w="1163" w:type="dxa"/>
            <w:tcBorders>
              <w:top w:val="single" w:sz="2" w:space="0" w:color="000000"/>
              <w:bottom w:val="single" w:sz="6" w:space="0" w:color="000000"/>
              <w:right w:val="dotted" w:sz="4" w:space="0" w:color="FFFFFF" w:themeColor="background1"/>
            </w:tcBorders>
          </w:tcPr>
          <w:p w:rsidR="0041482C" w:rsidRPr="004E6E29" w:rsidRDefault="0041482C" w:rsidP="00BC1C91">
            <w:pPr>
              <w:pStyle w:val="Tabletexthead"/>
              <w:jc w:val="right"/>
              <w:rPr>
                <w:sz w:val="19"/>
                <w:szCs w:val="19"/>
              </w:rPr>
            </w:pPr>
            <w:r w:rsidRPr="004E6E29">
              <w:rPr>
                <w:sz w:val="19"/>
                <w:szCs w:val="19"/>
              </w:rPr>
              <w:t>201</w:t>
            </w:r>
            <w:r w:rsidR="00BC1C91">
              <w:rPr>
                <w:sz w:val="19"/>
                <w:szCs w:val="19"/>
              </w:rPr>
              <w:t>5</w:t>
            </w:r>
            <w:r w:rsidRPr="004E6E29">
              <w:rPr>
                <w:sz w:val="19"/>
                <w:szCs w:val="19"/>
              </w:rPr>
              <w:t>-201</w:t>
            </w:r>
            <w:r w:rsidR="00BC1C91">
              <w:rPr>
                <w:sz w:val="19"/>
                <w:szCs w:val="19"/>
              </w:rPr>
              <w:t>6</w:t>
            </w:r>
          </w:p>
        </w:tc>
        <w:tc>
          <w:tcPr>
            <w:tcW w:w="1164" w:type="dxa"/>
            <w:tcBorders>
              <w:top w:val="single" w:sz="2" w:space="0" w:color="000000"/>
              <w:left w:val="dotted" w:sz="4" w:space="0" w:color="FFFFFF" w:themeColor="background1"/>
              <w:bottom w:val="single" w:sz="6" w:space="0" w:color="000000"/>
            </w:tcBorders>
          </w:tcPr>
          <w:p w:rsidR="0041482C" w:rsidRPr="004E6E29" w:rsidRDefault="0041482C" w:rsidP="00BC1C91">
            <w:pPr>
              <w:pStyle w:val="Tabletexthead"/>
              <w:jc w:val="right"/>
              <w:rPr>
                <w:sz w:val="19"/>
                <w:szCs w:val="19"/>
              </w:rPr>
            </w:pPr>
            <w:r w:rsidRPr="004E6E29">
              <w:rPr>
                <w:sz w:val="19"/>
                <w:szCs w:val="19"/>
              </w:rPr>
              <w:t>201</w:t>
            </w:r>
            <w:r w:rsidR="00BC1C91">
              <w:rPr>
                <w:sz w:val="19"/>
                <w:szCs w:val="19"/>
              </w:rPr>
              <w:t>6</w:t>
            </w:r>
            <w:r w:rsidRPr="004E6E29">
              <w:rPr>
                <w:sz w:val="19"/>
                <w:szCs w:val="19"/>
              </w:rPr>
              <w:t>-201</w:t>
            </w:r>
            <w:r w:rsidR="00BC1C91">
              <w:rPr>
                <w:sz w:val="19"/>
                <w:szCs w:val="19"/>
              </w:rPr>
              <w:t>7</w:t>
            </w:r>
          </w:p>
        </w:tc>
      </w:tr>
      <w:tr w:rsidR="0041482C" w:rsidRPr="00496FFE" w:rsidTr="003B5D37">
        <w:trPr>
          <w:cantSplit/>
          <w:trHeight w:val="284"/>
        </w:trPr>
        <w:tc>
          <w:tcPr>
            <w:tcW w:w="2650" w:type="dxa"/>
            <w:tcBorders>
              <w:top w:val="single" w:sz="6" w:space="0" w:color="000000"/>
              <w:bottom w:val="nil"/>
            </w:tcBorders>
            <w:shd w:val="clear" w:color="auto" w:fill="auto"/>
          </w:tcPr>
          <w:p w:rsidR="0041482C" w:rsidRDefault="0041482C" w:rsidP="00DE340C">
            <w:pPr>
              <w:pStyle w:val="Tabletext"/>
            </w:pPr>
            <w:r>
              <w:t>Legislative instruments</w:t>
            </w:r>
            <w:r>
              <w:tab/>
            </w:r>
          </w:p>
        </w:tc>
        <w:tc>
          <w:tcPr>
            <w:tcW w:w="1163" w:type="dxa"/>
            <w:tcBorders>
              <w:top w:val="single" w:sz="6" w:space="0" w:color="000000"/>
              <w:bottom w:val="nil"/>
            </w:tcBorders>
          </w:tcPr>
          <w:p w:rsidR="0041482C" w:rsidRDefault="00BC1C91" w:rsidP="00B7009E">
            <w:pPr>
              <w:pStyle w:val="Tabletext"/>
              <w:jc w:val="right"/>
            </w:pPr>
            <w:r>
              <w:t>2,204</w:t>
            </w:r>
          </w:p>
        </w:tc>
        <w:tc>
          <w:tcPr>
            <w:tcW w:w="1163" w:type="dxa"/>
            <w:tcBorders>
              <w:top w:val="single" w:sz="6" w:space="0" w:color="000000"/>
              <w:bottom w:val="nil"/>
            </w:tcBorders>
          </w:tcPr>
          <w:p w:rsidR="0041482C" w:rsidRDefault="00BC1C91" w:rsidP="00B7009E">
            <w:pPr>
              <w:pStyle w:val="Tabletext"/>
              <w:jc w:val="right"/>
            </w:pPr>
            <w:r>
              <w:t>1,774</w:t>
            </w:r>
          </w:p>
        </w:tc>
        <w:tc>
          <w:tcPr>
            <w:tcW w:w="1163" w:type="dxa"/>
            <w:tcBorders>
              <w:top w:val="single" w:sz="6" w:space="0" w:color="000000"/>
              <w:bottom w:val="nil"/>
              <w:right w:val="dotted" w:sz="4" w:space="0" w:color="FFFFFF" w:themeColor="background1"/>
            </w:tcBorders>
            <w:shd w:val="clear" w:color="auto" w:fill="auto"/>
          </w:tcPr>
          <w:p w:rsidR="0041482C" w:rsidRDefault="00BC1C91" w:rsidP="00DE340C">
            <w:pPr>
              <w:pStyle w:val="Tabletext"/>
              <w:jc w:val="right"/>
            </w:pPr>
            <w:r>
              <w:t>32,025</w:t>
            </w:r>
          </w:p>
        </w:tc>
        <w:tc>
          <w:tcPr>
            <w:tcW w:w="1164" w:type="dxa"/>
            <w:tcBorders>
              <w:top w:val="single" w:sz="6" w:space="0" w:color="000000"/>
              <w:left w:val="dotted" w:sz="4" w:space="0" w:color="FFFFFF" w:themeColor="background1"/>
              <w:bottom w:val="nil"/>
            </w:tcBorders>
          </w:tcPr>
          <w:p w:rsidR="0041482C" w:rsidRDefault="00BC1C91" w:rsidP="00BC1C91">
            <w:pPr>
              <w:pStyle w:val="Tabletext"/>
              <w:jc w:val="right"/>
            </w:pPr>
            <w:r>
              <w:t>28</w:t>
            </w:r>
            <w:r w:rsidR="0041482C">
              <w:t>,</w:t>
            </w:r>
            <w:r>
              <w:t>678</w:t>
            </w:r>
          </w:p>
        </w:tc>
      </w:tr>
      <w:tr w:rsidR="00B7009E" w:rsidRPr="00CB554F" w:rsidTr="003B5D37">
        <w:trPr>
          <w:cantSplit/>
          <w:trHeight w:val="284"/>
        </w:trPr>
        <w:tc>
          <w:tcPr>
            <w:tcW w:w="2650" w:type="dxa"/>
            <w:tcBorders>
              <w:top w:val="nil"/>
              <w:bottom w:val="nil"/>
            </w:tcBorders>
            <w:shd w:val="clear" w:color="auto" w:fill="auto"/>
          </w:tcPr>
          <w:p w:rsidR="00B7009E" w:rsidRDefault="00B7009E" w:rsidP="00DE340C">
            <w:pPr>
              <w:pStyle w:val="Tabletext"/>
            </w:pPr>
            <w:r>
              <w:t>Notifiable instruments</w:t>
            </w:r>
          </w:p>
        </w:tc>
        <w:tc>
          <w:tcPr>
            <w:tcW w:w="1163" w:type="dxa"/>
            <w:tcBorders>
              <w:top w:val="nil"/>
              <w:bottom w:val="nil"/>
            </w:tcBorders>
          </w:tcPr>
          <w:p w:rsidR="00B7009E" w:rsidRDefault="00BC1C91" w:rsidP="00DE340C">
            <w:pPr>
              <w:pStyle w:val="Tabletext"/>
              <w:jc w:val="right"/>
            </w:pPr>
            <w:r>
              <w:t>14</w:t>
            </w:r>
          </w:p>
        </w:tc>
        <w:tc>
          <w:tcPr>
            <w:tcW w:w="1163" w:type="dxa"/>
            <w:tcBorders>
              <w:top w:val="nil"/>
              <w:bottom w:val="nil"/>
            </w:tcBorders>
          </w:tcPr>
          <w:p w:rsidR="00B7009E" w:rsidRDefault="00BC1C91" w:rsidP="00DE340C">
            <w:pPr>
              <w:pStyle w:val="Tabletext"/>
              <w:jc w:val="right"/>
            </w:pPr>
            <w:r>
              <w:t>85</w:t>
            </w:r>
          </w:p>
        </w:tc>
        <w:tc>
          <w:tcPr>
            <w:tcW w:w="1163" w:type="dxa"/>
            <w:tcBorders>
              <w:top w:val="nil"/>
              <w:bottom w:val="nil"/>
              <w:right w:val="dotted" w:sz="4" w:space="0" w:color="FFFFFF" w:themeColor="background1"/>
            </w:tcBorders>
            <w:shd w:val="clear" w:color="auto" w:fill="auto"/>
          </w:tcPr>
          <w:p w:rsidR="00B7009E" w:rsidRDefault="00BC1C91" w:rsidP="00DE340C">
            <w:pPr>
              <w:pStyle w:val="Tabletext"/>
              <w:jc w:val="right"/>
            </w:pPr>
            <w:r>
              <w:t>35</w:t>
            </w:r>
          </w:p>
        </w:tc>
        <w:tc>
          <w:tcPr>
            <w:tcW w:w="1164" w:type="dxa"/>
            <w:tcBorders>
              <w:top w:val="nil"/>
              <w:left w:val="dotted" w:sz="4" w:space="0" w:color="FFFFFF" w:themeColor="background1"/>
              <w:bottom w:val="nil"/>
            </w:tcBorders>
          </w:tcPr>
          <w:p w:rsidR="00B7009E" w:rsidRDefault="00BC1C91" w:rsidP="00DE340C">
            <w:pPr>
              <w:pStyle w:val="Tabletext"/>
              <w:jc w:val="right"/>
            </w:pPr>
            <w:r>
              <w:t>131</w:t>
            </w:r>
          </w:p>
        </w:tc>
      </w:tr>
      <w:tr w:rsidR="0041482C" w:rsidRPr="00CB554F" w:rsidTr="003B5D37">
        <w:trPr>
          <w:cantSplit/>
          <w:trHeight w:val="284"/>
        </w:trPr>
        <w:tc>
          <w:tcPr>
            <w:tcW w:w="2650" w:type="dxa"/>
            <w:tcBorders>
              <w:top w:val="nil"/>
              <w:bottom w:val="nil"/>
            </w:tcBorders>
            <w:shd w:val="clear" w:color="auto" w:fill="auto"/>
          </w:tcPr>
          <w:p w:rsidR="0041482C" w:rsidRPr="00CB554F" w:rsidRDefault="0041482C" w:rsidP="00DE340C">
            <w:pPr>
              <w:pStyle w:val="Tabletext"/>
              <w:rPr>
                <w:i/>
              </w:rPr>
            </w:pPr>
            <w:r>
              <w:t>Gazette notices</w:t>
            </w:r>
          </w:p>
        </w:tc>
        <w:tc>
          <w:tcPr>
            <w:tcW w:w="1163" w:type="dxa"/>
            <w:tcBorders>
              <w:top w:val="nil"/>
              <w:bottom w:val="nil"/>
            </w:tcBorders>
          </w:tcPr>
          <w:p w:rsidR="0041482C" w:rsidRDefault="0041482C" w:rsidP="00BC1C91">
            <w:pPr>
              <w:pStyle w:val="Tabletext"/>
              <w:jc w:val="right"/>
            </w:pPr>
            <w:r>
              <w:t>2,</w:t>
            </w:r>
            <w:r w:rsidR="00BC1C91">
              <w:t>014</w:t>
            </w:r>
          </w:p>
        </w:tc>
        <w:tc>
          <w:tcPr>
            <w:tcW w:w="1163" w:type="dxa"/>
            <w:tcBorders>
              <w:top w:val="nil"/>
              <w:bottom w:val="nil"/>
            </w:tcBorders>
          </w:tcPr>
          <w:p w:rsidR="0041482C" w:rsidRDefault="00BC1C91" w:rsidP="00B7009E">
            <w:pPr>
              <w:pStyle w:val="Tabletext"/>
              <w:jc w:val="right"/>
            </w:pPr>
            <w:r>
              <w:t>1,558</w:t>
            </w:r>
          </w:p>
        </w:tc>
        <w:tc>
          <w:tcPr>
            <w:tcW w:w="1163" w:type="dxa"/>
            <w:tcBorders>
              <w:top w:val="nil"/>
              <w:bottom w:val="nil"/>
              <w:right w:val="dotted" w:sz="4" w:space="0" w:color="FFFFFF" w:themeColor="background1"/>
            </w:tcBorders>
            <w:shd w:val="clear" w:color="auto" w:fill="auto"/>
          </w:tcPr>
          <w:p w:rsidR="0041482C" w:rsidRDefault="00B7009E" w:rsidP="00BC1C91">
            <w:pPr>
              <w:pStyle w:val="Tabletext"/>
              <w:jc w:val="right"/>
            </w:pPr>
            <w:r>
              <w:t>4,</w:t>
            </w:r>
            <w:r w:rsidR="00BC1C91">
              <w:t>333</w:t>
            </w:r>
          </w:p>
        </w:tc>
        <w:tc>
          <w:tcPr>
            <w:tcW w:w="1164" w:type="dxa"/>
            <w:tcBorders>
              <w:top w:val="nil"/>
              <w:left w:val="dotted" w:sz="4" w:space="0" w:color="FFFFFF" w:themeColor="background1"/>
              <w:bottom w:val="nil"/>
            </w:tcBorders>
          </w:tcPr>
          <w:p w:rsidR="0041482C" w:rsidRDefault="00BC1C91" w:rsidP="00B7009E">
            <w:pPr>
              <w:pStyle w:val="Tabletext"/>
              <w:jc w:val="right"/>
            </w:pPr>
            <w:r>
              <w:t>3,573</w:t>
            </w:r>
          </w:p>
        </w:tc>
      </w:tr>
      <w:tr w:rsidR="0041482C" w:rsidRPr="00CB554F" w:rsidTr="003B5D37">
        <w:trPr>
          <w:cantSplit/>
          <w:trHeight w:val="284"/>
        </w:trPr>
        <w:tc>
          <w:tcPr>
            <w:tcW w:w="2650" w:type="dxa"/>
            <w:tcBorders>
              <w:top w:val="nil"/>
              <w:bottom w:val="nil"/>
            </w:tcBorders>
            <w:shd w:val="clear" w:color="auto" w:fill="auto"/>
          </w:tcPr>
          <w:p w:rsidR="0041482C" w:rsidRDefault="0041482C" w:rsidP="00DE340C">
            <w:pPr>
              <w:pStyle w:val="Tabletext"/>
            </w:pPr>
            <w:r>
              <w:t>Numbered Acts</w:t>
            </w:r>
          </w:p>
        </w:tc>
        <w:tc>
          <w:tcPr>
            <w:tcW w:w="1163" w:type="dxa"/>
            <w:tcBorders>
              <w:top w:val="nil"/>
              <w:bottom w:val="nil"/>
            </w:tcBorders>
          </w:tcPr>
          <w:p w:rsidR="0041482C" w:rsidRDefault="00B7009E" w:rsidP="00BC1C91">
            <w:pPr>
              <w:pStyle w:val="Tabletext"/>
              <w:jc w:val="right"/>
            </w:pPr>
            <w:r>
              <w:t>1</w:t>
            </w:r>
            <w:r w:rsidR="00BC1C91">
              <w:t>24</w:t>
            </w:r>
          </w:p>
        </w:tc>
        <w:tc>
          <w:tcPr>
            <w:tcW w:w="1163" w:type="dxa"/>
            <w:tcBorders>
              <w:top w:val="nil"/>
              <w:bottom w:val="nil"/>
            </w:tcBorders>
          </w:tcPr>
          <w:p w:rsidR="0041482C" w:rsidRDefault="0041482C" w:rsidP="00BC1C91">
            <w:pPr>
              <w:pStyle w:val="Tabletext"/>
              <w:jc w:val="right"/>
            </w:pPr>
            <w:r>
              <w:t>1</w:t>
            </w:r>
            <w:r w:rsidR="00B7009E">
              <w:t>2</w:t>
            </w:r>
            <w:r w:rsidR="00BC1C91">
              <w:t>6</w:t>
            </w:r>
          </w:p>
        </w:tc>
        <w:tc>
          <w:tcPr>
            <w:tcW w:w="1163" w:type="dxa"/>
            <w:tcBorders>
              <w:top w:val="nil"/>
              <w:bottom w:val="nil"/>
            </w:tcBorders>
            <w:shd w:val="clear" w:color="auto" w:fill="auto"/>
          </w:tcPr>
          <w:p w:rsidR="0041482C" w:rsidRDefault="00BC1C91" w:rsidP="00BC1C91">
            <w:pPr>
              <w:pStyle w:val="Tabletext"/>
              <w:jc w:val="right"/>
            </w:pPr>
            <w:r>
              <w:t>4</w:t>
            </w:r>
            <w:r w:rsidR="00B7009E">
              <w:t>,</w:t>
            </w:r>
            <w:r>
              <w:t>741</w:t>
            </w:r>
          </w:p>
        </w:tc>
        <w:tc>
          <w:tcPr>
            <w:tcW w:w="1164" w:type="dxa"/>
            <w:tcBorders>
              <w:top w:val="nil"/>
              <w:bottom w:val="nil"/>
            </w:tcBorders>
          </w:tcPr>
          <w:p w:rsidR="0041482C" w:rsidRDefault="00B7009E" w:rsidP="00BC1C91">
            <w:pPr>
              <w:pStyle w:val="Tabletext"/>
              <w:jc w:val="right"/>
            </w:pPr>
            <w:r>
              <w:t>4</w:t>
            </w:r>
            <w:r w:rsidR="0041482C">
              <w:t>,</w:t>
            </w:r>
            <w:r w:rsidR="00BC1C91">
              <w:t>105</w:t>
            </w:r>
          </w:p>
        </w:tc>
      </w:tr>
      <w:tr w:rsidR="0041482C" w:rsidRPr="00CB554F" w:rsidTr="003B5D37">
        <w:trPr>
          <w:cantSplit/>
          <w:trHeight w:val="284"/>
        </w:trPr>
        <w:tc>
          <w:tcPr>
            <w:tcW w:w="2650" w:type="dxa"/>
            <w:tcBorders>
              <w:top w:val="nil"/>
              <w:bottom w:val="nil"/>
            </w:tcBorders>
            <w:shd w:val="clear" w:color="auto" w:fill="auto"/>
          </w:tcPr>
          <w:p w:rsidR="0041482C" w:rsidRDefault="0041482C" w:rsidP="00DE340C">
            <w:pPr>
              <w:pStyle w:val="Tabletext"/>
            </w:pPr>
            <w:r>
              <w:t>Act compilations</w:t>
            </w:r>
          </w:p>
        </w:tc>
        <w:tc>
          <w:tcPr>
            <w:tcW w:w="1163" w:type="dxa"/>
            <w:tcBorders>
              <w:top w:val="nil"/>
              <w:bottom w:val="nil"/>
            </w:tcBorders>
          </w:tcPr>
          <w:p w:rsidR="0041482C" w:rsidRDefault="00BC1C91" w:rsidP="00DE340C">
            <w:pPr>
              <w:pStyle w:val="Tabletext"/>
              <w:jc w:val="right"/>
            </w:pPr>
            <w:r>
              <w:t>1,063</w:t>
            </w:r>
          </w:p>
        </w:tc>
        <w:tc>
          <w:tcPr>
            <w:tcW w:w="1163" w:type="dxa"/>
            <w:tcBorders>
              <w:top w:val="nil"/>
              <w:bottom w:val="nil"/>
            </w:tcBorders>
          </w:tcPr>
          <w:p w:rsidR="0041482C" w:rsidRDefault="00BC1C91" w:rsidP="00DE340C">
            <w:pPr>
              <w:pStyle w:val="Tabletext"/>
              <w:jc w:val="right"/>
            </w:pPr>
            <w:r>
              <w:t>783</w:t>
            </w:r>
          </w:p>
        </w:tc>
        <w:tc>
          <w:tcPr>
            <w:tcW w:w="1163" w:type="dxa"/>
            <w:tcBorders>
              <w:top w:val="nil"/>
              <w:bottom w:val="nil"/>
            </w:tcBorders>
            <w:shd w:val="clear" w:color="auto" w:fill="auto"/>
          </w:tcPr>
          <w:p w:rsidR="0041482C" w:rsidRDefault="00BC1C91" w:rsidP="00BC1C91">
            <w:pPr>
              <w:pStyle w:val="Tabletext"/>
              <w:jc w:val="right"/>
            </w:pPr>
            <w:r>
              <w:t>429</w:t>
            </w:r>
            <w:r w:rsidR="00B7009E">
              <w:t>,</w:t>
            </w:r>
            <w:r>
              <w:t>519</w:t>
            </w:r>
          </w:p>
        </w:tc>
        <w:tc>
          <w:tcPr>
            <w:tcW w:w="1164" w:type="dxa"/>
            <w:tcBorders>
              <w:top w:val="nil"/>
              <w:bottom w:val="nil"/>
            </w:tcBorders>
          </w:tcPr>
          <w:p w:rsidR="0041482C" w:rsidRDefault="00BC1C91" w:rsidP="00BC1C91">
            <w:pPr>
              <w:pStyle w:val="Tabletext"/>
              <w:jc w:val="right"/>
            </w:pPr>
            <w:r>
              <w:t>283</w:t>
            </w:r>
            <w:r w:rsidR="0041482C">
              <w:t>,</w:t>
            </w:r>
            <w:r>
              <w:t>630</w:t>
            </w:r>
          </w:p>
        </w:tc>
      </w:tr>
      <w:tr w:rsidR="0041482C" w:rsidRPr="00CB554F" w:rsidTr="003B5D37">
        <w:trPr>
          <w:cantSplit/>
          <w:trHeight w:val="284"/>
        </w:trPr>
        <w:tc>
          <w:tcPr>
            <w:tcW w:w="2650" w:type="dxa"/>
            <w:tcBorders>
              <w:top w:val="nil"/>
              <w:bottom w:val="nil"/>
            </w:tcBorders>
            <w:shd w:val="clear" w:color="auto" w:fill="auto"/>
          </w:tcPr>
          <w:p w:rsidR="0041482C" w:rsidRDefault="0041482C" w:rsidP="00DE340C">
            <w:pPr>
              <w:pStyle w:val="Tabletext"/>
            </w:pPr>
            <w:r>
              <w:t>OPC prepared instrument compilations—budget-funded</w:t>
            </w:r>
          </w:p>
        </w:tc>
        <w:tc>
          <w:tcPr>
            <w:tcW w:w="1163" w:type="dxa"/>
            <w:tcBorders>
              <w:top w:val="nil"/>
              <w:bottom w:val="nil"/>
            </w:tcBorders>
            <w:vAlign w:val="bottom"/>
          </w:tcPr>
          <w:p w:rsidR="0041482C" w:rsidRDefault="00BC1C91" w:rsidP="00DE340C">
            <w:pPr>
              <w:pStyle w:val="Tabletext"/>
              <w:jc w:val="right"/>
            </w:pPr>
            <w:r>
              <w:t>375</w:t>
            </w:r>
          </w:p>
        </w:tc>
        <w:tc>
          <w:tcPr>
            <w:tcW w:w="1163" w:type="dxa"/>
            <w:tcBorders>
              <w:top w:val="nil"/>
              <w:bottom w:val="nil"/>
            </w:tcBorders>
            <w:vAlign w:val="bottom"/>
          </w:tcPr>
          <w:p w:rsidR="0041482C" w:rsidRDefault="00BC1C91" w:rsidP="00DE340C">
            <w:pPr>
              <w:pStyle w:val="Tabletext"/>
              <w:jc w:val="right"/>
            </w:pPr>
            <w:r>
              <w:t>256</w:t>
            </w:r>
          </w:p>
        </w:tc>
        <w:tc>
          <w:tcPr>
            <w:tcW w:w="1163" w:type="dxa"/>
            <w:tcBorders>
              <w:top w:val="nil"/>
              <w:bottom w:val="nil"/>
            </w:tcBorders>
            <w:shd w:val="clear" w:color="auto" w:fill="auto"/>
            <w:vAlign w:val="bottom"/>
          </w:tcPr>
          <w:p w:rsidR="0041482C" w:rsidRDefault="00BC1C91" w:rsidP="00BC1C91">
            <w:pPr>
              <w:pStyle w:val="Tabletext"/>
              <w:jc w:val="right"/>
            </w:pPr>
            <w:r>
              <w:t>97</w:t>
            </w:r>
            <w:r w:rsidR="00B7009E">
              <w:t>,</w:t>
            </w:r>
            <w:r>
              <w:t>671</w:t>
            </w:r>
          </w:p>
        </w:tc>
        <w:tc>
          <w:tcPr>
            <w:tcW w:w="1164" w:type="dxa"/>
            <w:tcBorders>
              <w:top w:val="nil"/>
              <w:bottom w:val="nil"/>
            </w:tcBorders>
            <w:vAlign w:val="bottom"/>
          </w:tcPr>
          <w:p w:rsidR="0041482C" w:rsidRDefault="00BC1C91" w:rsidP="00BC1C91">
            <w:pPr>
              <w:pStyle w:val="Tabletext"/>
              <w:jc w:val="right"/>
            </w:pPr>
            <w:r>
              <w:t>64</w:t>
            </w:r>
            <w:r w:rsidR="0041482C">
              <w:t>,</w:t>
            </w:r>
            <w:r>
              <w:t>032</w:t>
            </w:r>
          </w:p>
        </w:tc>
      </w:tr>
      <w:tr w:rsidR="0041482C" w:rsidRPr="00CB554F" w:rsidTr="003B5D37">
        <w:trPr>
          <w:cantSplit/>
          <w:trHeight w:val="284"/>
        </w:trPr>
        <w:tc>
          <w:tcPr>
            <w:tcW w:w="2650" w:type="dxa"/>
            <w:tcBorders>
              <w:top w:val="nil"/>
              <w:bottom w:val="nil"/>
            </w:tcBorders>
            <w:shd w:val="clear" w:color="auto" w:fill="auto"/>
          </w:tcPr>
          <w:p w:rsidR="0041482C" w:rsidRDefault="00BC1C91" w:rsidP="00DE340C">
            <w:pPr>
              <w:pStyle w:val="Tabletext"/>
            </w:pPr>
            <w:r>
              <w:t>O</w:t>
            </w:r>
            <w:r w:rsidR="0041482C">
              <w:t>PC prepared instrument compilations—user-pays</w:t>
            </w:r>
          </w:p>
        </w:tc>
        <w:tc>
          <w:tcPr>
            <w:tcW w:w="1163" w:type="dxa"/>
            <w:tcBorders>
              <w:top w:val="nil"/>
              <w:bottom w:val="nil"/>
            </w:tcBorders>
            <w:vAlign w:val="bottom"/>
          </w:tcPr>
          <w:p w:rsidR="0041482C" w:rsidRDefault="00B7009E" w:rsidP="00BC1C91">
            <w:pPr>
              <w:pStyle w:val="Tabletext"/>
              <w:jc w:val="right"/>
            </w:pPr>
            <w:r>
              <w:t>2</w:t>
            </w:r>
            <w:r w:rsidR="00BC1C91">
              <w:t>25</w:t>
            </w:r>
          </w:p>
        </w:tc>
        <w:tc>
          <w:tcPr>
            <w:tcW w:w="1163" w:type="dxa"/>
            <w:tcBorders>
              <w:top w:val="nil"/>
              <w:bottom w:val="nil"/>
            </w:tcBorders>
            <w:vAlign w:val="bottom"/>
          </w:tcPr>
          <w:p w:rsidR="0041482C" w:rsidRDefault="00BC1C91" w:rsidP="00DE340C">
            <w:pPr>
              <w:pStyle w:val="Tabletext"/>
              <w:jc w:val="right"/>
            </w:pPr>
            <w:r>
              <w:t>245</w:t>
            </w:r>
          </w:p>
        </w:tc>
        <w:tc>
          <w:tcPr>
            <w:tcW w:w="1163" w:type="dxa"/>
            <w:tcBorders>
              <w:top w:val="nil"/>
              <w:bottom w:val="nil"/>
            </w:tcBorders>
            <w:shd w:val="clear" w:color="auto" w:fill="auto"/>
            <w:vAlign w:val="bottom"/>
          </w:tcPr>
          <w:p w:rsidR="0041482C" w:rsidRDefault="00BC1C91" w:rsidP="00BC1C91">
            <w:pPr>
              <w:pStyle w:val="Tabletext"/>
              <w:jc w:val="right"/>
            </w:pPr>
            <w:r>
              <w:t>34</w:t>
            </w:r>
            <w:r w:rsidR="00B7009E">
              <w:t>,</w:t>
            </w:r>
            <w:r>
              <w:t>135</w:t>
            </w:r>
          </w:p>
        </w:tc>
        <w:tc>
          <w:tcPr>
            <w:tcW w:w="1164" w:type="dxa"/>
            <w:tcBorders>
              <w:top w:val="nil"/>
              <w:bottom w:val="nil"/>
            </w:tcBorders>
            <w:vAlign w:val="bottom"/>
          </w:tcPr>
          <w:p w:rsidR="0041482C" w:rsidRDefault="00BC1C91" w:rsidP="00B7009E">
            <w:pPr>
              <w:pStyle w:val="Tabletext"/>
              <w:jc w:val="right"/>
            </w:pPr>
            <w:r>
              <w:t>42,547</w:t>
            </w:r>
          </w:p>
        </w:tc>
      </w:tr>
      <w:tr w:rsidR="0041482C" w:rsidRPr="00CB554F" w:rsidTr="003B5D37">
        <w:trPr>
          <w:cantSplit/>
          <w:trHeight w:val="284"/>
        </w:trPr>
        <w:tc>
          <w:tcPr>
            <w:tcW w:w="2650" w:type="dxa"/>
            <w:tcBorders>
              <w:top w:val="nil"/>
              <w:bottom w:val="single" w:sz="12" w:space="0" w:color="000000"/>
            </w:tcBorders>
            <w:shd w:val="clear" w:color="auto" w:fill="auto"/>
          </w:tcPr>
          <w:p w:rsidR="0041482C" w:rsidRDefault="0041482C" w:rsidP="00DE340C">
            <w:pPr>
              <w:pStyle w:val="Tabletext"/>
            </w:pPr>
            <w:r>
              <w:t>Agency prepared instrument compilations</w:t>
            </w:r>
          </w:p>
        </w:tc>
        <w:tc>
          <w:tcPr>
            <w:tcW w:w="1163" w:type="dxa"/>
            <w:tcBorders>
              <w:top w:val="nil"/>
              <w:bottom w:val="single" w:sz="12" w:space="0" w:color="000000"/>
            </w:tcBorders>
          </w:tcPr>
          <w:p w:rsidR="0041482C" w:rsidRDefault="00BC1C91" w:rsidP="00DE340C">
            <w:pPr>
              <w:pStyle w:val="Tabletext"/>
              <w:jc w:val="right"/>
            </w:pPr>
            <w:r>
              <w:t>465</w:t>
            </w:r>
          </w:p>
        </w:tc>
        <w:tc>
          <w:tcPr>
            <w:tcW w:w="1163" w:type="dxa"/>
            <w:tcBorders>
              <w:top w:val="nil"/>
              <w:bottom w:val="single" w:sz="12" w:space="0" w:color="000000"/>
            </w:tcBorders>
          </w:tcPr>
          <w:p w:rsidR="0041482C" w:rsidRDefault="00BC1C91" w:rsidP="00DE340C">
            <w:pPr>
              <w:pStyle w:val="Tabletext"/>
              <w:jc w:val="right"/>
            </w:pPr>
            <w:r>
              <w:t>434</w:t>
            </w:r>
          </w:p>
        </w:tc>
        <w:tc>
          <w:tcPr>
            <w:tcW w:w="1163" w:type="dxa"/>
            <w:tcBorders>
              <w:top w:val="nil"/>
              <w:bottom w:val="single" w:sz="12" w:space="0" w:color="000000"/>
            </w:tcBorders>
            <w:shd w:val="clear" w:color="auto" w:fill="auto"/>
          </w:tcPr>
          <w:p w:rsidR="0041482C" w:rsidRDefault="00B7009E" w:rsidP="00BC1C91">
            <w:pPr>
              <w:pStyle w:val="Tabletext"/>
              <w:jc w:val="right"/>
            </w:pPr>
            <w:r>
              <w:t>2</w:t>
            </w:r>
            <w:r w:rsidR="00BC1C91">
              <w:t>9</w:t>
            </w:r>
            <w:r>
              <w:t>,</w:t>
            </w:r>
            <w:r w:rsidR="00BC1C91">
              <w:t>622</w:t>
            </w:r>
          </w:p>
        </w:tc>
        <w:tc>
          <w:tcPr>
            <w:tcW w:w="1164" w:type="dxa"/>
            <w:tcBorders>
              <w:top w:val="nil"/>
              <w:bottom w:val="single" w:sz="12" w:space="0" w:color="000000"/>
            </w:tcBorders>
          </w:tcPr>
          <w:p w:rsidR="0041482C" w:rsidRDefault="00BC1C91" w:rsidP="00B7009E">
            <w:pPr>
              <w:pStyle w:val="Tabletext"/>
              <w:jc w:val="right"/>
            </w:pPr>
            <w:r>
              <w:t>46,087</w:t>
            </w:r>
          </w:p>
        </w:tc>
      </w:tr>
    </w:tbl>
    <w:p w:rsidR="00B27950" w:rsidRPr="00704134" w:rsidRDefault="00B27950" w:rsidP="00B27950">
      <w:pPr>
        <w:pStyle w:val="Tabletext"/>
        <w:rPr>
          <w:sz w:val="16"/>
          <w:szCs w:val="16"/>
        </w:rPr>
      </w:pPr>
      <w:r w:rsidRPr="00704134">
        <w:rPr>
          <w:sz w:val="16"/>
          <w:szCs w:val="16"/>
        </w:rPr>
        <w:t>Note:</w:t>
      </w:r>
      <w:r w:rsidRPr="00704134">
        <w:rPr>
          <w:sz w:val="16"/>
          <w:szCs w:val="16"/>
        </w:rPr>
        <w:tab/>
      </w:r>
      <w:r w:rsidR="0041482C" w:rsidRPr="00C26C99">
        <w:rPr>
          <w:sz w:val="16"/>
          <w:szCs w:val="16"/>
        </w:rPr>
        <w:t>The above stat</w:t>
      </w:r>
      <w:r w:rsidR="0041482C">
        <w:rPr>
          <w:sz w:val="16"/>
          <w:szCs w:val="16"/>
        </w:rPr>
        <w:t>istics relate only to new items.</w:t>
      </w:r>
      <w:r w:rsidR="0041482C" w:rsidRPr="00C26C99">
        <w:rPr>
          <w:sz w:val="16"/>
          <w:szCs w:val="16"/>
        </w:rPr>
        <w:t xml:space="preserve"> </w:t>
      </w:r>
      <w:r w:rsidR="0041482C">
        <w:rPr>
          <w:sz w:val="16"/>
          <w:szCs w:val="16"/>
        </w:rPr>
        <w:t>T</w:t>
      </w:r>
      <w:r w:rsidR="0041482C" w:rsidRPr="00C26C99">
        <w:rPr>
          <w:sz w:val="16"/>
          <w:szCs w:val="16"/>
        </w:rPr>
        <w:t xml:space="preserve">hey do not include </w:t>
      </w:r>
      <w:proofErr w:type="spellStart"/>
      <w:r w:rsidR="0041482C" w:rsidRPr="00C26C99">
        <w:rPr>
          <w:sz w:val="16"/>
          <w:szCs w:val="16"/>
        </w:rPr>
        <w:t>backcaptured</w:t>
      </w:r>
      <w:proofErr w:type="spellEnd"/>
      <w:r w:rsidR="0041482C" w:rsidRPr="00C26C99">
        <w:rPr>
          <w:sz w:val="16"/>
          <w:szCs w:val="16"/>
        </w:rPr>
        <w:t xml:space="preserve"> or </w:t>
      </w:r>
      <w:r w:rsidR="0041482C">
        <w:rPr>
          <w:sz w:val="16"/>
          <w:szCs w:val="16"/>
        </w:rPr>
        <w:tab/>
      </w:r>
      <w:r w:rsidR="0041482C" w:rsidRPr="00C26C99">
        <w:rPr>
          <w:sz w:val="16"/>
          <w:szCs w:val="16"/>
        </w:rPr>
        <w:t>republished historical documents.</w:t>
      </w:r>
    </w:p>
    <w:p w:rsidR="00D11534" w:rsidRDefault="00D11534">
      <w:pPr>
        <w:rPr>
          <w:rFonts w:ascii="Arial" w:hAnsi="Arial" w:cs="Arial"/>
          <w:b/>
          <w:i/>
          <w:color w:val="0000FF"/>
          <w:kern w:val="28"/>
          <w:sz w:val="22"/>
          <w:szCs w:val="36"/>
        </w:rPr>
      </w:pPr>
    </w:p>
    <w:p w:rsidR="00B27950" w:rsidRPr="00704134" w:rsidRDefault="00B27950" w:rsidP="00B27950">
      <w:pPr>
        <w:pStyle w:val="Head5"/>
      </w:pPr>
      <w:r w:rsidRPr="00704134">
        <w:t>Statistics—Legislative instruments registered and repealed</w:t>
      </w:r>
    </w:p>
    <w:tbl>
      <w:tblPr>
        <w:tblW w:w="7197" w:type="dxa"/>
        <w:tblBorders>
          <w:top w:val="single" w:sz="12" w:space="0" w:color="008000"/>
          <w:bottom w:val="single" w:sz="12" w:space="0" w:color="008000"/>
        </w:tblBorders>
        <w:tblLook w:val="0020" w:firstRow="1" w:lastRow="0" w:firstColumn="0" w:lastColumn="0" w:noHBand="0" w:noVBand="0"/>
      </w:tblPr>
      <w:tblGrid>
        <w:gridCol w:w="1810"/>
        <w:gridCol w:w="2693"/>
        <w:gridCol w:w="2694"/>
      </w:tblGrid>
      <w:tr w:rsidR="0041482C" w:rsidTr="003B5D37">
        <w:trPr>
          <w:trHeight w:val="497"/>
        </w:trPr>
        <w:tc>
          <w:tcPr>
            <w:tcW w:w="1810" w:type="dxa"/>
            <w:tcBorders>
              <w:top w:val="single" w:sz="12" w:space="0" w:color="000000"/>
              <w:bottom w:val="single" w:sz="6" w:space="0" w:color="000000"/>
            </w:tcBorders>
          </w:tcPr>
          <w:p w:rsidR="0041482C" w:rsidRDefault="0041482C" w:rsidP="00DE340C">
            <w:pPr>
              <w:pStyle w:val="Tabletexthead"/>
              <w:jc w:val="right"/>
            </w:pPr>
            <w:r>
              <w:t>Year</w:t>
            </w:r>
          </w:p>
        </w:tc>
        <w:tc>
          <w:tcPr>
            <w:tcW w:w="2693" w:type="dxa"/>
            <w:tcBorders>
              <w:top w:val="single" w:sz="12" w:space="0" w:color="000000"/>
              <w:bottom w:val="single" w:sz="6" w:space="0" w:color="000000"/>
            </w:tcBorders>
            <w:shd w:val="clear" w:color="auto" w:fill="auto"/>
          </w:tcPr>
          <w:p w:rsidR="0041482C" w:rsidRDefault="0041482C" w:rsidP="00DE340C">
            <w:pPr>
              <w:pStyle w:val="Tabletexthead"/>
              <w:jc w:val="right"/>
            </w:pPr>
            <w:r>
              <w:t>Number registered</w:t>
            </w:r>
          </w:p>
        </w:tc>
        <w:tc>
          <w:tcPr>
            <w:tcW w:w="2694" w:type="dxa"/>
            <w:tcBorders>
              <w:top w:val="single" w:sz="12" w:space="0" w:color="000000"/>
              <w:bottom w:val="single" w:sz="6" w:space="0" w:color="000000"/>
            </w:tcBorders>
            <w:shd w:val="clear" w:color="auto" w:fill="auto"/>
          </w:tcPr>
          <w:p w:rsidR="0041482C" w:rsidRDefault="0041482C" w:rsidP="00DE340C">
            <w:pPr>
              <w:pStyle w:val="Tabletexthead"/>
              <w:jc w:val="right"/>
            </w:pPr>
            <w:r>
              <w:t>Number repealed</w:t>
            </w:r>
          </w:p>
        </w:tc>
      </w:tr>
      <w:tr w:rsidR="0041482C" w:rsidRPr="00CB554F" w:rsidTr="003B5D37">
        <w:trPr>
          <w:trHeight w:val="284"/>
        </w:trPr>
        <w:tc>
          <w:tcPr>
            <w:tcW w:w="1810" w:type="dxa"/>
            <w:tcBorders>
              <w:top w:val="single" w:sz="6" w:space="0" w:color="000000"/>
              <w:bottom w:val="nil"/>
            </w:tcBorders>
          </w:tcPr>
          <w:p w:rsidR="0041482C" w:rsidRPr="008C5EDA" w:rsidRDefault="0041482C" w:rsidP="00BC1C91">
            <w:pPr>
              <w:pStyle w:val="Tabletext"/>
              <w:keepNext/>
              <w:jc w:val="right"/>
              <w:rPr>
                <w:b/>
                <w:color w:val="0000FF"/>
                <w:szCs w:val="20"/>
              </w:rPr>
            </w:pPr>
            <w:r>
              <w:rPr>
                <w:b/>
                <w:color w:val="0000FF"/>
                <w:szCs w:val="20"/>
              </w:rPr>
              <w:t>201</w:t>
            </w:r>
            <w:r w:rsidR="00BC1C91">
              <w:rPr>
                <w:b/>
                <w:color w:val="0000FF"/>
                <w:szCs w:val="20"/>
              </w:rPr>
              <w:t>6</w:t>
            </w:r>
            <w:r>
              <w:rPr>
                <w:b/>
                <w:color w:val="0000FF"/>
                <w:szCs w:val="20"/>
              </w:rPr>
              <w:t>-201</w:t>
            </w:r>
            <w:r w:rsidR="00BC1C91">
              <w:rPr>
                <w:b/>
                <w:color w:val="0000FF"/>
                <w:szCs w:val="20"/>
              </w:rPr>
              <w:t>7</w:t>
            </w:r>
          </w:p>
        </w:tc>
        <w:tc>
          <w:tcPr>
            <w:tcW w:w="2693" w:type="dxa"/>
            <w:tcBorders>
              <w:top w:val="single" w:sz="6" w:space="0" w:color="000000"/>
              <w:bottom w:val="nil"/>
            </w:tcBorders>
            <w:shd w:val="clear" w:color="auto" w:fill="auto"/>
            <w:vAlign w:val="bottom"/>
          </w:tcPr>
          <w:p w:rsidR="0041482C" w:rsidRDefault="00BC1C91" w:rsidP="00B7009E">
            <w:pPr>
              <w:pStyle w:val="Tabletext"/>
              <w:keepNext/>
              <w:jc w:val="right"/>
              <w:rPr>
                <w:rFonts w:eastAsiaTheme="minorHAnsi"/>
                <w:lang w:eastAsia="en-US"/>
              </w:rPr>
            </w:pPr>
            <w:r>
              <w:rPr>
                <w:rFonts w:eastAsiaTheme="minorHAnsi"/>
                <w:lang w:eastAsia="en-US"/>
              </w:rPr>
              <w:t>1,774</w:t>
            </w:r>
          </w:p>
        </w:tc>
        <w:tc>
          <w:tcPr>
            <w:tcW w:w="2694" w:type="dxa"/>
            <w:tcBorders>
              <w:top w:val="single" w:sz="6" w:space="0" w:color="000000"/>
              <w:bottom w:val="nil"/>
            </w:tcBorders>
            <w:shd w:val="clear" w:color="auto" w:fill="auto"/>
          </w:tcPr>
          <w:p w:rsidR="0041482C" w:rsidRDefault="00BC1C91" w:rsidP="00B7009E">
            <w:pPr>
              <w:pStyle w:val="Tabletext"/>
              <w:keepNext/>
              <w:jc w:val="right"/>
              <w:rPr>
                <w:rFonts w:eastAsiaTheme="minorHAnsi"/>
                <w:lang w:eastAsia="en-US"/>
              </w:rPr>
            </w:pPr>
            <w:r>
              <w:rPr>
                <w:rFonts w:eastAsiaTheme="minorHAnsi"/>
                <w:lang w:eastAsia="en-US"/>
              </w:rPr>
              <w:t>2,653</w:t>
            </w:r>
          </w:p>
        </w:tc>
      </w:tr>
      <w:tr w:rsidR="0041482C" w:rsidRPr="00CB554F" w:rsidTr="003B5D37">
        <w:trPr>
          <w:trHeight w:val="284"/>
        </w:trPr>
        <w:tc>
          <w:tcPr>
            <w:tcW w:w="1810" w:type="dxa"/>
            <w:tcBorders>
              <w:top w:val="nil"/>
              <w:bottom w:val="single" w:sz="12" w:space="0" w:color="000000"/>
            </w:tcBorders>
          </w:tcPr>
          <w:p w:rsidR="0041482C" w:rsidRDefault="0041482C" w:rsidP="00BC1C91">
            <w:pPr>
              <w:pStyle w:val="Tabletext"/>
              <w:keepNext/>
              <w:jc w:val="right"/>
              <w:rPr>
                <w:rFonts w:eastAsiaTheme="minorHAnsi"/>
                <w:lang w:eastAsia="en-US"/>
              </w:rPr>
            </w:pPr>
            <w:r w:rsidRPr="008C5EDA">
              <w:rPr>
                <w:b/>
                <w:color w:val="0000FF"/>
                <w:szCs w:val="20"/>
              </w:rPr>
              <w:t>201</w:t>
            </w:r>
            <w:r w:rsidR="00BC1C91">
              <w:rPr>
                <w:b/>
                <w:color w:val="0000FF"/>
                <w:szCs w:val="20"/>
              </w:rPr>
              <w:t>5</w:t>
            </w:r>
            <w:r w:rsidRPr="008C5EDA">
              <w:rPr>
                <w:b/>
                <w:color w:val="0000FF"/>
                <w:szCs w:val="20"/>
              </w:rPr>
              <w:t>-201</w:t>
            </w:r>
            <w:r w:rsidR="00BC1C91">
              <w:rPr>
                <w:b/>
                <w:color w:val="0000FF"/>
                <w:szCs w:val="20"/>
              </w:rPr>
              <w:t>6</w:t>
            </w:r>
          </w:p>
        </w:tc>
        <w:tc>
          <w:tcPr>
            <w:tcW w:w="2693" w:type="dxa"/>
            <w:tcBorders>
              <w:top w:val="nil"/>
              <w:bottom w:val="single" w:sz="12" w:space="0" w:color="000000"/>
            </w:tcBorders>
            <w:shd w:val="clear" w:color="auto" w:fill="auto"/>
            <w:vAlign w:val="bottom"/>
          </w:tcPr>
          <w:p w:rsidR="0041482C" w:rsidRDefault="00BC1C91" w:rsidP="00B7009E">
            <w:pPr>
              <w:pStyle w:val="Tabletext"/>
              <w:keepNext/>
              <w:jc w:val="right"/>
            </w:pPr>
            <w:r>
              <w:rPr>
                <w:rFonts w:eastAsiaTheme="minorHAnsi"/>
                <w:lang w:eastAsia="en-US"/>
              </w:rPr>
              <w:t>2,204</w:t>
            </w:r>
          </w:p>
        </w:tc>
        <w:tc>
          <w:tcPr>
            <w:tcW w:w="2694" w:type="dxa"/>
            <w:tcBorders>
              <w:top w:val="nil"/>
              <w:bottom w:val="single" w:sz="12" w:space="0" w:color="000000"/>
            </w:tcBorders>
            <w:shd w:val="clear" w:color="auto" w:fill="auto"/>
          </w:tcPr>
          <w:p w:rsidR="0041482C" w:rsidRDefault="00BC1C91" w:rsidP="00B7009E">
            <w:pPr>
              <w:pStyle w:val="Tabletext"/>
              <w:keepNext/>
              <w:jc w:val="right"/>
            </w:pPr>
            <w:r>
              <w:rPr>
                <w:rFonts w:eastAsiaTheme="minorHAnsi"/>
                <w:lang w:eastAsia="en-US"/>
              </w:rPr>
              <w:t>2,292</w:t>
            </w:r>
          </w:p>
        </w:tc>
      </w:tr>
    </w:tbl>
    <w:p w:rsidR="00B27950" w:rsidRPr="00704134" w:rsidRDefault="00D11534" w:rsidP="003B5D37">
      <w:pPr>
        <w:pStyle w:val="Head5"/>
        <w:pageBreakBefore/>
      </w:pPr>
      <w:r>
        <w:lastRenderedPageBreak/>
        <w:t>S</w:t>
      </w:r>
      <w:r w:rsidR="00B27950" w:rsidRPr="00704134">
        <w:t>tatistics—</w:t>
      </w:r>
      <w:r w:rsidR="00A06CB9">
        <w:t>Federal Register of Legislation</w:t>
      </w:r>
      <w:r w:rsidR="00B27950" w:rsidRPr="00704134">
        <w:t xml:space="preserve"> website</w:t>
      </w:r>
    </w:p>
    <w:tbl>
      <w:tblPr>
        <w:tblW w:w="7197" w:type="dxa"/>
        <w:tblBorders>
          <w:top w:val="single" w:sz="12" w:space="0" w:color="008000"/>
          <w:bottom w:val="single" w:sz="12" w:space="0" w:color="008000"/>
        </w:tblBorders>
        <w:tblLook w:val="0020" w:firstRow="1" w:lastRow="0" w:firstColumn="0" w:lastColumn="0" w:noHBand="0" w:noVBand="0"/>
      </w:tblPr>
      <w:tblGrid>
        <w:gridCol w:w="1799"/>
        <w:gridCol w:w="1799"/>
        <w:gridCol w:w="1799"/>
        <w:gridCol w:w="1800"/>
      </w:tblGrid>
      <w:tr w:rsidR="0041482C" w:rsidTr="003B5D37">
        <w:trPr>
          <w:trHeight w:val="497"/>
        </w:trPr>
        <w:tc>
          <w:tcPr>
            <w:tcW w:w="1799" w:type="dxa"/>
            <w:tcBorders>
              <w:top w:val="single" w:sz="12" w:space="0" w:color="000000"/>
              <w:bottom w:val="single" w:sz="6" w:space="0" w:color="000000"/>
            </w:tcBorders>
          </w:tcPr>
          <w:p w:rsidR="0041482C" w:rsidRDefault="0041482C" w:rsidP="00DE340C">
            <w:pPr>
              <w:pStyle w:val="Tabletexthead"/>
              <w:jc w:val="right"/>
            </w:pPr>
            <w:r>
              <w:t>Year</w:t>
            </w:r>
          </w:p>
        </w:tc>
        <w:tc>
          <w:tcPr>
            <w:tcW w:w="1799" w:type="dxa"/>
            <w:tcBorders>
              <w:top w:val="single" w:sz="12" w:space="0" w:color="000000"/>
              <w:bottom w:val="single" w:sz="6" w:space="0" w:color="000000"/>
            </w:tcBorders>
            <w:shd w:val="clear" w:color="auto" w:fill="auto"/>
          </w:tcPr>
          <w:p w:rsidR="0041482C" w:rsidRDefault="0041482C" w:rsidP="00DE340C">
            <w:pPr>
              <w:pStyle w:val="Tabletexthead"/>
              <w:jc w:val="right"/>
            </w:pPr>
            <w:r>
              <w:t>Total visits</w:t>
            </w:r>
          </w:p>
        </w:tc>
        <w:tc>
          <w:tcPr>
            <w:tcW w:w="1799" w:type="dxa"/>
            <w:tcBorders>
              <w:top w:val="single" w:sz="12" w:space="0" w:color="000000"/>
              <w:bottom w:val="single" w:sz="6" w:space="0" w:color="000000"/>
            </w:tcBorders>
            <w:shd w:val="clear" w:color="auto" w:fill="auto"/>
          </w:tcPr>
          <w:p w:rsidR="0041482C" w:rsidRDefault="0041482C" w:rsidP="00DE340C">
            <w:pPr>
              <w:pStyle w:val="Tabletexthead"/>
              <w:jc w:val="right"/>
            </w:pPr>
            <w:r>
              <w:t>Total unique visits</w:t>
            </w:r>
          </w:p>
        </w:tc>
        <w:tc>
          <w:tcPr>
            <w:tcW w:w="1800" w:type="dxa"/>
            <w:tcBorders>
              <w:top w:val="single" w:sz="12" w:space="0" w:color="000000"/>
              <w:bottom w:val="single" w:sz="6" w:space="0" w:color="000000"/>
            </w:tcBorders>
          </w:tcPr>
          <w:p w:rsidR="0041482C" w:rsidRDefault="0041482C" w:rsidP="00DE340C">
            <w:pPr>
              <w:pStyle w:val="Tabletexthead"/>
              <w:jc w:val="right"/>
            </w:pPr>
            <w:r>
              <w:t>Total page views</w:t>
            </w:r>
          </w:p>
        </w:tc>
      </w:tr>
      <w:tr w:rsidR="0041482C" w:rsidRPr="00CB554F" w:rsidTr="003B5D37">
        <w:trPr>
          <w:trHeight w:val="284"/>
        </w:trPr>
        <w:tc>
          <w:tcPr>
            <w:tcW w:w="1799" w:type="dxa"/>
            <w:tcBorders>
              <w:top w:val="single" w:sz="6" w:space="0" w:color="000000"/>
              <w:bottom w:val="nil"/>
            </w:tcBorders>
          </w:tcPr>
          <w:p w:rsidR="0041482C" w:rsidRPr="008C5EDA" w:rsidRDefault="0041482C" w:rsidP="00BC1C91">
            <w:pPr>
              <w:pStyle w:val="Tabletext"/>
              <w:keepNext/>
              <w:jc w:val="right"/>
              <w:rPr>
                <w:b/>
                <w:color w:val="0000FF"/>
                <w:szCs w:val="20"/>
              </w:rPr>
            </w:pPr>
            <w:r>
              <w:rPr>
                <w:b/>
                <w:color w:val="0000FF"/>
                <w:szCs w:val="20"/>
              </w:rPr>
              <w:t>201</w:t>
            </w:r>
            <w:r w:rsidR="00BC1C91">
              <w:rPr>
                <w:b/>
                <w:color w:val="0000FF"/>
                <w:szCs w:val="20"/>
              </w:rPr>
              <w:t>6</w:t>
            </w:r>
            <w:r>
              <w:rPr>
                <w:b/>
                <w:color w:val="0000FF"/>
                <w:szCs w:val="20"/>
              </w:rPr>
              <w:t>-201</w:t>
            </w:r>
            <w:r w:rsidR="00BC1C91">
              <w:rPr>
                <w:b/>
                <w:color w:val="0000FF"/>
                <w:szCs w:val="20"/>
              </w:rPr>
              <w:t>7</w:t>
            </w:r>
          </w:p>
        </w:tc>
        <w:tc>
          <w:tcPr>
            <w:tcW w:w="1799" w:type="dxa"/>
            <w:tcBorders>
              <w:top w:val="single" w:sz="6" w:space="0" w:color="000000"/>
              <w:bottom w:val="nil"/>
            </w:tcBorders>
            <w:shd w:val="clear" w:color="auto" w:fill="auto"/>
          </w:tcPr>
          <w:p w:rsidR="0041482C" w:rsidRPr="00147D4F" w:rsidRDefault="00BC1C91" w:rsidP="00BC1C91">
            <w:pPr>
              <w:pStyle w:val="Tabletext"/>
              <w:keepNext/>
              <w:jc w:val="right"/>
              <w:rPr>
                <w:rFonts w:eastAsiaTheme="minorHAnsi"/>
                <w:lang w:eastAsia="en-US"/>
              </w:rPr>
            </w:pPr>
            <w:r>
              <w:rPr>
                <w:rFonts w:eastAsiaTheme="minorHAnsi"/>
                <w:lang w:eastAsia="en-US"/>
              </w:rPr>
              <w:t>8</w:t>
            </w:r>
            <w:r w:rsidR="0041482C" w:rsidRPr="00147D4F">
              <w:rPr>
                <w:rFonts w:eastAsiaTheme="minorHAnsi"/>
                <w:lang w:eastAsia="en-US"/>
              </w:rPr>
              <w:t>,</w:t>
            </w:r>
            <w:r w:rsidR="00A06CB9">
              <w:rPr>
                <w:rFonts w:eastAsiaTheme="minorHAnsi"/>
                <w:lang w:eastAsia="en-US"/>
              </w:rPr>
              <w:t>6</w:t>
            </w:r>
            <w:r>
              <w:rPr>
                <w:rFonts w:eastAsiaTheme="minorHAnsi"/>
                <w:lang w:eastAsia="en-US"/>
              </w:rPr>
              <w:t>58</w:t>
            </w:r>
            <w:r w:rsidR="0041482C" w:rsidRPr="00147D4F">
              <w:rPr>
                <w:rFonts w:eastAsiaTheme="minorHAnsi"/>
                <w:lang w:eastAsia="en-US"/>
              </w:rPr>
              <w:t>,</w:t>
            </w:r>
            <w:r w:rsidR="00A06CB9">
              <w:rPr>
                <w:rFonts w:eastAsiaTheme="minorHAnsi"/>
                <w:lang w:eastAsia="en-US"/>
              </w:rPr>
              <w:t>9</w:t>
            </w:r>
            <w:r>
              <w:rPr>
                <w:rFonts w:eastAsiaTheme="minorHAnsi"/>
                <w:lang w:eastAsia="en-US"/>
              </w:rPr>
              <w:t>86</w:t>
            </w:r>
          </w:p>
        </w:tc>
        <w:tc>
          <w:tcPr>
            <w:tcW w:w="1799" w:type="dxa"/>
            <w:tcBorders>
              <w:top w:val="single" w:sz="6" w:space="0" w:color="000000"/>
              <w:bottom w:val="nil"/>
            </w:tcBorders>
            <w:shd w:val="clear" w:color="auto" w:fill="auto"/>
          </w:tcPr>
          <w:p w:rsidR="0041482C" w:rsidRPr="00147D4F" w:rsidRDefault="00A06CB9" w:rsidP="00BC1C91">
            <w:pPr>
              <w:pStyle w:val="Tabletext"/>
              <w:keepNext/>
              <w:jc w:val="right"/>
              <w:rPr>
                <w:rFonts w:eastAsiaTheme="minorHAnsi"/>
                <w:lang w:eastAsia="en-US"/>
              </w:rPr>
            </w:pPr>
            <w:r>
              <w:rPr>
                <w:rFonts w:eastAsiaTheme="minorHAnsi"/>
                <w:lang w:eastAsia="en-US"/>
              </w:rPr>
              <w:t>4</w:t>
            </w:r>
            <w:r w:rsidR="0041482C" w:rsidRPr="00147D4F">
              <w:rPr>
                <w:rFonts w:eastAsiaTheme="minorHAnsi"/>
                <w:lang w:eastAsia="en-US"/>
              </w:rPr>
              <w:t>,</w:t>
            </w:r>
            <w:r w:rsidR="00BC1C91">
              <w:rPr>
                <w:rFonts w:eastAsiaTheme="minorHAnsi"/>
                <w:lang w:eastAsia="en-US"/>
              </w:rPr>
              <w:t>359</w:t>
            </w:r>
            <w:r w:rsidR="0041482C" w:rsidRPr="00147D4F">
              <w:rPr>
                <w:rFonts w:eastAsiaTheme="minorHAnsi"/>
                <w:lang w:eastAsia="en-US"/>
              </w:rPr>
              <w:t>,</w:t>
            </w:r>
            <w:r w:rsidR="00BC1C91">
              <w:rPr>
                <w:rFonts w:eastAsiaTheme="minorHAnsi"/>
                <w:lang w:eastAsia="en-US"/>
              </w:rPr>
              <w:t>051</w:t>
            </w:r>
          </w:p>
        </w:tc>
        <w:tc>
          <w:tcPr>
            <w:tcW w:w="1800" w:type="dxa"/>
            <w:tcBorders>
              <w:top w:val="single" w:sz="6" w:space="0" w:color="000000"/>
              <w:bottom w:val="nil"/>
            </w:tcBorders>
          </w:tcPr>
          <w:p w:rsidR="0041482C" w:rsidRPr="00147D4F" w:rsidRDefault="0041482C" w:rsidP="00BC1C91">
            <w:pPr>
              <w:pStyle w:val="Tabletext"/>
              <w:keepNext/>
              <w:jc w:val="right"/>
              <w:rPr>
                <w:rFonts w:eastAsiaTheme="minorHAnsi"/>
                <w:lang w:eastAsia="en-US"/>
              </w:rPr>
            </w:pPr>
            <w:r w:rsidRPr="00147D4F">
              <w:rPr>
                <w:rFonts w:eastAsiaTheme="minorHAnsi"/>
                <w:lang w:eastAsia="en-US"/>
              </w:rPr>
              <w:t>2</w:t>
            </w:r>
            <w:r w:rsidR="00A06CB9">
              <w:rPr>
                <w:rFonts w:eastAsiaTheme="minorHAnsi"/>
                <w:lang w:eastAsia="en-US"/>
              </w:rPr>
              <w:t>5</w:t>
            </w:r>
            <w:r w:rsidRPr="00147D4F">
              <w:rPr>
                <w:rFonts w:eastAsiaTheme="minorHAnsi"/>
                <w:lang w:eastAsia="en-US"/>
              </w:rPr>
              <w:t>,</w:t>
            </w:r>
            <w:r w:rsidR="00BC1C91">
              <w:rPr>
                <w:rFonts w:eastAsiaTheme="minorHAnsi"/>
                <w:lang w:eastAsia="en-US"/>
              </w:rPr>
              <w:t>637</w:t>
            </w:r>
            <w:r w:rsidRPr="00147D4F">
              <w:rPr>
                <w:rFonts w:eastAsiaTheme="minorHAnsi"/>
                <w:lang w:eastAsia="en-US"/>
              </w:rPr>
              <w:t>,</w:t>
            </w:r>
            <w:r w:rsidR="00BC1C91">
              <w:rPr>
                <w:rFonts w:eastAsiaTheme="minorHAnsi"/>
                <w:lang w:eastAsia="en-US"/>
              </w:rPr>
              <w:t>630</w:t>
            </w:r>
          </w:p>
        </w:tc>
      </w:tr>
      <w:tr w:rsidR="00BC1C91" w:rsidRPr="00CB554F" w:rsidTr="003B5D37">
        <w:trPr>
          <w:trHeight w:val="284"/>
        </w:trPr>
        <w:tc>
          <w:tcPr>
            <w:tcW w:w="1799" w:type="dxa"/>
            <w:tcBorders>
              <w:top w:val="nil"/>
              <w:bottom w:val="single" w:sz="12" w:space="0" w:color="000000"/>
            </w:tcBorders>
          </w:tcPr>
          <w:p w:rsidR="00BC1C91" w:rsidRDefault="00BC1C91" w:rsidP="00BC1C91">
            <w:pPr>
              <w:pStyle w:val="Tabletext"/>
              <w:keepNext/>
              <w:jc w:val="right"/>
              <w:rPr>
                <w:rFonts w:eastAsiaTheme="minorHAnsi"/>
                <w:lang w:eastAsia="en-US"/>
              </w:rPr>
            </w:pPr>
            <w:r w:rsidRPr="008C5EDA">
              <w:rPr>
                <w:b/>
                <w:color w:val="0000FF"/>
                <w:szCs w:val="20"/>
              </w:rPr>
              <w:t>201</w:t>
            </w:r>
            <w:r>
              <w:rPr>
                <w:b/>
                <w:color w:val="0000FF"/>
                <w:szCs w:val="20"/>
              </w:rPr>
              <w:t>5</w:t>
            </w:r>
            <w:r w:rsidRPr="008C5EDA">
              <w:rPr>
                <w:b/>
                <w:color w:val="0000FF"/>
                <w:szCs w:val="20"/>
              </w:rPr>
              <w:t>-201</w:t>
            </w:r>
            <w:r>
              <w:rPr>
                <w:b/>
                <w:color w:val="0000FF"/>
                <w:szCs w:val="20"/>
              </w:rPr>
              <w:t>6</w:t>
            </w:r>
          </w:p>
        </w:tc>
        <w:tc>
          <w:tcPr>
            <w:tcW w:w="1799" w:type="dxa"/>
            <w:tcBorders>
              <w:top w:val="nil"/>
              <w:bottom w:val="single" w:sz="12" w:space="0" w:color="000000"/>
            </w:tcBorders>
            <w:shd w:val="clear" w:color="auto" w:fill="auto"/>
          </w:tcPr>
          <w:p w:rsidR="00BC1C91" w:rsidRPr="00147D4F" w:rsidRDefault="00BC1C91" w:rsidP="00B94F07">
            <w:pPr>
              <w:pStyle w:val="Tabletext"/>
              <w:keepNext/>
              <w:jc w:val="right"/>
              <w:rPr>
                <w:rFonts w:eastAsiaTheme="minorHAnsi"/>
                <w:lang w:eastAsia="en-US"/>
              </w:rPr>
            </w:pPr>
            <w:r w:rsidRPr="00147D4F">
              <w:rPr>
                <w:rFonts w:eastAsiaTheme="minorHAnsi"/>
                <w:lang w:eastAsia="en-US"/>
              </w:rPr>
              <w:t>7,</w:t>
            </w:r>
            <w:r>
              <w:rPr>
                <w:rFonts w:eastAsiaTheme="minorHAnsi"/>
                <w:lang w:eastAsia="en-US"/>
              </w:rPr>
              <w:t>636</w:t>
            </w:r>
            <w:r w:rsidRPr="00147D4F">
              <w:rPr>
                <w:rFonts w:eastAsiaTheme="minorHAnsi"/>
                <w:lang w:eastAsia="en-US"/>
              </w:rPr>
              <w:t>,</w:t>
            </w:r>
            <w:r>
              <w:rPr>
                <w:rFonts w:eastAsiaTheme="minorHAnsi"/>
                <w:lang w:eastAsia="en-US"/>
              </w:rPr>
              <w:t>928</w:t>
            </w:r>
          </w:p>
        </w:tc>
        <w:tc>
          <w:tcPr>
            <w:tcW w:w="1799" w:type="dxa"/>
            <w:tcBorders>
              <w:top w:val="nil"/>
              <w:bottom w:val="single" w:sz="12" w:space="0" w:color="000000"/>
            </w:tcBorders>
            <w:shd w:val="clear" w:color="auto" w:fill="auto"/>
          </w:tcPr>
          <w:p w:rsidR="00BC1C91" w:rsidRPr="00147D4F" w:rsidRDefault="00BC1C91" w:rsidP="00B94F07">
            <w:pPr>
              <w:pStyle w:val="Tabletext"/>
              <w:keepNext/>
              <w:jc w:val="right"/>
              <w:rPr>
                <w:rFonts w:eastAsiaTheme="minorHAnsi"/>
                <w:lang w:eastAsia="en-US"/>
              </w:rPr>
            </w:pPr>
            <w:r>
              <w:rPr>
                <w:rFonts w:eastAsiaTheme="minorHAnsi"/>
                <w:lang w:eastAsia="en-US"/>
              </w:rPr>
              <w:t>4</w:t>
            </w:r>
            <w:r w:rsidRPr="00147D4F">
              <w:rPr>
                <w:rFonts w:eastAsiaTheme="minorHAnsi"/>
                <w:lang w:eastAsia="en-US"/>
              </w:rPr>
              <w:t>,</w:t>
            </w:r>
            <w:r>
              <w:rPr>
                <w:rFonts w:eastAsiaTheme="minorHAnsi"/>
                <w:lang w:eastAsia="en-US"/>
              </w:rPr>
              <w:t>170</w:t>
            </w:r>
            <w:r w:rsidRPr="00147D4F">
              <w:rPr>
                <w:rFonts w:eastAsiaTheme="minorHAnsi"/>
                <w:lang w:eastAsia="en-US"/>
              </w:rPr>
              <w:t>,</w:t>
            </w:r>
            <w:r>
              <w:rPr>
                <w:rFonts w:eastAsiaTheme="minorHAnsi"/>
                <w:lang w:eastAsia="en-US"/>
              </w:rPr>
              <w:t>139</w:t>
            </w:r>
          </w:p>
        </w:tc>
        <w:tc>
          <w:tcPr>
            <w:tcW w:w="1800" w:type="dxa"/>
            <w:tcBorders>
              <w:top w:val="nil"/>
              <w:bottom w:val="single" w:sz="12" w:space="0" w:color="000000"/>
            </w:tcBorders>
          </w:tcPr>
          <w:p w:rsidR="00BC1C91" w:rsidRPr="00147D4F" w:rsidRDefault="00BC1C91" w:rsidP="00B94F07">
            <w:pPr>
              <w:pStyle w:val="Tabletext"/>
              <w:keepNext/>
              <w:jc w:val="right"/>
              <w:rPr>
                <w:rFonts w:eastAsiaTheme="minorHAnsi"/>
                <w:lang w:eastAsia="en-US"/>
              </w:rPr>
            </w:pPr>
            <w:r w:rsidRPr="00147D4F">
              <w:rPr>
                <w:rFonts w:eastAsiaTheme="minorHAnsi"/>
                <w:lang w:eastAsia="en-US"/>
              </w:rPr>
              <w:t>2</w:t>
            </w:r>
            <w:r>
              <w:rPr>
                <w:rFonts w:eastAsiaTheme="minorHAnsi"/>
                <w:lang w:eastAsia="en-US"/>
              </w:rPr>
              <w:t>5</w:t>
            </w:r>
            <w:r w:rsidRPr="00147D4F">
              <w:rPr>
                <w:rFonts w:eastAsiaTheme="minorHAnsi"/>
                <w:lang w:eastAsia="en-US"/>
              </w:rPr>
              <w:t>,</w:t>
            </w:r>
            <w:r>
              <w:rPr>
                <w:rFonts w:eastAsiaTheme="minorHAnsi"/>
                <w:lang w:eastAsia="en-US"/>
              </w:rPr>
              <w:t>481</w:t>
            </w:r>
            <w:r w:rsidRPr="00147D4F">
              <w:rPr>
                <w:rFonts w:eastAsiaTheme="minorHAnsi"/>
                <w:lang w:eastAsia="en-US"/>
              </w:rPr>
              <w:t>,</w:t>
            </w:r>
            <w:r>
              <w:rPr>
                <w:rFonts w:eastAsiaTheme="minorHAnsi"/>
                <w:lang w:eastAsia="en-US"/>
              </w:rPr>
              <w:t>132</w:t>
            </w:r>
          </w:p>
        </w:tc>
      </w:tr>
    </w:tbl>
    <w:p w:rsidR="009F3E67" w:rsidRDefault="00B27950" w:rsidP="009F3E67">
      <w:pPr>
        <w:pStyle w:val="Tabletext"/>
        <w:spacing w:after="240"/>
        <w:rPr>
          <w:sz w:val="16"/>
          <w:szCs w:val="16"/>
        </w:rPr>
        <w:sectPr w:rsidR="009F3E67">
          <w:headerReference w:type="even" r:id="rId49"/>
          <w:headerReference w:type="default" r:id="rId50"/>
          <w:type w:val="continuous"/>
          <w:pgSz w:w="11907" w:h="16839" w:code="9"/>
          <w:pgMar w:top="1134" w:right="2410" w:bottom="4253" w:left="2410" w:header="510" w:footer="3402" w:gutter="0"/>
          <w:cols w:space="709"/>
          <w:docGrid w:linePitch="326"/>
        </w:sectPr>
      </w:pPr>
      <w:r w:rsidRPr="00704134">
        <w:rPr>
          <w:sz w:val="16"/>
          <w:szCs w:val="16"/>
        </w:rPr>
        <w:t>Note:</w:t>
      </w:r>
      <w:r w:rsidRPr="00704134">
        <w:rPr>
          <w:sz w:val="16"/>
          <w:szCs w:val="16"/>
        </w:rPr>
        <w:tab/>
        <w:t xml:space="preserve">Total unique visitors is the number of unduplicated (counted only once) visitors. Total </w:t>
      </w:r>
      <w:r w:rsidRPr="00704134">
        <w:rPr>
          <w:sz w:val="16"/>
          <w:szCs w:val="16"/>
        </w:rPr>
        <w:tab/>
        <w:t xml:space="preserve">page views is the total number of pages viewed. For page views, repeated views of a </w:t>
      </w:r>
      <w:r w:rsidRPr="00704134">
        <w:rPr>
          <w:sz w:val="16"/>
          <w:szCs w:val="16"/>
        </w:rPr>
        <w:tab/>
        <w:t>single page are counted</w:t>
      </w:r>
      <w:r w:rsidR="0065385A">
        <w:rPr>
          <w:sz w:val="16"/>
          <w:szCs w:val="16"/>
        </w:rPr>
        <w:t>.</w:t>
      </w:r>
    </w:p>
    <w:p w:rsidR="006E4F60" w:rsidRPr="00762035" w:rsidRDefault="00B27950" w:rsidP="00D3439E">
      <w:pPr>
        <w:pStyle w:val="Head3"/>
      </w:pPr>
      <w:bookmarkStart w:id="58" w:name="_Toc492656467"/>
      <w:r>
        <w:lastRenderedPageBreak/>
        <w:t xml:space="preserve">Influences on </w:t>
      </w:r>
      <w:proofErr w:type="spellStart"/>
      <w:r>
        <w:t>OPC’s</w:t>
      </w:r>
      <w:proofErr w:type="spellEnd"/>
      <w:r>
        <w:t xml:space="preserve"> performance</w:t>
      </w:r>
      <w:bookmarkEnd w:id="58"/>
    </w:p>
    <w:p w:rsidR="00B27950" w:rsidRPr="002D2BAD" w:rsidRDefault="00B27950" w:rsidP="00B27950">
      <w:pPr>
        <w:pStyle w:val="Head4"/>
      </w:pPr>
      <w:r w:rsidRPr="002D2BAD">
        <w:t>Demand for legislation from particular portfolios</w:t>
      </w:r>
    </w:p>
    <w:p w:rsidR="004E2734" w:rsidRPr="002D2BAD" w:rsidRDefault="004E2734" w:rsidP="004E2734">
      <w:pPr>
        <w:pStyle w:val="BodyNum"/>
      </w:pPr>
      <w:r w:rsidRPr="002D2BAD">
        <w:t>There continued to be a substantial demand for the drafting of legislation fo</w:t>
      </w:r>
      <w:r w:rsidR="0065385A">
        <w:t xml:space="preserve">r the Treasury and </w:t>
      </w:r>
      <w:r w:rsidRPr="002D2BAD">
        <w:t>for th</w:t>
      </w:r>
      <w:r>
        <w:t>e Attorney-General’s portfolio.</w:t>
      </w:r>
    </w:p>
    <w:p w:rsidR="004E2734" w:rsidRPr="002D2BAD" w:rsidRDefault="004E2734" w:rsidP="004E2734">
      <w:pPr>
        <w:pStyle w:val="BodyNum"/>
      </w:pPr>
      <w:r>
        <w:t>Other portfolios</w:t>
      </w:r>
      <w:r w:rsidRPr="002D2BAD">
        <w:t xml:space="preserve"> that requir</w:t>
      </w:r>
      <w:r>
        <w:t>ed substantial resources were Immigration and Border Protection, Agriculture and Water Resources</w:t>
      </w:r>
      <w:r w:rsidR="0026185D">
        <w:t xml:space="preserve">, </w:t>
      </w:r>
      <w:r>
        <w:t>Infrastructure and Regional Development</w:t>
      </w:r>
      <w:r w:rsidR="0065385A">
        <w:t>,</w:t>
      </w:r>
      <w:r>
        <w:t xml:space="preserve"> and Health.</w:t>
      </w:r>
    </w:p>
    <w:p w:rsidR="004E2734" w:rsidRDefault="004E2734" w:rsidP="004E2734">
      <w:pPr>
        <w:pStyle w:val="BodyNum"/>
      </w:pPr>
      <w:r w:rsidRPr="002D2BAD">
        <w:t>Significant instrument p</w:t>
      </w:r>
      <w:r>
        <w:t xml:space="preserve">rojects for the year included instruments for the </w:t>
      </w:r>
      <w:r w:rsidRPr="00EC5F3D">
        <w:rPr>
          <w:i/>
        </w:rPr>
        <w:t>Biosecurity Act 2015</w:t>
      </w:r>
      <w:r>
        <w:t>, Ordinances and other instruments for the reform of governance arrangements for Norfolk Isla</w:t>
      </w:r>
      <w:r w:rsidR="0065385A">
        <w:t xml:space="preserve">nd, the simplification of </w:t>
      </w:r>
      <w:r w:rsidRPr="00E0448B">
        <w:t>student visas,</w:t>
      </w:r>
      <w:r>
        <w:t xml:space="preserve"> telecommunication </w:t>
      </w:r>
      <w:r>
        <w:lastRenderedPageBreak/>
        <w:t>amendments to support the government’s data retention legislation, insolvency law reform and court rules.</w:t>
      </w:r>
    </w:p>
    <w:p w:rsidR="00B27950" w:rsidRPr="002D2BAD" w:rsidRDefault="00B27950" w:rsidP="00B27950">
      <w:pPr>
        <w:pStyle w:val="Head4"/>
      </w:pPr>
      <w:r w:rsidRPr="002D2BAD">
        <w:t>Exposure drafts</w:t>
      </w:r>
    </w:p>
    <w:p w:rsidR="00B27950" w:rsidRPr="002D2BAD" w:rsidRDefault="00B27950" w:rsidP="00B27950">
      <w:pPr>
        <w:pStyle w:val="BodyNum"/>
      </w:pPr>
      <w:proofErr w:type="spellStart"/>
      <w:r w:rsidRPr="002D2BAD">
        <w:t>OPC’s</w:t>
      </w:r>
      <w:proofErr w:type="spellEnd"/>
      <w:r w:rsidRPr="002D2BAD">
        <w:t xml:space="preserve"> performance measures in relation to Bills are also affected by an increasing preference of the </w:t>
      </w:r>
      <w:r w:rsidR="0055279D">
        <w:t>g</w:t>
      </w:r>
      <w:r w:rsidRPr="002D2BAD">
        <w:t>overnment, and among many of our clients, for exposing draft legislation for public comment before introduction into Parliament. This infl</w:t>
      </w:r>
      <w:r w:rsidR="005A63E1">
        <w:t xml:space="preserve">uences performance because the </w:t>
      </w:r>
      <w:r w:rsidRPr="002D2BAD">
        <w:t>timeframes to provide resources are tighter for these Bills and further work is often required after consultation.</w:t>
      </w:r>
    </w:p>
    <w:p w:rsidR="00B27950" w:rsidRPr="002D2BAD" w:rsidRDefault="00B27950" w:rsidP="00B27950">
      <w:pPr>
        <w:pStyle w:val="BodyNum"/>
      </w:pPr>
      <w:r w:rsidRPr="002D2BAD">
        <w:t xml:space="preserve">Since the adoption in 2002 of the Board of Taxation’s recommendations on consultation in the tax area, much of the tax legislation drafted by OPC is </w:t>
      </w:r>
      <w:r w:rsidRPr="002D2BAD">
        <w:lastRenderedPageBreak/>
        <w:t>exposed for comment, either widely or in targeted consultations, before being finalised for introduction.</w:t>
      </w:r>
    </w:p>
    <w:p w:rsidR="00B27950" w:rsidRPr="002D2BAD" w:rsidRDefault="00B27950" w:rsidP="00B27950">
      <w:pPr>
        <w:pStyle w:val="BodyNum"/>
      </w:pPr>
      <w:r w:rsidRPr="002D2BAD">
        <w:t>There is also an increasing trend towards the release of exposure drafts in other areas.</w:t>
      </w:r>
    </w:p>
    <w:p w:rsidR="00B27950" w:rsidRPr="002D2BAD" w:rsidRDefault="00B27950" w:rsidP="00B27950">
      <w:pPr>
        <w:pStyle w:val="BodyNum"/>
      </w:pPr>
      <w:r w:rsidRPr="002D2BAD">
        <w:t>Sometimes, these exposure drafts are public exposure drafts. At other times, there are exposure drafts that are shown to a limited group with a particular interest in the area covered by the Bill.</w:t>
      </w:r>
    </w:p>
    <w:p w:rsidR="00B27950" w:rsidRPr="002D2BAD" w:rsidRDefault="00B27950" w:rsidP="00B27950">
      <w:pPr>
        <w:pStyle w:val="BodyNum"/>
      </w:pPr>
      <w:r w:rsidRPr="002D2BAD">
        <w:t>Usually, exposure of a draft Bill generates proposals for change, and OPC receives drafting instructions to revise the Bill before introduction.</w:t>
      </w:r>
    </w:p>
    <w:p w:rsidR="00B27950" w:rsidRPr="002D2BAD" w:rsidRDefault="00B27950" w:rsidP="00B27950">
      <w:pPr>
        <w:pStyle w:val="BodyNum"/>
      </w:pPr>
      <w:r w:rsidRPr="002D2BAD">
        <w:t>Sometimes, exposure reveals flaws in the draft Bill. Exposing a Bill for comment also provides an opportunity to improve the drafting of the Bill before introduction. However, the exposure process does absorb extra drafting resources and extends the time taken for the drafting project. This means that, increasingly, the Bills introduced in a particular year may reflect substantial work actually done by OPC in previous years, while work done during the reporting year is less visible.</w:t>
      </w:r>
    </w:p>
    <w:p w:rsidR="00B27950" w:rsidRPr="002D2BAD" w:rsidRDefault="00B27950" w:rsidP="00B27950">
      <w:pPr>
        <w:pStyle w:val="BodyNum"/>
      </w:pPr>
      <w:r w:rsidRPr="002D2BAD">
        <w:lastRenderedPageBreak/>
        <w:t>For instruments, the time required for consultation processes is generally built into the timeframes for development and making. The development period for projects also does not generally ex</w:t>
      </w:r>
      <w:r w:rsidR="00DB5EF4">
        <w:t>tend beyond the financial year.</w:t>
      </w:r>
    </w:p>
    <w:p w:rsidR="00B27950" w:rsidRPr="002D2BAD" w:rsidRDefault="00B27950" w:rsidP="00B27950">
      <w:pPr>
        <w:pStyle w:val="BodyNum"/>
      </w:pPr>
      <w:r w:rsidRPr="002D2BAD">
        <w:t>However, recently there has been more demand for instruments to be drafted and available with a Bill to assist with consideration of the</w:t>
      </w:r>
      <w:r w:rsidR="00926F22">
        <w:t xml:space="preserve"> </w:t>
      </w:r>
      <w:r w:rsidRPr="002D2BAD">
        <w:t>package of changes by Parliament. After the transfer of functions, this work is generally undertaken closely with the Bill drafter and can provide significant efficiencies for the broader project.</w:t>
      </w:r>
    </w:p>
    <w:p w:rsidR="00B27950" w:rsidRDefault="00B27950" w:rsidP="00B27950">
      <w:pPr>
        <w:pStyle w:val="Head4"/>
      </w:pPr>
      <w:proofErr w:type="spellStart"/>
      <w:r>
        <w:t>OPC’s</w:t>
      </w:r>
      <w:proofErr w:type="spellEnd"/>
      <w:r>
        <w:t xml:space="preserve"> funding position</w:t>
      </w:r>
    </w:p>
    <w:p w:rsidR="00B27950" w:rsidRPr="00893E62" w:rsidRDefault="004368BC" w:rsidP="00B27950">
      <w:pPr>
        <w:pStyle w:val="BodyNum"/>
      </w:pPr>
      <w:proofErr w:type="spellStart"/>
      <w:r>
        <w:t>OPC</w:t>
      </w:r>
      <w:r w:rsidR="00ED5DD4">
        <w:t>’s</w:t>
      </w:r>
      <w:proofErr w:type="spellEnd"/>
      <w:r w:rsidR="00ED5DD4">
        <w:t xml:space="preserve"> </w:t>
      </w:r>
      <w:r>
        <w:t>funding</w:t>
      </w:r>
      <w:r w:rsidR="00ED5DD4">
        <w:t xml:space="preserve"> was reduced by</w:t>
      </w:r>
      <w:r w:rsidR="00F22C78">
        <w:t xml:space="preserve"> $0.</w:t>
      </w:r>
      <w:r w:rsidR="00396D84">
        <w:t>380</w:t>
      </w:r>
      <w:r w:rsidR="00F22C78">
        <w:t xml:space="preserve"> million </w:t>
      </w:r>
      <w:r w:rsidR="00940D69">
        <w:t>in</w:t>
      </w:r>
      <w:r w:rsidR="00ED5DD4">
        <w:t xml:space="preserve"> the 201</w:t>
      </w:r>
      <w:r w:rsidR="00396D84">
        <w:t>6</w:t>
      </w:r>
      <w:r>
        <w:t>-201</w:t>
      </w:r>
      <w:r w:rsidR="00396D84">
        <w:t>7</w:t>
      </w:r>
      <w:r>
        <w:t xml:space="preserve"> year </w:t>
      </w:r>
      <w:r w:rsidR="00ED5DD4">
        <w:t xml:space="preserve">primarily for the ongoing budget measure </w:t>
      </w:r>
      <w:r w:rsidR="00ED5DD4">
        <w:rPr>
          <w:i/>
        </w:rPr>
        <w:t>Attorney-General’s</w:t>
      </w:r>
      <w:r>
        <w:rPr>
          <w:i/>
        </w:rPr>
        <w:t>—</w:t>
      </w:r>
      <w:r w:rsidR="00ED5DD4">
        <w:rPr>
          <w:i/>
        </w:rPr>
        <w:t>one-off efficiency savings to specific agencies</w:t>
      </w:r>
      <w:r>
        <w:t>.</w:t>
      </w:r>
    </w:p>
    <w:p w:rsidR="00B27950" w:rsidRPr="00A024DA" w:rsidRDefault="00B27950" w:rsidP="00B27950">
      <w:pPr>
        <w:pStyle w:val="Head3"/>
      </w:pPr>
      <w:bookmarkStart w:id="59" w:name="_Toc492656468"/>
      <w:proofErr w:type="spellStart"/>
      <w:r w:rsidRPr="00A024DA">
        <w:t>OPC’s</w:t>
      </w:r>
      <w:proofErr w:type="spellEnd"/>
      <w:r w:rsidRPr="00A024DA">
        <w:t xml:space="preserve"> financial performance</w:t>
      </w:r>
      <w:bookmarkEnd w:id="59"/>
    </w:p>
    <w:p w:rsidR="00B27950" w:rsidRPr="00A024DA" w:rsidRDefault="00B27950" w:rsidP="00000055">
      <w:pPr>
        <w:pStyle w:val="BodyNum"/>
      </w:pPr>
      <w:bookmarkStart w:id="60" w:name="_Ref208111384"/>
      <w:r w:rsidRPr="00A024DA">
        <w:t xml:space="preserve">The </w:t>
      </w:r>
      <w:r w:rsidR="00A024DA" w:rsidRPr="00A024DA">
        <w:t>deficit</w:t>
      </w:r>
      <w:r w:rsidRPr="00A024DA">
        <w:t xml:space="preserve"> attributable to the Australian Government for OPC for the 201</w:t>
      </w:r>
      <w:r w:rsidR="00A024DA" w:rsidRPr="00A024DA">
        <w:t>6</w:t>
      </w:r>
      <w:r w:rsidRPr="00A024DA">
        <w:t>-201</w:t>
      </w:r>
      <w:r w:rsidR="00A024DA" w:rsidRPr="00A024DA">
        <w:t>7</w:t>
      </w:r>
      <w:r w:rsidRPr="00A024DA">
        <w:t xml:space="preserve"> financial year was $</w:t>
      </w:r>
      <w:r w:rsidR="00C665AC" w:rsidRPr="00A024DA">
        <w:t>0.</w:t>
      </w:r>
      <w:r w:rsidR="00A024DA" w:rsidRPr="00A024DA">
        <w:t>186</w:t>
      </w:r>
      <w:r w:rsidRPr="00A024DA">
        <w:t xml:space="preserve"> million (after adding back non-cost recovered depreciation, this resulted in a </w:t>
      </w:r>
      <w:r w:rsidRPr="00A024DA">
        <w:lastRenderedPageBreak/>
        <w:t>surplus of $</w:t>
      </w:r>
      <w:r w:rsidR="00A024DA" w:rsidRPr="00A024DA">
        <w:t>0</w:t>
      </w:r>
      <w:r w:rsidR="00DE689A" w:rsidRPr="00A024DA">
        <w:t>.</w:t>
      </w:r>
      <w:r w:rsidR="00A024DA" w:rsidRPr="00A024DA">
        <w:t>437</w:t>
      </w:r>
      <w:r w:rsidR="00DE689A" w:rsidRPr="00A024DA">
        <w:t xml:space="preserve"> </w:t>
      </w:r>
      <w:r w:rsidRPr="00A024DA">
        <w:t xml:space="preserve">million). This compares to a surplus </w:t>
      </w:r>
      <w:bookmarkEnd w:id="60"/>
      <w:r w:rsidRPr="00A024DA">
        <w:t>of $</w:t>
      </w:r>
      <w:r w:rsidR="00F62023" w:rsidRPr="00A024DA">
        <w:t>0.</w:t>
      </w:r>
      <w:r w:rsidR="00A024DA" w:rsidRPr="00A024DA">
        <w:t>225</w:t>
      </w:r>
      <w:r w:rsidRPr="00A024DA">
        <w:t xml:space="preserve"> million for 201</w:t>
      </w:r>
      <w:r w:rsidR="00A024DA" w:rsidRPr="00A024DA">
        <w:t>5</w:t>
      </w:r>
      <w:r w:rsidRPr="00A024DA">
        <w:t>-201</w:t>
      </w:r>
      <w:r w:rsidR="00A024DA" w:rsidRPr="00A024DA">
        <w:t>6</w:t>
      </w:r>
      <w:r w:rsidRPr="00A024DA">
        <w:t xml:space="preserve"> (after adding back non-cost recovered depreciation, a surplus of $</w:t>
      </w:r>
      <w:r w:rsidR="00A024DA" w:rsidRPr="00A024DA">
        <w:t>1</w:t>
      </w:r>
      <w:r w:rsidR="00F62023" w:rsidRPr="00A024DA">
        <w:t>.</w:t>
      </w:r>
      <w:r w:rsidR="00A024DA" w:rsidRPr="00A024DA">
        <w:t>009</w:t>
      </w:r>
      <w:r w:rsidRPr="00A024DA">
        <w:t xml:space="preserve"> million).</w:t>
      </w:r>
    </w:p>
    <w:p w:rsidR="00B27950" w:rsidRPr="00A024DA" w:rsidRDefault="00B27950" w:rsidP="00000055">
      <w:pPr>
        <w:pStyle w:val="BodyNum"/>
      </w:pPr>
      <w:r w:rsidRPr="00A024DA">
        <w:t xml:space="preserve">Revenue from government </w:t>
      </w:r>
      <w:r w:rsidR="00C665AC" w:rsidRPr="00A024DA">
        <w:t>de</w:t>
      </w:r>
      <w:r w:rsidRPr="00A024DA">
        <w:t>creased by $</w:t>
      </w:r>
      <w:r w:rsidR="00A024DA" w:rsidRPr="00A024DA">
        <w:t>0</w:t>
      </w:r>
      <w:r w:rsidR="00C665AC" w:rsidRPr="00A024DA">
        <w:t>.</w:t>
      </w:r>
      <w:r w:rsidR="00A024DA" w:rsidRPr="00A024DA">
        <w:t>366</w:t>
      </w:r>
      <w:r w:rsidRPr="00A024DA">
        <w:t xml:space="preserve"> million to $</w:t>
      </w:r>
      <w:r w:rsidR="00A024DA" w:rsidRPr="00A024DA">
        <w:t>13</w:t>
      </w:r>
      <w:r w:rsidR="00F62023" w:rsidRPr="00A024DA">
        <w:t>.</w:t>
      </w:r>
      <w:r w:rsidR="00A024DA" w:rsidRPr="00A024DA">
        <w:t>773</w:t>
      </w:r>
      <w:r w:rsidRPr="00A024DA">
        <w:t xml:space="preserve"> million in 201</w:t>
      </w:r>
      <w:r w:rsidR="00A024DA" w:rsidRPr="00A024DA">
        <w:t>6</w:t>
      </w:r>
      <w:r w:rsidRPr="00A024DA">
        <w:t>-201</w:t>
      </w:r>
      <w:r w:rsidR="00A024DA" w:rsidRPr="00A024DA">
        <w:t>7</w:t>
      </w:r>
      <w:r w:rsidRPr="00A024DA">
        <w:t>, compared to $</w:t>
      </w:r>
      <w:r w:rsidR="00F62023" w:rsidRPr="00A024DA">
        <w:t>1</w:t>
      </w:r>
      <w:r w:rsidR="00A024DA" w:rsidRPr="00A024DA">
        <w:t>4</w:t>
      </w:r>
      <w:r w:rsidR="00A95450" w:rsidRPr="00A024DA">
        <w:t>.</w:t>
      </w:r>
      <w:r w:rsidR="00A024DA" w:rsidRPr="00A024DA">
        <w:t>139</w:t>
      </w:r>
      <w:r w:rsidRPr="00A024DA">
        <w:t xml:space="preserve"> million in 201</w:t>
      </w:r>
      <w:r w:rsidR="00A024DA" w:rsidRPr="00A024DA">
        <w:t>5</w:t>
      </w:r>
      <w:r w:rsidRPr="00A024DA">
        <w:t>-201</w:t>
      </w:r>
      <w:r w:rsidR="00A024DA" w:rsidRPr="00A024DA">
        <w:t>6</w:t>
      </w:r>
      <w:r w:rsidRPr="00A024DA">
        <w:t>.</w:t>
      </w:r>
      <w:r w:rsidR="00C665AC" w:rsidRPr="00A024DA">
        <w:t xml:space="preserve"> This was due to </w:t>
      </w:r>
      <w:r w:rsidR="0023282C" w:rsidRPr="00A024DA">
        <w:t>the</w:t>
      </w:r>
      <w:r w:rsidR="00A024DA" w:rsidRPr="00A024DA">
        <w:t xml:space="preserve"> ongoing budget</w:t>
      </w:r>
      <w:r w:rsidR="00A95450" w:rsidRPr="00A024DA">
        <w:t xml:space="preserve"> measure</w:t>
      </w:r>
      <w:r w:rsidR="00F62023" w:rsidRPr="00A024DA">
        <w:t xml:space="preserve"> </w:t>
      </w:r>
      <w:r w:rsidR="00F62023" w:rsidRPr="00A024DA">
        <w:rPr>
          <w:i/>
        </w:rPr>
        <w:t>Attorney-General’s</w:t>
      </w:r>
      <w:r w:rsidR="00A95450" w:rsidRPr="00A024DA">
        <w:rPr>
          <w:i/>
        </w:rPr>
        <w:t xml:space="preserve">—one-off </w:t>
      </w:r>
      <w:r w:rsidR="00F62023" w:rsidRPr="00A024DA">
        <w:rPr>
          <w:i/>
        </w:rPr>
        <w:t>efficiency savings</w:t>
      </w:r>
      <w:r w:rsidR="00A95450" w:rsidRPr="00A024DA">
        <w:rPr>
          <w:i/>
        </w:rPr>
        <w:t xml:space="preserve"> to specific agencies</w:t>
      </w:r>
      <w:r w:rsidR="008873BB" w:rsidRPr="00A024DA">
        <w:t>.</w:t>
      </w:r>
    </w:p>
    <w:p w:rsidR="00B27950" w:rsidRPr="00A024DA" w:rsidRDefault="00B27950" w:rsidP="00000055">
      <w:pPr>
        <w:pStyle w:val="BodyNum"/>
      </w:pPr>
      <w:r w:rsidRPr="00A024DA">
        <w:t xml:space="preserve">Own-source revenue </w:t>
      </w:r>
      <w:r w:rsidR="00B27F18">
        <w:t>de</w:t>
      </w:r>
      <w:r w:rsidRPr="00A024DA">
        <w:t>creased by $0.</w:t>
      </w:r>
      <w:r w:rsidR="00A024DA" w:rsidRPr="00A024DA">
        <w:t>047</w:t>
      </w:r>
      <w:r w:rsidRPr="00A024DA">
        <w:t xml:space="preserve"> million to $6.</w:t>
      </w:r>
      <w:r w:rsidR="00F62023" w:rsidRPr="00A024DA">
        <w:t>6</w:t>
      </w:r>
      <w:r w:rsidR="00A024DA" w:rsidRPr="00A024DA">
        <w:t>14</w:t>
      </w:r>
      <w:r w:rsidRPr="00A024DA">
        <w:t xml:space="preserve"> million in 201</w:t>
      </w:r>
      <w:r w:rsidR="00A024DA" w:rsidRPr="00A024DA">
        <w:t>6</w:t>
      </w:r>
      <w:r w:rsidRPr="00A024DA">
        <w:t>-201</w:t>
      </w:r>
      <w:r w:rsidR="00A024DA" w:rsidRPr="00A024DA">
        <w:t>7</w:t>
      </w:r>
      <w:r w:rsidRPr="00A024DA">
        <w:t>, compared to $</w:t>
      </w:r>
      <w:r w:rsidR="0023282C" w:rsidRPr="00A024DA">
        <w:t>6.</w:t>
      </w:r>
      <w:r w:rsidR="00A024DA" w:rsidRPr="00A024DA">
        <w:t>661</w:t>
      </w:r>
      <w:r w:rsidRPr="00A024DA">
        <w:t xml:space="preserve"> million in 201</w:t>
      </w:r>
      <w:r w:rsidR="00A024DA" w:rsidRPr="00A024DA">
        <w:t>5</w:t>
      </w:r>
      <w:r w:rsidRPr="00A024DA">
        <w:t>-201</w:t>
      </w:r>
      <w:r w:rsidR="00A024DA" w:rsidRPr="00A024DA">
        <w:t>6</w:t>
      </w:r>
      <w:r w:rsidRPr="00A024DA">
        <w:t>.</w:t>
      </w:r>
    </w:p>
    <w:p w:rsidR="00000055" w:rsidRPr="00A024DA" w:rsidRDefault="00A8097B" w:rsidP="00000055">
      <w:pPr>
        <w:pStyle w:val="BodyNum"/>
      </w:pPr>
      <w:r w:rsidRPr="00A024DA">
        <w:t>Total expenses</w:t>
      </w:r>
      <w:r w:rsidR="00A024DA">
        <w:t xml:space="preserve"> in 2016-2017 of $20.573 million were consistent with 2015-2016</w:t>
      </w:r>
      <w:r w:rsidRPr="00A024DA">
        <w:t>.</w:t>
      </w:r>
    </w:p>
    <w:p w:rsidR="00B27950" w:rsidRPr="00ED2013" w:rsidRDefault="00A8097B" w:rsidP="00000055">
      <w:pPr>
        <w:pStyle w:val="BodyNum"/>
      </w:pPr>
      <w:r w:rsidRPr="00ED2013">
        <w:t xml:space="preserve"> </w:t>
      </w:r>
      <w:r w:rsidR="00B27950" w:rsidRPr="00ED2013">
        <w:t xml:space="preserve">Employee expenses </w:t>
      </w:r>
      <w:r w:rsidR="00A024DA" w:rsidRPr="00ED2013">
        <w:t>increased</w:t>
      </w:r>
      <w:r w:rsidR="00B27950" w:rsidRPr="00ED2013">
        <w:t xml:space="preserve"> by $0.</w:t>
      </w:r>
      <w:r w:rsidR="00A024DA" w:rsidRPr="00ED2013">
        <w:t>146</w:t>
      </w:r>
      <w:r w:rsidR="00B27950" w:rsidRPr="00ED2013">
        <w:t xml:space="preserve"> million to $</w:t>
      </w:r>
      <w:r w:rsidR="00F453AF" w:rsidRPr="00ED2013">
        <w:t>15</w:t>
      </w:r>
      <w:r w:rsidR="00B27950" w:rsidRPr="00ED2013">
        <w:t>.</w:t>
      </w:r>
      <w:r w:rsidR="00ED2013" w:rsidRPr="00ED2013">
        <w:t>212</w:t>
      </w:r>
      <w:r w:rsidR="00B27950" w:rsidRPr="00ED2013">
        <w:t xml:space="preserve"> million in 201</w:t>
      </w:r>
      <w:r w:rsidR="00ED2013" w:rsidRPr="00ED2013">
        <w:t>6</w:t>
      </w:r>
      <w:r w:rsidR="00F62023" w:rsidRPr="00ED2013">
        <w:t>-</w:t>
      </w:r>
      <w:r w:rsidR="00B27950" w:rsidRPr="00ED2013">
        <w:t>201</w:t>
      </w:r>
      <w:r w:rsidR="00ED2013" w:rsidRPr="00ED2013">
        <w:t>7</w:t>
      </w:r>
      <w:r w:rsidR="00B27950" w:rsidRPr="00ED2013">
        <w:t xml:space="preserve">, </w:t>
      </w:r>
      <w:r w:rsidR="00B27950" w:rsidRPr="00ED2013">
        <w:lastRenderedPageBreak/>
        <w:t>compared to $</w:t>
      </w:r>
      <w:r w:rsidR="00F453AF" w:rsidRPr="00ED2013">
        <w:t>1</w:t>
      </w:r>
      <w:r w:rsidR="00431103" w:rsidRPr="00ED2013">
        <w:t>5.</w:t>
      </w:r>
      <w:r w:rsidR="00ED2013" w:rsidRPr="00ED2013">
        <w:t>066</w:t>
      </w:r>
      <w:r w:rsidR="00B27950" w:rsidRPr="00ED2013">
        <w:t xml:space="preserve"> million in 201</w:t>
      </w:r>
      <w:r w:rsidR="00ED2013" w:rsidRPr="00ED2013">
        <w:t>5</w:t>
      </w:r>
      <w:r w:rsidR="00F453AF" w:rsidRPr="00ED2013">
        <w:t>-201</w:t>
      </w:r>
      <w:r w:rsidR="00ED2013" w:rsidRPr="00ED2013">
        <w:t>6</w:t>
      </w:r>
      <w:r w:rsidR="00B27950" w:rsidRPr="00ED2013">
        <w:t>.</w:t>
      </w:r>
    </w:p>
    <w:p w:rsidR="00A8097B" w:rsidRPr="00ED2013" w:rsidRDefault="00B27950" w:rsidP="00000055">
      <w:pPr>
        <w:pStyle w:val="BodyNum"/>
      </w:pPr>
      <w:r w:rsidRPr="00ED2013">
        <w:t xml:space="preserve">Supplier expenses </w:t>
      </w:r>
      <w:r w:rsidR="00ED2013" w:rsidRPr="00ED2013">
        <w:t>in</w:t>
      </w:r>
      <w:r w:rsidRPr="00ED2013">
        <w:t>creased by $</w:t>
      </w:r>
      <w:r w:rsidR="00ED2013" w:rsidRPr="00ED2013">
        <w:t>0</w:t>
      </w:r>
      <w:r w:rsidR="00F453AF" w:rsidRPr="00ED2013">
        <w:t>.</w:t>
      </w:r>
      <w:r w:rsidR="00015DF6" w:rsidRPr="00ED2013">
        <w:t>1</w:t>
      </w:r>
      <w:r w:rsidR="00ED2013" w:rsidRPr="00ED2013">
        <w:t>84</w:t>
      </w:r>
      <w:r w:rsidRPr="00ED2013">
        <w:t xml:space="preserve"> million to $</w:t>
      </w:r>
      <w:r w:rsidR="00015DF6" w:rsidRPr="00ED2013">
        <w:t>4.</w:t>
      </w:r>
      <w:r w:rsidR="00ED2013" w:rsidRPr="00ED2013">
        <w:t>216</w:t>
      </w:r>
      <w:r w:rsidRPr="00ED2013">
        <w:t xml:space="preserve"> million in 201</w:t>
      </w:r>
      <w:r w:rsidR="00ED2013" w:rsidRPr="00ED2013">
        <w:t>6</w:t>
      </w:r>
      <w:r w:rsidRPr="00ED2013">
        <w:t>-201</w:t>
      </w:r>
      <w:r w:rsidR="00ED2013" w:rsidRPr="00ED2013">
        <w:t>7</w:t>
      </w:r>
      <w:r w:rsidRPr="00ED2013">
        <w:t>, compared to $</w:t>
      </w:r>
      <w:r w:rsidR="00ED2013" w:rsidRPr="00ED2013">
        <w:t>4</w:t>
      </w:r>
      <w:r w:rsidR="00431103" w:rsidRPr="00ED2013">
        <w:t>.</w:t>
      </w:r>
      <w:r w:rsidR="00ED2013" w:rsidRPr="00ED2013">
        <w:t>032</w:t>
      </w:r>
      <w:r w:rsidRPr="00ED2013">
        <w:t xml:space="preserve"> million in 201</w:t>
      </w:r>
      <w:r w:rsidR="00ED2013" w:rsidRPr="00ED2013">
        <w:t>5</w:t>
      </w:r>
      <w:r w:rsidRPr="00ED2013">
        <w:t>-201</w:t>
      </w:r>
      <w:r w:rsidR="00ED2013" w:rsidRPr="00ED2013">
        <w:t>6</w:t>
      </w:r>
      <w:r w:rsidRPr="00ED2013">
        <w:t>.</w:t>
      </w:r>
    </w:p>
    <w:p w:rsidR="00B27950" w:rsidRPr="00ED2013" w:rsidRDefault="00B27950" w:rsidP="00000055">
      <w:pPr>
        <w:pStyle w:val="BodyNum"/>
      </w:pPr>
      <w:r w:rsidRPr="00ED2013">
        <w:t>At 30 June 201</w:t>
      </w:r>
      <w:r w:rsidR="00ED2013" w:rsidRPr="00ED2013">
        <w:t>7</w:t>
      </w:r>
      <w:r w:rsidRPr="00ED2013">
        <w:t>, OPC had net assets (assets less liabilities) of $</w:t>
      </w:r>
      <w:r w:rsidR="00F453AF" w:rsidRPr="00ED2013">
        <w:t>1</w:t>
      </w:r>
      <w:r w:rsidR="00431103" w:rsidRPr="00ED2013">
        <w:t>3.</w:t>
      </w:r>
      <w:r w:rsidR="00ED2013" w:rsidRPr="00ED2013">
        <w:t>782</w:t>
      </w:r>
      <w:r w:rsidRPr="00ED2013">
        <w:t xml:space="preserve"> million compared to $</w:t>
      </w:r>
      <w:r w:rsidR="00ED2013" w:rsidRPr="00ED2013">
        <w:t>13</w:t>
      </w:r>
      <w:r w:rsidR="00431103" w:rsidRPr="00ED2013">
        <w:t>.</w:t>
      </w:r>
      <w:r w:rsidR="00ED2013" w:rsidRPr="00ED2013">
        <w:t>656</w:t>
      </w:r>
      <w:r w:rsidRPr="00ED2013">
        <w:t xml:space="preserve"> million for the previous year.</w:t>
      </w:r>
    </w:p>
    <w:p w:rsidR="00B27950" w:rsidRPr="00ED2013" w:rsidRDefault="00B27950" w:rsidP="00000055">
      <w:pPr>
        <w:pStyle w:val="BodyNum"/>
      </w:pPr>
      <w:r w:rsidRPr="00ED2013">
        <w:t>At 30 June 201</w:t>
      </w:r>
      <w:r w:rsidR="00ED2013" w:rsidRPr="00ED2013">
        <w:t>7</w:t>
      </w:r>
      <w:r w:rsidRPr="00ED2013">
        <w:t>, OPC had financial assets of $</w:t>
      </w:r>
      <w:r w:rsidR="00ED2013" w:rsidRPr="00ED2013">
        <w:t>16</w:t>
      </w:r>
      <w:r w:rsidR="00431103" w:rsidRPr="00ED2013">
        <w:t>.</w:t>
      </w:r>
      <w:r w:rsidR="00ED2013" w:rsidRPr="00ED2013">
        <w:t>453</w:t>
      </w:r>
      <w:r w:rsidRPr="00ED2013">
        <w:t xml:space="preserve"> million. This includes $1</w:t>
      </w:r>
      <w:r w:rsidR="00ED2013" w:rsidRPr="00ED2013">
        <w:t>5</w:t>
      </w:r>
      <w:r w:rsidR="00431103" w:rsidRPr="00ED2013">
        <w:t>.</w:t>
      </w:r>
      <w:r w:rsidR="00ED2013" w:rsidRPr="00ED2013">
        <w:t>557</w:t>
      </w:r>
      <w:r w:rsidR="00015DF6" w:rsidRPr="00ED2013">
        <w:t xml:space="preserve"> </w:t>
      </w:r>
      <w:r w:rsidRPr="00ED2013">
        <w:t>million of undrawn appropriations that are held in the Official Public Account under the Government’s just-in-time drawdown arrangements, and cash at bank of $0.3</w:t>
      </w:r>
      <w:r w:rsidR="00ED2013" w:rsidRPr="00ED2013">
        <w:t>68</w:t>
      </w:r>
      <w:r w:rsidRPr="00ED2013">
        <w:t xml:space="preserve"> million.</w:t>
      </w:r>
    </w:p>
    <w:p w:rsidR="00B27950" w:rsidRPr="00000055" w:rsidRDefault="00B27950" w:rsidP="00000055">
      <w:pPr>
        <w:pStyle w:val="BodyNum"/>
        <w:sectPr w:rsidR="00B27950" w:rsidRPr="00000055" w:rsidSect="009F3E67">
          <w:headerReference w:type="even" r:id="rId51"/>
          <w:headerReference w:type="default" r:id="rId52"/>
          <w:type w:val="continuous"/>
          <w:pgSz w:w="11907" w:h="16839" w:code="9"/>
          <w:pgMar w:top="1134" w:right="2410" w:bottom="4253" w:left="2410" w:header="510" w:footer="3402" w:gutter="0"/>
          <w:cols w:num="2" w:space="709"/>
          <w:docGrid w:linePitch="326"/>
        </w:sectPr>
      </w:pPr>
      <w:r w:rsidRPr="00000055">
        <w:t xml:space="preserve">The </w:t>
      </w:r>
      <w:r w:rsidR="00DB5203" w:rsidRPr="00000055">
        <w:t>entity</w:t>
      </w:r>
      <w:r w:rsidRPr="00000055">
        <w:t xml:space="preserve"> resource statement, and expenses </w:t>
      </w:r>
      <w:r w:rsidR="00431103" w:rsidRPr="00000055">
        <w:t>by</w:t>
      </w:r>
      <w:r w:rsidRPr="00000055">
        <w:t xml:space="preserve"> outcome statement, are set out in Appendix A.</w:t>
      </w:r>
    </w:p>
    <w:p w:rsidR="00B37353" w:rsidRPr="001774CC" w:rsidRDefault="00B37353" w:rsidP="00FE49FC">
      <w:pPr>
        <w:pStyle w:val="BodyNum"/>
        <w:numPr>
          <w:ilvl w:val="0"/>
          <w:numId w:val="0"/>
        </w:numPr>
        <w:sectPr w:rsidR="00B37353" w:rsidRPr="001774CC">
          <w:headerReference w:type="even" r:id="rId53"/>
          <w:headerReference w:type="default" r:id="rId54"/>
          <w:footerReference w:type="even" r:id="rId55"/>
          <w:footerReference w:type="default" r:id="rId56"/>
          <w:type w:val="continuous"/>
          <w:pgSz w:w="11907" w:h="16839" w:code="9"/>
          <w:pgMar w:top="1134" w:right="2410" w:bottom="4253" w:left="2410" w:header="510" w:footer="3402" w:gutter="0"/>
          <w:cols w:num="2" w:space="709"/>
          <w:docGrid w:linePitch="326"/>
        </w:sectPr>
      </w:pPr>
    </w:p>
    <w:p w:rsidR="005B3C9D" w:rsidRDefault="005B3C9D" w:rsidP="005B3C9D">
      <w:pPr>
        <w:pStyle w:val="Head2"/>
        <w:sectPr w:rsidR="005B3C9D">
          <w:headerReference w:type="even" r:id="rId57"/>
          <w:headerReference w:type="default" r:id="rId58"/>
          <w:footerReference w:type="even" r:id="rId59"/>
          <w:footerReference w:type="default" r:id="rId60"/>
          <w:pgSz w:w="11907" w:h="16839" w:code="9"/>
          <w:pgMar w:top="1134" w:right="2410" w:bottom="4253" w:left="2410" w:header="510" w:footer="3402" w:gutter="0"/>
          <w:cols w:space="709"/>
          <w:docGrid w:linePitch="326"/>
        </w:sectPr>
      </w:pPr>
      <w:bookmarkStart w:id="61" w:name="_Toc492656469"/>
      <w:r>
        <w:lastRenderedPageBreak/>
        <w:t>Chapter 3—Management and accountability</w:t>
      </w:r>
      <w:bookmarkEnd w:id="61"/>
    </w:p>
    <w:p w:rsidR="005B3C9D" w:rsidRDefault="005B3C9D" w:rsidP="005B3C9D">
      <w:pPr>
        <w:pStyle w:val="Head3"/>
      </w:pPr>
      <w:bookmarkStart w:id="62" w:name="_Toc492656470"/>
      <w:r>
        <w:lastRenderedPageBreak/>
        <w:t>Corporate governance</w:t>
      </w:r>
      <w:bookmarkEnd w:id="62"/>
    </w:p>
    <w:p w:rsidR="005B3C9D" w:rsidRDefault="005B3C9D" w:rsidP="005B3C9D">
      <w:pPr>
        <w:pStyle w:val="Head4"/>
      </w:pPr>
      <w:r>
        <w:t>Accountability</w:t>
      </w:r>
    </w:p>
    <w:p w:rsidR="00B27950" w:rsidRDefault="00B27950" w:rsidP="00B27950">
      <w:pPr>
        <w:pStyle w:val="BodyNum"/>
      </w:pPr>
      <w:bookmarkStart w:id="63" w:name="_Ref113167150"/>
      <w:r>
        <w:t>First Parliamentary Counsel (</w:t>
      </w:r>
      <w:r>
        <w:rPr>
          <w:b/>
          <w:i/>
        </w:rPr>
        <w:t>FPC</w:t>
      </w:r>
      <w:r>
        <w:t>) is accountable to the Parliamentary Business Committee of the Cabinet (</w:t>
      </w:r>
      <w:proofErr w:type="spellStart"/>
      <w:r w:rsidRPr="00CC517F">
        <w:rPr>
          <w:b/>
          <w:i/>
        </w:rPr>
        <w:t>PBC</w:t>
      </w:r>
      <w:proofErr w:type="spellEnd"/>
      <w:r>
        <w:t xml:space="preserve">) for the allocation of drafting resources according to the legislation program determined by that Committee. </w:t>
      </w:r>
      <w:proofErr w:type="spellStart"/>
      <w:r>
        <w:t>FPC</w:t>
      </w:r>
      <w:proofErr w:type="spellEnd"/>
      <w:r>
        <w:t xml:space="preserve"> attends </w:t>
      </w:r>
      <w:proofErr w:type="spellStart"/>
      <w:r>
        <w:t>PBC</w:t>
      </w:r>
      <w:proofErr w:type="spellEnd"/>
      <w:r>
        <w:t xml:space="preserve"> meetings (usually held on the Monday of each parliamentary sitting week) to answer questions and provide advice about how the drafting of Bills is progressing.</w:t>
      </w:r>
      <w:bookmarkEnd w:id="63"/>
    </w:p>
    <w:p w:rsidR="005B3C9D" w:rsidRDefault="002D1EF2" w:rsidP="005B3C9D">
      <w:pPr>
        <w:pStyle w:val="Head4"/>
      </w:pPr>
      <w:r>
        <w:t>Senior Management T</w:t>
      </w:r>
      <w:r w:rsidR="005B3C9D">
        <w:t>eam</w:t>
      </w:r>
    </w:p>
    <w:p w:rsidR="00B27950" w:rsidRDefault="00B27950" w:rsidP="00B27950">
      <w:pPr>
        <w:pStyle w:val="BodyNum"/>
      </w:pPr>
      <w:bookmarkStart w:id="64" w:name="_Ref113167091"/>
      <w:r>
        <w:t>FPC takes responsibility for most of the decision-making within OPC on strategic and high-level management issues. FPC is assisted in th</w:t>
      </w:r>
      <w:r w:rsidR="002D1EF2">
        <w:t>is by the other members of the Senior M</w:t>
      </w:r>
      <w:r>
        <w:t>a</w:t>
      </w:r>
      <w:r w:rsidR="002D1EF2">
        <w:t>nagement T</w:t>
      </w:r>
      <w:r>
        <w:t>eam (</w:t>
      </w:r>
      <w:proofErr w:type="spellStart"/>
      <w:r w:rsidRPr="00933765">
        <w:rPr>
          <w:b/>
          <w:i/>
        </w:rPr>
        <w:t>SMT</w:t>
      </w:r>
      <w:proofErr w:type="spellEnd"/>
      <w:r>
        <w:t>).</w:t>
      </w:r>
      <w:bookmarkEnd w:id="64"/>
    </w:p>
    <w:p w:rsidR="00B27950" w:rsidRDefault="00B27950" w:rsidP="00B27950">
      <w:pPr>
        <w:pStyle w:val="BodyNum"/>
      </w:pPr>
      <w:r>
        <w:t xml:space="preserve">The </w:t>
      </w:r>
      <w:proofErr w:type="spellStart"/>
      <w:r>
        <w:t>SMT</w:t>
      </w:r>
      <w:proofErr w:type="spellEnd"/>
      <w:r>
        <w:t xml:space="preserve"> consists of:</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First Parliamentary Counsel (Mr Peter Quiggin);</w:t>
      </w:r>
    </w:p>
    <w:p w:rsidR="00B27950" w:rsidRDefault="00B27950" w:rsidP="00B27950">
      <w:pPr>
        <w:pStyle w:val="AnnualReportBullet"/>
        <w:tabs>
          <w:tab w:val="left" w:pos="360"/>
        </w:tabs>
        <w:ind w:left="360" w:hanging="360"/>
      </w:pPr>
      <w:r>
        <w:rPr>
          <w:rFonts w:ascii="Symbol" w:hAnsi="Symbol"/>
        </w:rPr>
        <w:t></w:t>
      </w:r>
      <w:r>
        <w:rPr>
          <w:rFonts w:ascii="Symbol" w:hAnsi="Symbol"/>
        </w:rPr>
        <w:tab/>
      </w:r>
      <w:r>
        <w:t>the two Second Parliamentary Counsel (Ms Marina Farnan</w:t>
      </w:r>
      <w:r w:rsidR="007D18E5">
        <w:t xml:space="preserve"> until </w:t>
      </w:r>
      <w:r w:rsidR="00CC7ECC">
        <w:t>12</w:t>
      </w:r>
      <w:r w:rsidR="007D18E5">
        <w:t xml:space="preserve"> January 2017</w:t>
      </w:r>
      <w:r w:rsidR="00C93AF7">
        <w:t xml:space="preserve">, </w:t>
      </w:r>
      <w:r w:rsidR="00FB764B">
        <w:t xml:space="preserve">Ms </w:t>
      </w:r>
      <w:r w:rsidR="00C93AF7">
        <w:t>Meredith Leigh</w:t>
      </w:r>
      <w:r w:rsidR="007D18E5">
        <w:t xml:space="preserve">, and Mr Keith </w:t>
      </w:r>
      <w:r w:rsidR="007D18E5">
        <w:lastRenderedPageBreak/>
        <w:t>Byles acting</w:t>
      </w:r>
      <w:r w:rsidR="00C93AF7">
        <w:t xml:space="preserve"> from </w:t>
      </w:r>
      <w:r w:rsidR="007D18E5">
        <w:t>15</w:t>
      </w:r>
      <w:r w:rsidR="002117A5">
        <w:t xml:space="preserve"> </w:t>
      </w:r>
      <w:r w:rsidR="007D18E5">
        <w:t>January</w:t>
      </w:r>
      <w:r w:rsidR="002117A5">
        <w:t xml:space="preserve"> 201</w:t>
      </w:r>
      <w:r w:rsidR="007D18E5">
        <w:t>7</w:t>
      </w:r>
      <w:r>
        <w:t>);</w:t>
      </w:r>
      <w:r w:rsidR="003D0C17">
        <w:t xml:space="preserve"> and</w:t>
      </w:r>
    </w:p>
    <w:p w:rsidR="002117A5" w:rsidRDefault="00B27950" w:rsidP="00B27950">
      <w:pPr>
        <w:pStyle w:val="AnnualReportBullet"/>
        <w:tabs>
          <w:tab w:val="left" w:pos="360"/>
        </w:tabs>
        <w:ind w:left="360" w:hanging="360"/>
      </w:pPr>
      <w:r>
        <w:rPr>
          <w:rFonts w:ascii="Symbol" w:hAnsi="Symbol"/>
        </w:rPr>
        <w:t></w:t>
      </w:r>
      <w:r>
        <w:rPr>
          <w:rFonts w:ascii="Symbol" w:hAnsi="Symbol"/>
        </w:rPr>
        <w:tab/>
      </w:r>
      <w:r>
        <w:t xml:space="preserve">the General Manager, who is also the Chief Finance Officer (Ms Susan </w:t>
      </w:r>
      <w:r w:rsidR="00695A73">
        <w:t>Roberts</w:t>
      </w:r>
      <w:r>
        <w:t>)</w:t>
      </w:r>
      <w:r w:rsidR="002117A5">
        <w:t>; and</w:t>
      </w:r>
    </w:p>
    <w:p w:rsidR="00B27950" w:rsidRDefault="002117A5" w:rsidP="00B27950">
      <w:pPr>
        <w:pStyle w:val="AnnualReportBullet"/>
        <w:tabs>
          <w:tab w:val="left" w:pos="360"/>
        </w:tabs>
        <w:ind w:left="360" w:hanging="360"/>
      </w:pPr>
      <w:r>
        <w:rPr>
          <w:rFonts w:ascii="Symbol" w:hAnsi="Symbol"/>
        </w:rPr>
        <w:t></w:t>
      </w:r>
      <w:r>
        <w:rPr>
          <w:rFonts w:ascii="Symbol" w:hAnsi="Symbol"/>
        </w:rPr>
        <w:tab/>
      </w:r>
      <w:r>
        <w:t>the General Manager Publishing (Ms Aasha Swift)</w:t>
      </w:r>
      <w:r w:rsidR="00B27950">
        <w:t>.</w:t>
      </w:r>
    </w:p>
    <w:p w:rsidR="00B27950" w:rsidRDefault="00B27950" w:rsidP="00B27950">
      <w:pPr>
        <w:pStyle w:val="BodyNum"/>
      </w:pPr>
      <w:r>
        <w:t xml:space="preserve">The </w:t>
      </w:r>
      <w:proofErr w:type="spellStart"/>
      <w:r>
        <w:t>SMT</w:t>
      </w:r>
      <w:proofErr w:type="spellEnd"/>
      <w:r>
        <w:t xml:space="preserve"> meets regularly. Issues that the team considered during the year included:</w:t>
      </w:r>
    </w:p>
    <w:p w:rsidR="00D3195A" w:rsidRPr="00D3195A" w:rsidRDefault="00D3195A" w:rsidP="00D3195A">
      <w:pPr>
        <w:pStyle w:val="AnnualReportBullet"/>
        <w:tabs>
          <w:tab w:val="left" w:pos="360"/>
        </w:tabs>
        <w:ind w:left="360" w:hanging="360"/>
        <w:rPr>
          <w:rFonts w:cs="Arial"/>
        </w:rPr>
      </w:pPr>
      <w:r w:rsidRPr="00D3195A">
        <w:rPr>
          <w:rFonts w:ascii="Symbol" w:hAnsi="Symbol"/>
        </w:rPr>
        <w:t></w:t>
      </w:r>
      <w:r w:rsidRPr="00D3195A">
        <w:rPr>
          <w:rFonts w:ascii="Symbol" w:hAnsi="Symbol"/>
        </w:rPr>
        <w:tab/>
      </w:r>
      <w:r w:rsidR="009A21DE">
        <w:rPr>
          <w:rFonts w:cs="Arial"/>
        </w:rPr>
        <w:t>transition</w:t>
      </w:r>
      <w:r>
        <w:rPr>
          <w:rFonts w:cs="Arial"/>
        </w:rPr>
        <w:t xml:space="preserve"> of payroll processing to the Department of Industry, Innovation and Science Shared Services arrangements</w:t>
      </w:r>
      <w:r w:rsidRPr="00D3195A">
        <w:rPr>
          <w:rFonts w:cs="Arial"/>
        </w:rPr>
        <w:t>;</w:t>
      </w:r>
    </w:p>
    <w:p w:rsidR="00B27950" w:rsidRPr="00D3195A" w:rsidRDefault="00B27950" w:rsidP="00B27950">
      <w:pPr>
        <w:pStyle w:val="AnnualReportBullet"/>
        <w:tabs>
          <w:tab w:val="left" w:pos="360"/>
        </w:tabs>
        <w:ind w:left="360" w:hanging="360"/>
        <w:rPr>
          <w:rFonts w:cs="Arial"/>
        </w:rPr>
      </w:pPr>
      <w:r w:rsidRPr="00D3195A">
        <w:rPr>
          <w:rFonts w:ascii="Symbol" w:hAnsi="Symbol"/>
        </w:rPr>
        <w:t></w:t>
      </w:r>
      <w:r w:rsidRPr="00D3195A">
        <w:rPr>
          <w:rFonts w:ascii="Symbol" w:hAnsi="Symbol"/>
        </w:rPr>
        <w:tab/>
      </w:r>
      <w:r w:rsidR="00D3195A">
        <w:rPr>
          <w:rFonts w:cs="Arial"/>
        </w:rPr>
        <w:t>Federal Register of Legislation redevelopment project</w:t>
      </w:r>
      <w:r w:rsidRPr="00D3195A">
        <w:rPr>
          <w:rFonts w:cs="Arial"/>
        </w:rPr>
        <w:t>;</w:t>
      </w:r>
    </w:p>
    <w:p w:rsidR="00B27950" w:rsidRPr="005D00DC" w:rsidRDefault="00B27950" w:rsidP="00B27950">
      <w:pPr>
        <w:pStyle w:val="AnnualReportBullet"/>
        <w:tabs>
          <w:tab w:val="left" w:pos="360"/>
        </w:tabs>
        <w:ind w:left="360" w:hanging="360"/>
      </w:pPr>
      <w:r w:rsidRPr="005D00DC">
        <w:rPr>
          <w:rFonts w:ascii="Symbol" w:hAnsi="Symbol"/>
        </w:rPr>
        <w:t></w:t>
      </w:r>
      <w:r w:rsidRPr="005D00DC">
        <w:rPr>
          <w:rFonts w:ascii="Symbol" w:hAnsi="Symbol"/>
        </w:rPr>
        <w:tab/>
      </w:r>
      <w:r w:rsidRPr="005D00DC">
        <w:t>State of the Service survey results;</w:t>
      </w:r>
    </w:p>
    <w:p w:rsidR="00B27950" w:rsidRPr="005D00DC" w:rsidRDefault="00B27950" w:rsidP="00B27950">
      <w:pPr>
        <w:pStyle w:val="AnnualReportBullet"/>
        <w:tabs>
          <w:tab w:val="left" w:pos="360"/>
        </w:tabs>
        <w:ind w:left="360" w:hanging="360"/>
      </w:pPr>
      <w:r w:rsidRPr="005D00DC">
        <w:rPr>
          <w:rFonts w:ascii="Symbol" w:hAnsi="Symbol"/>
        </w:rPr>
        <w:t></w:t>
      </w:r>
      <w:r w:rsidRPr="005D00DC">
        <w:rPr>
          <w:rFonts w:ascii="Symbol" w:hAnsi="Symbol"/>
        </w:rPr>
        <w:tab/>
      </w:r>
      <w:r w:rsidRPr="005D00DC">
        <w:t>recruitment policies and strategies;</w:t>
      </w:r>
    </w:p>
    <w:p w:rsidR="00B27950" w:rsidRPr="00D3195A" w:rsidRDefault="00B27950" w:rsidP="00B27950">
      <w:pPr>
        <w:pStyle w:val="AnnualReportBullet"/>
        <w:tabs>
          <w:tab w:val="left" w:pos="360"/>
        </w:tabs>
        <w:ind w:left="360" w:hanging="360"/>
      </w:pPr>
      <w:r w:rsidRPr="00D3195A">
        <w:rPr>
          <w:rFonts w:ascii="Symbol" w:hAnsi="Symbol"/>
        </w:rPr>
        <w:t></w:t>
      </w:r>
      <w:r w:rsidRPr="00D3195A">
        <w:rPr>
          <w:rFonts w:ascii="Symbol" w:hAnsi="Symbol"/>
        </w:rPr>
        <w:tab/>
      </w:r>
      <w:r w:rsidRPr="00D3195A">
        <w:t>corporate governance</w:t>
      </w:r>
      <w:r w:rsidR="00F7451A" w:rsidRPr="00D3195A">
        <w:t>, including the Corporate Plan</w:t>
      </w:r>
      <w:r w:rsidRPr="00D3195A">
        <w:t>;</w:t>
      </w:r>
    </w:p>
    <w:p w:rsidR="00B27950" w:rsidRPr="005D00DC" w:rsidRDefault="00B27950" w:rsidP="00B27950">
      <w:pPr>
        <w:pStyle w:val="AnnualReportBullet"/>
        <w:tabs>
          <w:tab w:val="left" w:pos="360"/>
        </w:tabs>
        <w:ind w:left="360" w:hanging="360"/>
      </w:pPr>
      <w:r w:rsidRPr="005D00DC">
        <w:rPr>
          <w:rFonts w:ascii="Symbol" w:hAnsi="Symbol"/>
        </w:rPr>
        <w:t></w:t>
      </w:r>
      <w:r w:rsidRPr="005D00DC">
        <w:rPr>
          <w:rFonts w:ascii="Symbol" w:hAnsi="Symbol"/>
        </w:rPr>
        <w:tab/>
      </w:r>
      <w:r w:rsidRPr="005D00DC">
        <w:t>enterprise bargaining;</w:t>
      </w:r>
    </w:p>
    <w:p w:rsidR="00B27950" w:rsidRPr="005D00DC" w:rsidRDefault="00B27950" w:rsidP="00B27950">
      <w:pPr>
        <w:pStyle w:val="AnnualReportBullet"/>
        <w:tabs>
          <w:tab w:val="left" w:pos="360"/>
        </w:tabs>
        <w:ind w:left="360" w:hanging="360"/>
      </w:pPr>
      <w:r w:rsidRPr="005D00DC">
        <w:rPr>
          <w:rFonts w:ascii="Symbol" w:hAnsi="Symbol"/>
        </w:rPr>
        <w:t></w:t>
      </w:r>
      <w:r w:rsidRPr="005D00DC">
        <w:rPr>
          <w:rFonts w:ascii="Symbol" w:hAnsi="Symbol"/>
        </w:rPr>
        <w:tab/>
      </w:r>
      <w:r w:rsidRPr="005D00DC">
        <w:t>risk management</w:t>
      </w:r>
      <w:r w:rsidR="005D00DC" w:rsidRPr="005D00DC">
        <w:t>,</w:t>
      </w:r>
      <w:r w:rsidR="00460BEA" w:rsidRPr="005D00DC">
        <w:t xml:space="preserve"> fraud control</w:t>
      </w:r>
      <w:r w:rsidR="005D00DC" w:rsidRPr="005D00DC">
        <w:t xml:space="preserve"> and business continuity management</w:t>
      </w:r>
      <w:r w:rsidRPr="005D00DC">
        <w:t>;</w:t>
      </w:r>
    </w:p>
    <w:p w:rsidR="00B27950" w:rsidRPr="005D00DC" w:rsidRDefault="00B27950" w:rsidP="00B27950">
      <w:pPr>
        <w:pStyle w:val="AnnualReportBullet"/>
        <w:tabs>
          <w:tab w:val="left" w:pos="360"/>
        </w:tabs>
        <w:ind w:left="360" w:hanging="360"/>
      </w:pPr>
      <w:r w:rsidRPr="005D00DC">
        <w:rPr>
          <w:rFonts w:ascii="Symbol" w:hAnsi="Symbol"/>
        </w:rPr>
        <w:t></w:t>
      </w:r>
      <w:r w:rsidRPr="005D00DC">
        <w:rPr>
          <w:rFonts w:ascii="Symbol" w:hAnsi="Symbol"/>
        </w:rPr>
        <w:tab/>
      </w:r>
      <w:r w:rsidRPr="005D00DC">
        <w:t>financial management;</w:t>
      </w:r>
    </w:p>
    <w:p w:rsidR="00B27950" w:rsidRPr="005D00DC" w:rsidRDefault="00B27950" w:rsidP="00B27950">
      <w:pPr>
        <w:pStyle w:val="AnnualReportBullet"/>
        <w:tabs>
          <w:tab w:val="left" w:pos="360"/>
        </w:tabs>
        <w:ind w:left="360" w:hanging="360"/>
      </w:pPr>
      <w:r w:rsidRPr="005D00DC">
        <w:rPr>
          <w:rFonts w:ascii="Symbol" w:hAnsi="Symbol"/>
        </w:rPr>
        <w:t></w:t>
      </w:r>
      <w:r w:rsidRPr="005D00DC">
        <w:rPr>
          <w:rFonts w:ascii="Symbol" w:hAnsi="Symbol"/>
        </w:rPr>
        <w:tab/>
      </w:r>
      <w:r w:rsidRPr="005D00DC">
        <w:t>workforce planning;</w:t>
      </w:r>
    </w:p>
    <w:p w:rsidR="00460BEA" w:rsidRPr="00D3195A" w:rsidRDefault="00460BEA" w:rsidP="00460BEA">
      <w:pPr>
        <w:pStyle w:val="AnnualReportBullet"/>
        <w:tabs>
          <w:tab w:val="left" w:pos="360"/>
        </w:tabs>
        <w:ind w:left="360" w:hanging="360"/>
      </w:pPr>
      <w:r w:rsidRPr="00D3195A">
        <w:rPr>
          <w:rFonts w:ascii="Symbol" w:hAnsi="Symbol"/>
        </w:rPr>
        <w:t></w:t>
      </w:r>
      <w:r w:rsidRPr="00D3195A">
        <w:rPr>
          <w:rFonts w:ascii="Symbol" w:hAnsi="Symbol"/>
        </w:rPr>
        <w:tab/>
      </w:r>
      <w:r w:rsidRPr="00D3195A">
        <w:t>performance management;</w:t>
      </w:r>
    </w:p>
    <w:p w:rsidR="00460BEA" w:rsidRPr="005D00DC" w:rsidRDefault="00B27950" w:rsidP="00B27950">
      <w:pPr>
        <w:pStyle w:val="AnnualReportBullet"/>
        <w:tabs>
          <w:tab w:val="left" w:pos="360"/>
        </w:tabs>
        <w:ind w:left="360" w:hanging="360"/>
      </w:pPr>
      <w:r w:rsidRPr="005D00DC">
        <w:rPr>
          <w:rFonts w:ascii="Symbol" w:hAnsi="Symbol"/>
        </w:rPr>
        <w:t></w:t>
      </w:r>
      <w:r w:rsidRPr="005D00DC">
        <w:rPr>
          <w:rFonts w:ascii="Symbol" w:hAnsi="Symbol"/>
        </w:rPr>
        <w:tab/>
      </w:r>
      <w:r w:rsidRPr="005D00DC">
        <w:t>trai</w:t>
      </w:r>
      <w:r w:rsidR="00460BEA" w:rsidRPr="005D00DC">
        <w:t>ning and development</w:t>
      </w:r>
      <w:r w:rsidRPr="005D00DC">
        <w:t>;</w:t>
      </w:r>
    </w:p>
    <w:p w:rsidR="00460BEA" w:rsidRPr="005D00DC" w:rsidRDefault="00B27950" w:rsidP="00B27950">
      <w:pPr>
        <w:pStyle w:val="AnnualReportBullet"/>
        <w:tabs>
          <w:tab w:val="left" w:pos="360"/>
        </w:tabs>
        <w:ind w:left="360" w:hanging="360"/>
      </w:pPr>
      <w:r w:rsidRPr="005D00DC">
        <w:t xml:space="preserve"> </w:t>
      </w:r>
      <w:r w:rsidR="00460BEA" w:rsidRPr="005D00DC">
        <w:rPr>
          <w:rFonts w:ascii="Symbol" w:hAnsi="Symbol"/>
        </w:rPr>
        <w:t></w:t>
      </w:r>
      <w:r w:rsidR="00460BEA" w:rsidRPr="005D00DC">
        <w:rPr>
          <w:rFonts w:ascii="Symbol" w:hAnsi="Symbol"/>
        </w:rPr>
        <w:tab/>
      </w:r>
      <w:r w:rsidR="00460BEA" w:rsidRPr="005D00DC">
        <w:t xml:space="preserve">health and wellbeing planning; </w:t>
      </w:r>
    </w:p>
    <w:p w:rsidR="00B27950" w:rsidRPr="005D00DC" w:rsidRDefault="00460BEA" w:rsidP="00B27950">
      <w:pPr>
        <w:pStyle w:val="AnnualReportBullet"/>
        <w:tabs>
          <w:tab w:val="left" w:pos="360"/>
        </w:tabs>
        <w:ind w:left="360" w:hanging="360"/>
      </w:pPr>
      <w:r w:rsidRPr="005D00DC">
        <w:rPr>
          <w:rFonts w:ascii="Symbol" w:hAnsi="Symbol"/>
        </w:rPr>
        <w:lastRenderedPageBreak/>
        <w:t></w:t>
      </w:r>
      <w:r w:rsidRPr="005D00DC">
        <w:rPr>
          <w:rFonts w:ascii="Symbol" w:hAnsi="Symbol"/>
        </w:rPr>
        <w:tab/>
      </w:r>
      <w:r w:rsidRPr="005D00DC">
        <w:t>review of library</w:t>
      </w:r>
      <w:r w:rsidR="000F7B31" w:rsidRPr="005D00DC">
        <w:t xml:space="preserve"> and </w:t>
      </w:r>
      <w:r w:rsidRPr="005D00DC">
        <w:t xml:space="preserve">online materials; </w:t>
      </w:r>
      <w:r w:rsidR="00B27950" w:rsidRPr="005D00DC">
        <w:t>and</w:t>
      </w:r>
    </w:p>
    <w:p w:rsidR="00B27950" w:rsidRPr="00555666" w:rsidRDefault="00B27950" w:rsidP="00B27950">
      <w:pPr>
        <w:pStyle w:val="AnnualReportBullet"/>
        <w:tabs>
          <w:tab w:val="left" w:pos="360"/>
        </w:tabs>
        <w:ind w:left="360" w:hanging="360"/>
      </w:pPr>
      <w:r w:rsidRPr="005D00DC">
        <w:rPr>
          <w:rFonts w:ascii="Symbol" w:hAnsi="Symbol"/>
        </w:rPr>
        <w:t></w:t>
      </w:r>
      <w:r w:rsidRPr="005D00DC">
        <w:rPr>
          <w:rFonts w:ascii="Symbol" w:hAnsi="Symbol"/>
        </w:rPr>
        <w:tab/>
      </w:r>
      <w:r w:rsidRPr="005D00DC">
        <w:t>internal policies, practices and processes.</w:t>
      </w:r>
    </w:p>
    <w:p w:rsidR="005B3C9D" w:rsidRDefault="005B3C9D" w:rsidP="005B3C9D">
      <w:pPr>
        <w:pStyle w:val="Head4"/>
      </w:pPr>
      <w:r>
        <w:t>Workplace Consultative Committee</w:t>
      </w:r>
    </w:p>
    <w:p w:rsidR="005B3C9D" w:rsidRDefault="005B3C9D" w:rsidP="005B3C9D">
      <w:pPr>
        <w:pStyle w:val="BodyNum"/>
      </w:pPr>
      <w:bookmarkStart w:id="65" w:name="_Ref113168684"/>
      <w:r>
        <w:t>OPC places importance on the involvement of staff in the decision-making process. This is achieved through the Workplace Consultative Committee (</w:t>
      </w:r>
      <w:proofErr w:type="spellStart"/>
      <w:r>
        <w:rPr>
          <w:b/>
          <w:i/>
        </w:rPr>
        <w:t>WCC</w:t>
      </w:r>
      <w:proofErr w:type="spellEnd"/>
      <w:r>
        <w:t>).</w:t>
      </w:r>
    </w:p>
    <w:p w:rsidR="005B3C9D" w:rsidRDefault="005B3C9D" w:rsidP="005B3C9D">
      <w:pPr>
        <w:pStyle w:val="BodyNum"/>
      </w:pPr>
      <w:r>
        <w:t xml:space="preserve">The membership for the </w:t>
      </w:r>
      <w:proofErr w:type="spellStart"/>
      <w:r>
        <w:t>WCC</w:t>
      </w:r>
      <w:proofErr w:type="spellEnd"/>
      <w:r>
        <w:t xml:space="preserve"> during 201</w:t>
      </w:r>
      <w:r w:rsidR="00CC7ECC">
        <w:t>6</w:t>
      </w:r>
      <w:r>
        <w:t>-201</w:t>
      </w:r>
      <w:r w:rsidR="00CC7ECC">
        <w:t>7</w:t>
      </w:r>
      <w:r>
        <w:t xml:space="preserve"> consisted of the members of the </w:t>
      </w:r>
      <w:proofErr w:type="spellStart"/>
      <w:r w:rsidR="002D1EF2">
        <w:t>SMT</w:t>
      </w:r>
      <w:proofErr w:type="spellEnd"/>
      <w:r>
        <w:t xml:space="preserve"> and </w:t>
      </w:r>
      <w:r w:rsidR="00303703">
        <w:t>6</w:t>
      </w:r>
      <w:r>
        <w:t xml:space="preserve"> employee representatives—one representing each of </w:t>
      </w:r>
      <w:r w:rsidR="00F7451A">
        <w:t>2</w:t>
      </w:r>
      <w:r>
        <w:t xml:space="preserve"> drafter workgroups, 2 representing the publications workgroup, </w:t>
      </w:r>
      <w:r w:rsidR="00303703">
        <w:t>one</w:t>
      </w:r>
      <w:r>
        <w:t xml:space="preserve"> representing the corporate services workgroup, and </w:t>
      </w:r>
      <w:r w:rsidR="00303703">
        <w:t>one</w:t>
      </w:r>
      <w:r>
        <w:t xml:space="preserve"> general employee representative.</w:t>
      </w:r>
      <w:bookmarkEnd w:id="65"/>
      <w:r w:rsidR="00303703">
        <w:t xml:space="preserve"> T</w:t>
      </w:r>
      <w:r>
        <w:t>he h</w:t>
      </w:r>
      <w:r w:rsidR="00303703">
        <w:t>ealth and safety representative</w:t>
      </w:r>
      <w:r>
        <w:t xml:space="preserve"> also attends meetings.</w:t>
      </w:r>
    </w:p>
    <w:p w:rsidR="005B3C9D" w:rsidRDefault="005B3C9D" w:rsidP="005B3C9D">
      <w:pPr>
        <w:pStyle w:val="BodyNum"/>
      </w:pPr>
      <w:r>
        <w:t xml:space="preserve">The </w:t>
      </w:r>
      <w:proofErr w:type="spellStart"/>
      <w:r>
        <w:t>WCC</w:t>
      </w:r>
      <w:proofErr w:type="spellEnd"/>
      <w:r>
        <w:t xml:space="preserve"> is the primary method for consultation with staff on matters other than drafting-related matters. The </w:t>
      </w:r>
      <w:proofErr w:type="spellStart"/>
      <w:r>
        <w:t>WCC</w:t>
      </w:r>
      <w:proofErr w:type="spellEnd"/>
      <w:r>
        <w:t xml:space="preserve"> meets every 6 weeks and is chaired by a staff representative. The </w:t>
      </w:r>
      <w:proofErr w:type="spellStart"/>
      <w:r>
        <w:t>WCC</w:t>
      </w:r>
      <w:proofErr w:type="spellEnd"/>
      <w:r>
        <w:t xml:space="preserve"> has proved to be an effective method of ensuring staff can contribute to decision-making within OPC in an efficient manner.</w:t>
      </w:r>
    </w:p>
    <w:p w:rsidR="005B3C9D" w:rsidRDefault="005B3C9D" w:rsidP="005B3C9D">
      <w:pPr>
        <w:pStyle w:val="Head4"/>
      </w:pPr>
      <w:r>
        <w:lastRenderedPageBreak/>
        <w:t>Audit Committee</w:t>
      </w:r>
    </w:p>
    <w:p w:rsidR="00303703" w:rsidRDefault="005B3C9D" w:rsidP="005B3C9D">
      <w:pPr>
        <w:pStyle w:val="BodyNum"/>
      </w:pPr>
      <w:bookmarkStart w:id="66" w:name="_Ref113168625"/>
      <w:proofErr w:type="spellStart"/>
      <w:r>
        <w:t>OPC’s</w:t>
      </w:r>
      <w:proofErr w:type="spellEnd"/>
      <w:r>
        <w:t xml:space="preserve"> Audit Committee consist</w:t>
      </w:r>
      <w:r w:rsidR="00D41E98">
        <w:t>ed</w:t>
      </w:r>
      <w:r>
        <w:t xml:space="preserve"> of</w:t>
      </w:r>
      <w:r w:rsidR="00303703">
        <w:t>:</w:t>
      </w:r>
    </w:p>
    <w:p w:rsidR="00303703" w:rsidRDefault="00303703" w:rsidP="00303703">
      <w:pPr>
        <w:pStyle w:val="AnnualReportBullet"/>
        <w:tabs>
          <w:tab w:val="left" w:pos="360"/>
        </w:tabs>
        <w:ind w:left="360" w:hanging="360"/>
      </w:pPr>
      <w:r>
        <w:rPr>
          <w:rFonts w:ascii="Symbol" w:hAnsi="Symbol"/>
        </w:rPr>
        <w:t></w:t>
      </w:r>
      <w:r>
        <w:rPr>
          <w:rFonts w:ascii="Symbol" w:hAnsi="Symbol"/>
        </w:rPr>
        <w:tab/>
      </w:r>
      <w:r>
        <w:t xml:space="preserve">Mr Jeff </w:t>
      </w:r>
      <w:proofErr w:type="spellStart"/>
      <w:r>
        <w:t>Lamond</w:t>
      </w:r>
      <w:proofErr w:type="spellEnd"/>
      <w:r>
        <w:t>, wh</w:t>
      </w:r>
      <w:r w:rsidR="002F03FF">
        <w:t>o was the Chair and an independent member</w:t>
      </w:r>
      <w:r>
        <w:t>;</w:t>
      </w:r>
    </w:p>
    <w:p w:rsidR="002F03FF" w:rsidRDefault="002F03FF" w:rsidP="002F03FF">
      <w:pPr>
        <w:pStyle w:val="AnnualReportBullet"/>
        <w:tabs>
          <w:tab w:val="left" w:pos="360"/>
        </w:tabs>
        <w:ind w:left="360" w:hanging="360"/>
      </w:pPr>
      <w:r>
        <w:rPr>
          <w:rFonts w:ascii="Symbol" w:hAnsi="Symbol"/>
        </w:rPr>
        <w:t></w:t>
      </w:r>
      <w:r>
        <w:rPr>
          <w:rFonts w:ascii="Symbol" w:hAnsi="Symbol"/>
        </w:rPr>
        <w:tab/>
      </w:r>
      <w:r>
        <w:t xml:space="preserve">Ms Robyn </w:t>
      </w:r>
      <w:proofErr w:type="spellStart"/>
      <w:r>
        <w:t>McClellend</w:t>
      </w:r>
      <w:proofErr w:type="spellEnd"/>
      <w:r w:rsidR="00CC7ECC">
        <w:t xml:space="preserve"> until November 2016, and Mr Robert Hanlon</w:t>
      </w:r>
      <w:r w:rsidR="006F432C">
        <w:t xml:space="preserve"> from December 2016,</w:t>
      </w:r>
      <w:r>
        <w:t xml:space="preserve"> who </w:t>
      </w:r>
      <w:r w:rsidR="006F432C">
        <w:t>were the</w:t>
      </w:r>
      <w:r>
        <w:t xml:space="preserve"> independent member</w:t>
      </w:r>
      <w:r w:rsidR="006F432C">
        <w:t>s</w:t>
      </w:r>
      <w:r>
        <w:t>; and</w:t>
      </w:r>
    </w:p>
    <w:p w:rsidR="002F03FF" w:rsidRDefault="002F03FF" w:rsidP="002F03FF">
      <w:pPr>
        <w:pStyle w:val="AnnualReportBullet"/>
        <w:tabs>
          <w:tab w:val="left" w:pos="360"/>
        </w:tabs>
        <w:ind w:left="360" w:hanging="360"/>
      </w:pPr>
      <w:r>
        <w:rPr>
          <w:rFonts w:ascii="Symbol" w:hAnsi="Symbol"/>
        </w:rPr>
        <w:t></w:t>
      </w:r>
      <w:r>
        <w:rPr>
          <w:rFonts w:ascii="Symbol" w:hAnsi="Symbol"/>
        </w:rPr>
        <w:tab/>
      </w:r>
      <w:r>
        <w:t>Ms Sally Beasley</w:t>
      </w:r>
      <w:r w:rsidR="00CC7ECC">
        <w:t xml:space="preserve"> until November 2016, and Ms Rebecca Considine from December 2016, who were</w:t>
      </w:r>
      <w:r>
        <w:t xml:space="preserve"> the OPC member</w:t>
      </w:r>
      <w:r w:rsidR="00CC7ECC">
        <w:t>s</w:t>
      </w:r>
      <w:r>
        <w:t xml:space="preserve"> (SES drafter</w:t>
      </w:r>
      <w:r w:rsidR="00CC7ECC">
        <w:t>s</w:t>
      </w:r>
      <w:r>
        <w:t>).</w:t>
      </w:r>
    </w:p>
    <w:p w:rsidR="005B3C9D" w:rsidRDefault="005B3C9D" w:rsidP="005B3C9D">
      <w:pPr>
        <w:pStyle w:val="BodyNum"/>
      </w:pPr>
      <w:r>
        <w:t>In addition, there is a standing invitation to the A</w:t>
      </w:r>
      <w:r w:rsidR="003E05B2">
        <w:t xml:space="preserve">ustralian </w:t>
      </w:r>
      <w:r>
        <w:t>N</w:t>
      </w:r>
      <w:r w:rsidR="003E05B2">
        <w:t xml:space="preserve">ational </w:t>
      </w:r>
      <w:r>
        <w:t>A</w:t>
      </w:r>
      <w:r w:rsidR="003E05B2">
        <w:t xml:space="preserve">udit </w:t>
      </w:r>
      <w:r>
        <w:t>O</w:t>
      </w:r>
      <w:r w:rsidR="003E05B2">
        <w:t>ffice</w:t>
      </w:r>
      <w:r>
        <w:t xml:space="preserve"> to participate in the Audit Committee meetings. The General Manager and the Director Finance also attend meetings.</w:t>
      </w:r>
      <w:bookmarkEnd w:id="66"/>
    </w:p>
    <w:p w:rsidR="005B3C9D" w:rsidRDefault="005B3C9D" w:rsidP="005B3C9D">
      <w:pPr>
        <w:pStyle w:val="BodyNum"/>
      </w:pPr>
      <w:bookmarkStart w:id="67" w:name="_Ref113167190"/>
      <w:r>
        <w:t>During the year, the activities of the Audit Committee included:</w:t>
      </w:r>
      <w:bookmarkEnd w:id="67"/>
    </w:p>
    <w:p w:rsidR="00F7451A" w:rsidRDefault="005B3C9D" w:rsidP="00C0677E">
      <w:pPr>
        <w:pStyle w:val="AnnualReportBullet"/>
        <w:tabs>
          <w:tab w:val="left" w:pos="360"/>
        </w:tabs>
        <w:ind w:left="360" w:hanging="360"/>
      </w:pPr>
      <w:r>
        <w:rPr>
          <w:rFonts w:ascii="Symbol" w:hAnsi="Symbol"/>
        </w:rPr>
        <w:t></w:t>
      </w:r>
      <w:r>
        <w:rPr>
          <w:rFonts w:ascii="Symbol" w:hAnsi="Symbol"/>
        </w:rPr>
        <w:tab/>
      </w:r>
      <w:r>
        <w:t xml:space="preserve">providing advice to FPC and the General Manager on the preparation and review of </w:t>
      </w:r>
      <w:proofErr w:type="spellStart"/>
      <w:r>
        <w:t>OPC’s</w:t>
      </w:r>
      <w:proofErr w:type="spellEnd"/>
      <w:r>
        <w:t xml:space="preserve"> Financial Statements;</w:t>
      </w:r>
    </w:p>
    <w:p w:rsidR="00C0677E" w:rsidRDefault="00F7451A" w:rsidP="00C0677E">
      <w:pPr>
        <w:pStyle w:val="AnnualReportBullet"/>
        <w:tabs>
          <w:tab w:val="left" w:pos="360"/>
        </w:tabs>
        <w:ind w:left="360" w:hanging="360"/>
      </w:pPr>
      <w:r>
        <w:rPr>
          <w:rFonts w:ascii="Symbol" w:hAnsi="Symbol"/>
        </w:rPr>
        <w:t></w:t>
      </w:r>
      <w:r>
        <w:rPr>
          <w:rFonts w:ascii="Symbol" w:hAnsi="Symbol"/>
        </w:rPr>
        <w:tab/>
      </w:r>
      <w:r>
        <w:t xml:space="preserve">review of </w:t>
      </w:r>
      <w:proofErr w:type="spellStart"/>
      <w:r>
        <w:t>OPC’s</w:t>
      </w:r>
      <w:proofErr w:type="spellEnd"/>
      <w:r>
        <w:t xml:space="preserve"> Internal Audit</w:t>
      </w:r>
      <w:r w:rsidR="009A0C07">
        <w:t xml:space="preserve"> Plan</w:t>
      </w:r>
      <w:r w:rsidR="006F432C">
        <w:t>,</w:t>
      </w:r>
      <w:r>
        <w:t xml:space="preserve"> Risk Management Plan</w:t>
      </w:r>
      <w:r w:rsidR="006F432C">
        <w:t xml:space="preserve"> and Business Continuity Plan</w:t>
      </w:r>
      <w:r>
        <w:t>; and</w:t>
      </w:r>
    </w:p>
    <w:p w:rsidR="005B3C9D" w:rsidRDefault="005B3C9D" w:rsidP="005B3C9D">
      <w:pPr>
        <w:pStyle w:val="AnnualReportBullet"/>
        <w:tabs>
          <w:tab w:val="left" w:pos="360"/>
        </w:tabs>
        <w:ind w:left="360" w:hanging="360"/>
      </w:pPr>
      <w:r>
        <w:rPr>
          <w:rFonts w:ascii="Symbol" w:hAnsi="Symbol"/>
        </w:rPr>
        <w:lastRenderedPageBreak/>
        <w:t></w:t>
      </w:r>
      <w:r>
        <w:rPr>
          <w:rFonts w:ascii="Symbol" w:hAnsi="Symbol"/>
        </w:rPr>
        <w:tab/>
      </w:r>
      <w:r>
        <w:t>review of internal audit reports.</w:t>
      </w:r>
    </w:p>
    <w:p w:rsidR="005B3C9D" w:rsidRDefault="005B3C9D" w:rsidP="005B3C9D">
      <w:pPr>
        <w:pStyle w:val="Head4"/>
      </w:pPr>
      <w:r>
        <w:t>Other committees</w:t>
      </w:r>
    </w:p>
    <w:p w:rsidR="005B3C9D" w:rsidRDefault="005B3C9D" w:rsidP="005B3C9D">
      <w:pPr>
        <w:pStyle w:val="BodyNum"/>
      </w:pPr>
      <w:bookmarkStart w:id="68" w:name="_Ref175719679"/>
      <w:r>
        <w:t xml:space="preserve">Since the establishment of the </w:t>
      </w:r>
      <w:proofErr w:type="spellStart"/>
      <w:r>
        <w:t>WCC</w:t>
      </w:r>
      <w:proofErr w:type="spellEnd"/>
      <w:r>
        <w:t>, the need for other office committees has diminished.</w:t>
      </w:r>
      <w:bookmarkEnd w:id="68"/>
    </w:p>
    <w:p w:rsidR="005B3C9D" w:rsidRDefault="005B3C9D" w:rsidP="005B3C9D">
      <w:pPr>
        <w:pStyle w:val="Head4"/>
      </w:pPr>
      <w:r>
        <w:t>Staff meetings</w:t>
      </w:r>
    </w:p>
    <w:p w:rsidR="005B3C9D" w:rsidRDefault="005B3C9D" w:rsidP="005B3C9D">
      <w:pPr>
        <w:pStyle w:val="BodyNum"/>
      </w:pPr>
      <w:bookmarkStart w:id="69" w:name="_Ref113266977"/>
      <w:r>
        <w:t xml:space="preserve">Regular staff meetings are held monthly except in January and July. </w:t>
      </w:r>
    </w:p>
    <w:p w:rsidR="005B3C9D" w:rsidRDefault="005B3C9D" w:rsidP="005B3C9D">
      <w:pPr>
        <w:pStyle w:val="BodyNum"/>
      </w:pPr>
      <w:r>
        <w:t>The staff meeting is primarily an information meeting, and the agenda provides for FPC and other members of OPC to report on specified aspects of OPC operations and developments, such as the progress of the legislation program, staff movements and IT issues.</w:t>
      </w:r>
      <w:bookmarkEnd w:id="69"/>
    </w:p>
    <w:p w:rsidR="005B3C9D" w:rsidRDefault="005B3C9D" w:rsidP="005B3C9D">
      <w:pPr>
        <w:pStyle w:val="Head3"/>
      </w:pPr>
      <w:bookmarkStart w:id="70" w:name="_Toc492656471"/>
      <w:r>
        <w:t>Risk management and fraud control</w:t>
      </w:r>
      <w:bookmarkEnd w:id="70"/>
    </w:p>
    <w:p w:rsidR="005B3C9D" w:rsidRDefault="0007019A" w:rsidP="005B3C9D">
      <w:pPr>
        <w:pStyle w:val="BodyNum"/>
      </w:pPr>
      <w:r>
        <w:t>During the year, the</w:t>
      </w:r>
      <w:r w:rsidR="005B3C9D">
        <w:t xml:space="preserve"> </w:t>
      </w:r>
      <w:r w:rsidR="00291AD1">
        <w:t xml:space="preserve">annual </w:t>
      </w:r>
      <w:r w:rsidR="005B3C9D">
        <w:t>review</w:t>
      </w:r>
      <w:r w:rsidR="009A0C07">
        <w:t xml:space="preserve"> and update</w:t>
      </w:r>
      <w:r w:rsidR="005B3C9D">
        <w:t xml:space="preserve"> of </w:t>
      </w:r>
      <w:proofErr w:type="spellStart"/>
      <w:r w:rsidR="005B3C9D">
        <w:t>OPC’s</w:t>
      </w:r>
      <w:proofErr w:type="spellEnd"/>
      <w:r w:rsidR="005B3C9D">
        <w:t xml:space="preserve"> risk management framework was co</w:t>
      </w:r>
      <w:r>
        <w:t>mpleted</w:t>
      </w:r>
      <w:r w:rsidR="005B3C9D">
        <w:t>.</w:t>
      </w:r>
    </w:p>
    <w:p w:rsidR="005B3C9D" w:rsidRDefault="005B3C9D" w:rsidP="005B3C9D">
      <w:pPr>
        <w:pStyle w:val="BodyNum"/>
      </w:pPr>
      <w:r>
        <w:t>OPC has in place a Fraud Control Policy and Plan and appropriate fraud control mechanisms that meet the needs of OPC and comply with the Commonwealth Fr</w:t>
      </w:r>
      <w:r w:rsidR="009A0C07">
        <w:t>aud Control Framework</w:t>
      </w:r>
      <w:r>
        <w:t xml:space="preserve"> for the 201</w:t>
      </w:r>
      <w:r w:rsidR="00F20FBB">
        <w:t>6</w:t>
      </w:r>
      <w:r>
        <w:t>-201</w:t>
      </w:r>
      <w:r w:rsidR="00F20FBB">
        <w:t>7</w:t>
      </w:r>
      <w:r>
        <w:t xml:space="preserve"> </w:t>
      </w:r>
      <w:r>
        <w:lastRenderedPageBreak/>
        <w:t>financial year, including reporting</w:t>
      </w:r>
      <w:r w:rsidR="0007019A">
        <w:t xml:space="preserve"> requirements. OPC has reviewed </w:t>
      </w:r>
      <w:r>
        <w:t>the Fraud Control Policy and Plan during the year. The review included an assessment of risks. No additional fraud control initiatives were undertaken as a result of the review.</w:t>
      </w:r>
    </w:p>
    <w:p w:rsidR="005B3C9D" w:rsidRDefault="005B3C9D" w:rsidP="005B3C9D">
      <w:pPr>
        <w:pStyle w:val="BodyNum"/>
      </w:pPr>
      <w:r>
        <w:t xml:space="preserve">OPC has in place appropriate fraud prevention, detection, investigation, reporting and data collection procedures and processes that meet </w:t>
      </w:r>
      <w:proofErr w:type="spellStart"/>
      <w:r>
        <w:t>OPC’s</w:t>
      </w:r>
      <w:proofErr w:type="spellEnd"/>
      <w:r>
        <w:t xml:space="preserve"> specific needs and comply with the Commo</w:t>
      </w:r>
      <w:r w:rsidR="009A0C07">
        <w:t>nwealth Fraud Control Framework</w:t>
      </w:r>
      <w:r>
        <w:t>.</w:t>
      </w:r>
    </w:p>
    <w:p w:rsidR="005B3C9D" w:rsidRDefault="005B3C9D" w:rsidP="005B3C9D">
      <w:pPr>
        <w:pStyle w:val="BodyNum"/>
      </w:pPr>
      <w:r>
        <w:t xml:space="preserve">A number of internal policies and procedures have been developed and updated to support and complement our </w:t>
      </w:r>
      <w:r w:rsidR="009A0C07">
        <w:t>Accountable Authority</w:t>
      </w:r>
      <w:r>
        <w:t xml:space="preserve"> Instructions, Risk Management Policy and Plan, and Fraud Control Policy and Plan.</w:t>
      </w:r>
    </w:p>
    <w:p w:rsidR="00E2595B" w:rsidRDefault="005B3C9D" w:rsidP="005B3C9D">
      <w:pPr>
        <w:pStyle w:val="BodyNum"/>
      </w:pPr>
      <w:r>
        <w:t xml:space="preserve">An integral element of </w:t>
      </w:r>
      <w:proofErr w:type="spellStart"/>
      <w:r>
        <w:t>OPC’s</w:t>
      </w:r>
      <w:proofErr w:type="spellEnd"/>
      <w:r>
        <w:t xml:space="preserve"> risk management framework is business continuity management</w:t>
      </w:r>
      <w:r w:rsidR="00050EFF">
        <w:t xml:space="preserve"> (</w:t>
      </w:r>
      <w:proofErr w:type="spellStart"/>
      <w:r w:rsidR="00050EFF" w:rsidRPr="00050EFF">
        <w:rPr>
          <w:b/>
          <w:i/>
        </w:rPr>
        <w:t>BCM</w:t>
      </w:r>
      <w:proofErr w:type="spellEnd"/>
      <w:r w:rsidR="00050EFF">
        <w:t>)</w:t>
      </w:r>
      <w:r>
        <w:t>.</w:t>
      </w:r>
    </w:p>
    <w:p w:rsidR="005B3C9D" w:rsidRDefault="00291AD1" w:rsidP="005B3C9D">
      <w:pPr>
        <w:pStyle w:val="BodyNum"/>
      </w:pPr>
      <w:r>
        <w:t xml:space="preserve">In 2016-2017, OPC </w:t>
      </w:r>
      <w:r w:rsidR="00F20FBB">
        <w:t>undertook</w:t>
      </w:r>
      <w:r>
        <w:t xml:space="preserve"> a review of the </w:t>
      </w:r>
      <w:proofErr w:type="spellStart"/>
      <w:r w:rsidR="00050EFF">
        <w:t>BCM</w:t>
      </w:r>
      <w:proofErr w:type="spellEnd"/>
      <w:r>
        <w:t xml:space="preserve"> framework.</w:t>
      </w:r>
      <w:r w:rsidR="00F20FBB">
        <w:t xml:space="preserve"> As a result of this review, OPC </w:t>
      </w:r>
      <w:r w:rsidR="00050EFF">
        <w:t>has commenced implementing actions to further strengthen this framework.</w:t>
      </w:r>
    </w:p>
    <w:p w:rsidR="005B3C9D" w:rsidRDefault="005B3C9D" w:rsidP="005B3C9D">
      <w:pPr>
        <w:pStyle w:val="Head3"/>
      </w:pPr>
      <w:bookmarkStart w:id="71" w:name="_Toc492656472"/>
      <w:r>
        <w:lastRenderedPageBreak/>
        <w:t>Operational risks</w:t>
      </w:r>
      <w:bookmarkEnd w:id="71"/>
    </w:p>
    <w:p w:rsidR="005B3C9D" w:rsidRDefault="005B3C9D" w:rsidP="005B3C9D">
      <w:pPr>
        <w:pStyle w:val="BodyNum"/>
      </w:pPr>
      <w:bookmarkStart w:id="72" w:name="_Ref113169238"/>
      <w:r>
        <w:t>The major areas of operational risk are:</w:t>
      </w:r>
      <w:bookmarkEnd w:id="72"/>
    </w:p>
    <w:p w:rsidR="005B3C9D" w:rsidRDefault="005B3C9D" w:rsidP="005B3C9D">
      <w:pPr>
        <w:pStyle w:val="AnnualReportBullet"/>
        <w:tabs>
          <w:tab w:val="left" w:pos="360"/>
        </w:tabs>
        <w:ind w:left="360" w:hanging="360"/>
      </w:pPr>
      <w:r>
        <w:rPr>
          <w:rFonts w:ascii="Symbol" w:hAnsi="Symbol"/>
        </w:rPr>
        <w:t></w:t>
      </w:r>
      <w:r>
        <w:rPr>
          <w:rFonts w:ascii="Symbol" w:hAnsi="Symbol"/>
        </w:rPr>
        <w:tab/>
      </w:r>
      <w:r>
        <w:t>matters affecting the availability of drafting resources; and</w:t>
      </w:r>
    </w:p>
    <w:p w:rsidR="005B3C9D" w:rsidRDefault="005B3C9D" w:rsidP="005B3C9D">
      <w:pPr>
        <w:pStyle w:val="AnnualReportBullet"/>
        <w:tabs>
          <w:tab w:val="left" w:pos="360"/>
        </w:tabs>
        <w:ind w:left="360" w:hanging="360"/>
      </w:pPr>
      <w:r>
        <w:rPr>
          <w:rFonts w:ascii="Symbol" w:hAnsi="Symbol"/>
        </w:rPr>
        <w:t></w:t>
      </w:r>
      <w:r>
        <w:rPr>
          <w:rFonts w:ascii="Symbol" w:hAnsi="Symbol"/>
        </w:rPr>
        <w:tab/>
      </w:r>
      <w:r>
        <w:t xml:space="preserve">matters affecting the availability of </w:t>
      </w:r>
      <w:proofErr w:type="spellStart"/>
      <w:r>
        <w:t>OPC’s</w:t>
      </w:r>
      <w:proofErr w:type="spellEnd"/>
      <w:r>
        <w:t xml:space="preserve"> information technology (</w:t>
      </w:r>
      <w:r>
        <w:rPr>
          <w:b/>
          <w:i/>
        </w:rPr>
        <w:t>IT</w:t>
      </w:r>
      <w:r>
        <w:t>) system.</w:t>
      </w:r>
    </w:p>
    <w:p w:rsidR="005B3C9D" w:rsidRDefault="005B3C9D" w:rsidP="005B3C9D">
      <w:pPr>
        <w:pStyle w:val="Head4"/>
      </w:pPr>
      <w:r>
        <w:t>Drafting resources</w:t>
      </w:r>
    </w:p>
    <w:p w:rsidR="005B3C9D" w:rsidRDefault="005B3C9D" w:rsidP="005B3C9D">
      <w:pPr>
        <w:pStyle w:val="BodyNum"/>
      </w:pPr>
      <w:bookmarkStart w:id="73" w:name="_Ref113168751"/>
      <w:r>
        <w:t>To ensure the availability of drafting resources, OPC has adopted measures to address both short-term and long-term operational risks.</w:t>
      </w:r>
      <w:bookmarkEnd w:id="73"/>
    </w:p>
    <w:p w:rsidR="005B3C9D" w:rsidRDefault="005B3C9D" w:rsidP="005B3C9D">
      <w:pPr>
        <w:pStyle w:val="BodyNum"/>
      </w:pPr>
      <w:r>
        <w:t xml:space="preserve">To address short-term risks, steps are taken to ensure that </w:t>
      </w:r>
      <w:proofErr w:type="spellStart"/>
      <w:r>
        <w:t>OPC’s</w:t>
      </w:r>
      <w:proofErr w:type="spellEnd"/>
      <w:r>
        <w:t xml:space="preserve"> operations are not seriously affected by the absence of individual drafters. The allocation of drafting projects to teams of 2 or more drafters provides some insurance against resource problems caused by unexpected absences of drafters. The team arrangements ensure that current projects can continue in the absence of a team member. Management monitors the leave plans of all drafting staff to ensure that there are no unacceptable shortages of drafting resources caused by planned leave.</w:t>
      </w:r>
    </w:p>
    <w:p w:rsidR="005B3C9D" w:rsidRDefault="005B3C9D" w:rsidP="005B3C9D">
      <w:pPr>
        <w:pStyle w:val="BodyNum"/>
      </w:pPr>
      <w:r>
        <w:lastRenderedPageBreak/>
        <w:t>Addressing long-term risks of the availability of drafting resources is a substantially more complex issue. It takes approximately 5 to 6 years to train a legislative drafter to the point at which they can take sole responsibility for the drafting of Bills. Consequently, ensuring the availability of suitable drafting resources requires all of the following:</w:t>
      </w:r>
    </w:p>
    <w:p w:rsidR="005B3C9D" w:rsidRDefault="005B3C9D" w:rsidP="005B3C9D">
      <w:pPr>
        <w:pStyle w:val="AnnualReportBullet"/>
        <w:tabs>
          <w:tab w:val="left" w:pos="360"/>
        </w:tabs>
        <w:ind w:left="360" w:hanging="360"/>
      </w:pPr>
      <w:r>
        <w:rPr>
          <w:rFonts w:ascii="Symbol" w:hAnsi="Symbol"/>
        </w:rPr>
        <w:t></w:t>
      </w:r>
      <w:r>
        <w:rPr>
          <w:rFonts w:ascii="Symbol" w:hAnsi="Symbol"/>
        </w:rPr>
        <w:tab/>
      </w:r>
      <w:r>
        <w:t>a recruitment program to ensure that high quality lawyers are recruited;</w:t>
      </w:r>
    </w:p>
    <w:p w:rsidR="005B3C9D" w:rsidRDefault="005B3C9D" w:rsidP="005B3C9D">
      <w:pPr>
        <w:pStyle w:val="AnnualReportBullet"/>
        <w:tabs>
          <w:tab w:val="left" w:pos="360"/>
        </w:tabs>
        <w:ind w:left="360" w:hanging="360"/>
      </w:pPr>
      <w:r>
        <w:rPr>
          <w:rFonts w:ascii="Symbol" w:hAnsi="Symbol"/>
        </w:rPr>
        <w:t></w:t>
      </w:r>
      <w:r>
        <w:rPr>
          <w:rFonts w:ascii="Symbol" w:hAnsi="Symbol"/>
        </w:rPr>
        <w:tab/>
      </w:r>
      <w:r>
        <w:t>an approach to training that ensures that recruits are given the opportunity to develop high-level drafting skills in the shortest possible time; and</w:t>
      </w:r>
    </w:p>
    <w:p w:rsidR="005B3C9D" w:rsidRDefault="005B3C9D" w:rsidP="005B3C9D">
      <w:pPr>
        <w:pStyle w:val="AnnualReportBullet"/>
        <w:tabs>
          <w:tab w:val="left" w:pos="360"/>
        </w:tabs>
        <w:ind w:left="360" w:hanging="360"/>
      </w:pPr>
      <w:r>
        <w:rPr>
          <w:rFonts w:ascii="Symbol" w:hAnsi="Symbol"/>
        </w:rPr>
        <w:t></w:t>
      </w:r>
      <w:r>
        <w:rPr>
          <w:rFonts w:ascii="Symbol" w:hAnsi="Symbol"/>
        </w:rPr>
        <w:tab/>
      </w:r>
      <w:r>
        <w:t>the retention of trained drafters through the provision of interesting work, good career opportunities, attractive working conditions and appropriate remuneration.</w:t>
      </w:r>
    </w:p>
    <w:p w:rsidR="00A34A61" w:rsidRDefault="00496328" w:rsidP="009A0C07">
      <w:pPr>
        <w:pStyle w:val="BodyNum"/>
      </w:pPr>
      <w:r>
        <w:t xml:space="preserve">In previous years, </w:t>
      </w:r>
      <w:proofErr w:type="spellStart"/>
      <w:r>
        <w:t>OPC’s</w:t>
      </w:r>
      <w:proofErr w:type="spellEnd"/>
      <w:r>
        <w:t xml:space="preserve"> turnover of drafting staff has been extremely low. This very low </w:t>
      </w:r>
      <w:r w:rsidRPr="009C1C22">
        <w:t>turnover</w:t>
      </w:r>
      <w:r>
        <w:t xml:space="preserve"> (about 3% per annum) enabled OPC to build up a strong group of drafters</w:t>
      </w:r>
      <w:r w:rsidR="00A34A61">
        <w:t>.</w:t>
      </w:r>
    </w:p>
    <w:p w:rsidR="005B3C9D" w:rsidRDefault="005B3C9D" w:rsidP="005B3C9D">
      <w:pPr>
        <w:pStyle w:val="Head4"/>
      </w:pPr>
      <w:r>
        <w:lastRenderedPageBreak/>
        <w:t>Information technology systems</w:t>
      </w:r>
    </w:p>
    <w:p w:rsidR="005B3C9D" w:rsidRDefault="005B3C9D" w:rsidP="005B3C9D">
      <w:pPr>
        <w:pStyle w:val="BodyNum"/>
      </w:pPr>
      <w:bookmarkStart w:id="74" w:name="_Ref113169186"/>
      <w:r>
        <w:t>OP</w:t>
      </w:r>
      <w:r w:rsidR="002D1EF2">
        <w:t xml:space="preserve">C is very dependent upon its IT </w:t>
      </w:r>
      <w:r>
        <w:t>systems. These systems provide substantial efficiencies and are integral to the work of all OPC staff. Therefore, any interruption to the availability of the IT systems would have a major effect upon OPC.</w:t>
      </w:r>
      <w:bookmarkEnd w:id="74"/>
    </w:p>
    <w:p w:rsidR="005B3C9D" w:rsidRDefault="005B3C9D" w:rsidP="005B3C9D">
      <w:pPr>
        <w:pStyle w:val="BodyNum"/>
      </w:pPr>
      <w:r>
        <w:t xml:space="preserve">Comprehensive risk management and contingency plans have been developed for </w:t>
      </w:r>
      <w:proofErr w:type="spellStart"/>
      <w:r>
        <w:t>OPC’s</w:t>
      </w:r>
      <w:proofErr w:type="spellEnd"/>
      <w:r>
        <w:t xml:space="preserve"> IT system</w:t>
      </w:r>
      <w:r w:rsidR="006A7943">
        <w:t>s</w:t>
      </w:r>
      <w:r>
        <w:t xml:space="preserve">. This has </w:t>
      </w:r>
      <w:r w:rsidR="006A7943">
        <w:t>ensured</w:t>
      </w:r>
      <w:r>
        <w:t xml:space="preserve"> very few interruptions to the availability of </w:t>
      </w:r>
      <w:proofErr w:type="spellStart"/>
      <w:r>
        <w:t>OPC’s</w:t>
      </w:r>
      <w:proofErr w:type="spellEnd"/>
      <w:r>
        <w:t xml:space="preserve"> IT systems. In addition, OPC is prepared for the possibility of major damage to our IT systems.</w:t>
      </w:r>
    </w:p>
    <w:p w:rsidR="005B3C9D" w:rsidRDefault="005B3C9D" w:rsidP="005B3C9D">
      <w:pPr>
        <w:pStyle w:val="BodyNum"/>
      </w:pPr>
      <w:r>
        <w:t xml:space="preserve">OPC maintains an off-site server facility. This provides OPC with a high level of protection against loss of IT services and plays a key role in </w:t>
      </w:r>
      <w:proofErr w:type="spellStart"/>
      <w:r>
        <w:t>OPC’s</w:t>
      </w:r>
      <w:proofErr w:type="spellEnd"/>
      <w:r>
        <w:t xml:space="preserve"> Business Continuity Management Plan.</w:t>
      </w:r>
    </w:p>
    <w:p w:rsidR="005B3C9D" w:rsidRDefault="005B3C9D" w:rsidP="005B3C9D">
      <w:pPr>
        <w:pStyle w:val="BodyNum"/>
      </w:pPr>
      <w:r>
        <w:t>OPC has reviewed the risk management and contingency plans as part of the work on business continuity management for the whole of OPC.</w:t>
      </w:r>
    </w:p>
    <w:p w:rsidR="00A43CDA" w:rsidRDefault="005B3C9D" w:rsidP="0098330D">
      <w:pPr>
        <w:pStyle w:val="BodyNum"/>
      </w:pPr>
      <w:r>
        <w:t xml:space="preserve">OPC continued to provide secure remote access to </w:t>
      </w:r>
      <w:proofErr w:type="spellStart"/>
      <w:r>
        <w:t>OPC’s</w:t>
      </w:r>
      <w:proofErr w:type="spellEnd"/>
      <w:r>
        <w:t xml:space="preserve"> IT system</w:t>
      </w:r>
      <w:r w:rsidR="006A7943">
        <w:t>s</w:t>
      </w:r>
      <w:r>
        <w:t xml:space="preserve"> for staff who requested it. </w:t>
      </w:r>
      <w:r>
        <w:lastRenderedPageBreak/>
        <w:t xml:space="preserve">This enables staff to perform some work from home and when travelling and also provides a contingency arrangement if </w:t>
      </w:r>
      <w:proofErr w:type="spellStart"/>
      <w:r>
        <w:t>OPC’s</w:t>
      </w:r>
      <w:proofErr w:type="spellEnd"/>
      <w:r>
        <w:t xml:space="preserve"> buildings are unavailable.</w:t>
      </w:r>
    </w:p>
    <w:p w:rsidR="005B3C9D" w:rsidRDefault="005B3C9D" w:rsidP="005B3C9D">
      <w:pPr>
        <w:pStyle w:val="Head3"/>
      </w:pPr>
      <w:bookmarkStart w:id="75" w:name="_Toc492656473"/>
      <w:r>
        <w:t>Maintenance of ethical standards</w:t>
      </w:r>
      <w:bookmarkEnd w:id="75"/>
    </w:p>
    <w:p w:rsidR="005B3C9D" w:rsidRDefault="005B3C9D" w:rsidP="005B3C9D">
      <w:pPr>
        <w:pStyle w:val="BodyNum"/>
      </w:pPr>
      <w:bookmarkStart w:id="76" w:name="_Ref113168772"/>
      <w:r>
        <w:t xml:space="preserve">OPC has taken steps to ensure that staff are aware of their rights and obligations under the </w:t>
      </w:r>
      <w:r>
        <w:rPr>
          <w:i/>
        </w:rPr>
        <w:t>Public Service Act 1999</w:t>
      </w:r>
      <w:r>
        <w:t>. These include training courses for all staff run by senior management and the circulation of materials throughout the office.</w:t>
      </w:r>
      <w:bookmarkEnd w:id="76"/>
    </w:p>
    <w:p w:rsidR="005B3C9D" w:rsidRDefault="005B3C9D" w:rsidP="005B3C9D">
      <w:pPr>
        <w:pStyle w:val="BodyNum"/>
      </w:pPr>
      <w:r>
        <w:t xml:space="preserve">Formal procedures have been established for determining breaches of the Code of Conduct, and for dealing with </w:t>
      </w:r>
      <w:r w:rsidR="00B313AD">
        <w:t>public interest disclosures</w:t>
      </w:r>
      <w:r>
        <w:t>.</w:t>
      </w:r>
    </w:p>
    <w:p w:rsidR="005B3C9D" w:rsidRDefault="005B3C9D" w:rsidP="005B3C9D">
      <w:pPr>
        <w:pStyle w:val="BodyNum"/>
      </w:pPr>
      <w:r>
        <w:t xml:space="preserve">The APS Values, Code of Conduct, </w:t>
      </w:r>
      <w:r w:rsidR="0098330D">
        <w:t>Accountable Authority</w:t>
      </w:r>
      <w:r>
        <w:t xml:space="preserve"> Instructions and other material relevant to ethical conduct are incorporated, as appropriate, into OPC policies and guidelines.</w:t>
      </w:r>
    </w:p>
    <w:p w:rsidR="005B3C9D" w:rsidRDefault="005B3C9D" w:rsidP="005B3C9D">
      <w:pPr>
        <w:pStyle w:val="BodyNum"/>
      </w:pPr>
      <w:r>
        <w:t xml:space="preserve">All new employees to OPC are given a copy of the relevant material during their induction </w:t>
      </w:r>
      <w:r w:rsidR="00CD5F72">
        <w:t>program</w:t>
      </w:r>
      <w:r>
        <w:t xml:space="preserve"> including information about the Australian Public Service Commission’s Ethics Advisory Service. In addition, new </w:t>
      </w:r>
      <w:r>
        <w:lastRenderedPageBreak/>
        <w:t xml:space="preserve">employees are provided with the APS online induction </w:t>
      </w:r>
      <w:r w:rsidR="00CD5F72">
        <w:t>program</w:t>
      </w:r>
      <w:r>
        <w:t>.</w:t>
      </w:r>
    </w:p>
    <w:p w:rsidR="005B3C9D" w:rsidRDefault="005B3C9D" w:rsidP="005B3C9D">
      <w:pPr>
        <w:pStyle w:val="BodyNum"/>
      </w:pPr>
      <w:r>
        <w:t xml:space="preserve">OPC sets very high ethical standards. </w:t>
      </w:r>
      <w:proofErr w:type="spellStart"/>
      <w:r>
        <w:t>OPC’s</w:t>
      </w:r>
      <w:proofErr w:type="spellEnd"/>
      <w:r>
        <w:t xml:space="preserve"> policy on the acceptance of gifts and hospitality appears to be more restrictive than that of most other Commonwealth Government agencies. This policy applies equally to members</w:t>
      </w:r>
      <w:r w:rsidR="00B313AD">
        <w:t xml:space="preserve"> of the </w:t>
      </w:r>
      <w:proofErr w:type="spellStart"/>
      <w:r w:rsidR="00B313AD">
        <w:t>SMT</w:t>
      </w:r>
      <w:proofErr w:type="spellEnd"/>
      <w:r w:rsidR="00B313AD">
        <w:t xml:space="preserve"> and to other staff.</w:t>
      </w:r>
    </w:p>
    <w:p w:rsidR="005B3C9D" w:rsidRDefault="005B3C9D" w:rsidP="005B3C9D">
      <w:pPr>
        <w:pStyle w:val="Head3"/>
      </w:pPr>
      <w:bookmarkStart w:id="77" w:name="_Toc492656474"/>
      <w:r>
        <w:t>SES remuneration</w:t>
      </w:r>
      <w:bookmarkEnd w:id="77"/>
    </w:p>
    <w:p w:rsidR="005B3C9D" w:rsidRDefault="005B3C9D" w:rsidP="005B3C9D">
      <w:pPr>
        <w:pStyle w:val="BodyNum"/>
      </w:pPr>
      <w:bookmarkStart w:id="78" w:name="_Ref113169042"/>
      <w:r>
        <w:t>During the year, remuneration for all SES staff was determined under the OPC SES Enterprise Agreement 201</w:t>
      </w:r>
      <w:r w:rsidR="00E2595B">
        <w:t>6</w:t>
      </w:r>
      <w:r>
        <w:t>-201</w:t>
      </w:r>
      <w:r w:rsidR="00E2595B">
        <w:t>9</w:t>
      </w:r>
      <w:r>
        <w:t>.</w:t>
      </w:r>
      <w:bookmarkEnd w:id="78"/>
    </w:p>
    <w:p w:rsidR="005B3C9D" w:rsidRDefault="005B3C9D" w:rsidP="005B3C9D">
      <w:pPr>
        <w:pStyle w:val="BodyNum"/>
      </w:pPr>
      <w:bookmarkStart w:id="79" w:name="_Ref79900018"/>
      <w:r>
        <w:t xml:space="preserve">Under the Enterprise Agreement, SES staff are entitled to the same increases in their base salary as are payable to non-SES staff. In addition, the allowances previously paid to SES staff have been rolled into their base salary. On top of their base salary and in </w:t>
      </w:r>
      <w:r>
        <w:lastRenderedPageBreak/>
        <w:t>recognition of the value to OPC of retaining trained and experienced senior drafters, SES drafters are entitled to a loading that depends on the particular staff member’s drafting experience. The experience loading is subject to the staff member concerned being appraised as at least “fully effective” each year.</w:t>
      </w:r>
      <w:bookmarkEnd w:id="79"/>
    </w:p>
    <w:p w:rsidR="005B3C9D" w:rsidRDefault="005B3C9D" w:rsidP="002457A5">
      <w:pPr>
        <w:pStyle w:val="Head3"/>
      </w:pPr>
      <w:bookmarkStart w:id="80" w:name="_Toc492656475"/>
      <w:r>
        <w:t>External scrutiny</w:t>
      </w:r>
      <w:bookmarkEnd w:id="80"/>
    </w:p>
    <w:p w:rsidR="005B3C9D" w:rsidRDefault="005B3C9D" w:rsidP="005B3C9D">
      <w:pPr>
        <w:pStyle w:val="BodyNum"/>
      </w:pPr>
      <w:bookmarkStart w:id="81" w:name="_Ref113168794"/>
      <w:r>
        <w:t>There have been no judicial</w:t>
      </w:r>
      <w:r w:rsidR="00D95428">
        <w:t xml:space="preserve"> decisions or decisions of </w:t>
      </w:r>
      <w:r>
        <w:t>administrative tribunals that have had, or may have, a significant direct impact on the operations of OPC.</w:t>
      </w:r>
      <w:bookmarkEnd w:id="81"/>
    </w:p>
    <w:p w:rsidR="005B3C9D" w:rsidRPr="00981CAB" w:rsidRDefault="005B3C9D" w:rsidP="005B3C9D">
      <w:pPr>
        <w:pStyle w:val="BodyNum"/>
        <w:sectPr w:rsidR="005B3C9D" w:rsidRPr="00981CAB">
          <w:headerReference w:type="even" r:id="rId61"/>
          <w:headerReference w:type="default" r:id="rId62"/>
          <w:footerReference w:type="even" r:id="rId63"/>
          <w:footerReference w:type="default" r:id="rId64"/>
          <w:type w:val="continuous"/>
          <w:pgSz w:w="11907" w:h="16839" w:code="9"/>
          <w:pgMar w:top="1134" w:right="2410" w:bottom="4253" w:left="2410" w:header="510" w:footer="3402" w:gutter="0"/>
          <w:cols w:num="2" w:space="709"/>
          <w:docGrid w:linePitch="326"/>
        </w:sectPr>
      </w:pPr>
      <w:r>
        <w:t>There have been no reports on the operations of OPC by the Auditor-General (other than the report on financial statements), a parliamentary committee or the Commonwealth Ombudsman.</w:t>
      </w:r>
    </w:p>
    <w:p w:rsidR="00CB554F" w:rsidRDefault="00CB554F">
      <w:pPr>
        <w:sectPr w:rsidR="00CB554F">
          <w:headerReference w:type="even" r:id="rId65"/>
          <w:headerReference w:type="default" r:id="rId66"/>
          <w:footerReference w:type="even" r:id="rId67"/>
          <w:footerReference w:type="default" r:id="rId68"/>
          <w:type w:val="continuous"/>
          <w:pgSz w:w="11907" w:h="16839" w:code="9"/>
          <w:pgMar w:top="1134" w:right="2410" w:bottom="4253" w:left="2410" w:header="510" w:footer="3402" w:gutter="0"/>
          <w:cols w:num="2" w:space="709"/>
          <w:docGrid w:linePitch="326"/>
        </w:sectPr>
      </w:pPr>
    </w:p>
    <w:p w:rsidR="00CB554F" w:rsidRDefault="00CB554F">
      <w:pPr>
        <w:pStyle w:val="Head2"/>
        <w:sectPr w:rsidR="00CB554F">
          <w:headerReference w:type="even" r:id="rId69"/>
          <w:headerReference w:type="default" r:id="rId70"/>
          <w:footerReference w:type="even" r:id="rId71"/>
          <w:footerReference w:type="default" r:id="rId72"/>
          <w:pgSz w:w="11907" w:h="16839" w:code="9"/>
          <w:pgMar w:top="1134" w:right="2410" w:bottom="4253" w:left="2410" w:header="510" w:footer="3402" w:gutter="0"/>
          <w:cols w:space="709"/>
          <w:docGrid w:linePitch="326"/>
        </w:sectPr>
      </w:pPr>
      <w:bookmarkStart w:id="82" w:name="_Toc492656476"/>
      <w:r>
        <w:lastRenderedPageBreak/>
        <w:t>Chapter 4—Management of human resources</w:t>
      </w:r>
      <w:bookmarkEnd w:id="82"/>
    </w:p>
    <w:p w:rsidR="00AD4488" w:rsidRPr="00CC0035" w:rsidRDefault="00AD4488" w:rsidP="00AD4488">
      <w:pPr>
        <w:pStyle w:val="Head3"/>
      </w:pPr>
      <w:bookmarkStart w:id="83" w:name="_Toc492656477"/>
      <w:r w:rsidRPr="00CC0035">
        <w:lastRenderedPageBreak/>
        <w:t>Survey of OPC staff</w:t>
      </w:r>
      <w:bookmarkEnd w:id="83"/>
    </w:p>
    <w:p w:rsidR="00CC0035" w:rsidRPr="00203E14" w:rsidRDefault="00AD4488" w:rsidP="00AD4488">
      <w:pPr>
        <w:pStyle w:val="BodyNum"/>
      </w:pPr>
      <w:bookmarkStart w:id="84" w:name="_Ref175720763"/>
      <w:r w:rsidRPr="00CC0035">
        <w:t xml:space="preserve">During May and June </w:t>
      </w:r>
      <w:r w:rsidR="00CC0035" w:rsidRPr="00CC0035">
        <w:t>201</w:t>
      </w:r>
      <w:r w:rsidR="00F62082">
        <w:t>7</w:t>
      </w:r>
      <w:r w:rsidRPr="00CC0035">
        <w:t xml:space="preserve"> the Australian Public Service Commission (</w:t>
      </w:r>
      <w:proofErr w:type="spellStart"/>
      <w:r w:rsidRPr="00CC0035">
        <w:rPr>
          <w:b/>
          <w:i/>
        </w:rPr>
        <w:t>APSC</w:t>
      </w:r>
      <w:proofErr w:type="spellEnd"/>
      <w:r w:rsidRPr="00CC0035">
        <w:t>) conducted the 201</w:t>
      </w:r>
      <w:r w:rsidR="00F62082">
        <w:t>7</w:t>
      </w:r>
      <w:r w:rsidRPr="00CC0035">
        <w:t xml:space="preserve"> State of the Service Employee Census. </w:t>
      </w:r>
      <w:r w:rsidR="00203E14" w:rsidRPr="00203E14">
        <w:t>Seventy four</w:t>
      </w:r>
      <w:r w:rsidRPr="00203E14">
        <w:t xml:space="preserve"> per cent of OPC st</w:t>
      </w:r>
      <w:r w:rsidR="00CC0035" w:rsidRPr="00203E14">
        <w:t>aff participated in the survey</w:t>
      </w:r>
      <w:r w:rsidR="00D557CE" w:rsidRPr="00203E14">
        <w:t xml:space="preserve"> ensuring that the results that </w:t>
      </w:r>
      <w:r w:rsidR="00AF06EF" w:rsidRPr="00203E14">
        <w:t>we</w:t>
      </w:r>
      <w:r w:rsidR="00D557CE" w:rsidRPr="00203E14">
        <w:t xml:space="preserve"> obtained were representative</w:t>
      </w:r>
      <w:r w:rsidR="00CC0035" w:rsidRPr="00203E14">
        <w:t>.</w:t>
      </w:r>
    </w:p>
    <w:p w:rsidR="007B7A1A" w:rsidRPr="00203E14" w:rsidRDefault="00E643A6" w:rsidP="00AD4488">
      <w:pPr>
        <w:pStyle w:val="BodyNum"/>
      </w:pPr>
      <w:r w:rsidRPr="00203E14">
        <w:t xml:space="preserve">Overall </w:t>
      </w:r>
      <w:proofErr w:type="spellStart"/>
      <w:r w:rsidRPr="00203E14">
        <w:t>OPC’s</w:t>
      </w:r>
      <w:proofErr w:type="spellEnd"/>
      <w:r w:rsidRPr="00203E14">
        <w:t xml:space="preserve"> results for 201</w:t>
      </w:r>
      <w:r w:rsidR="00203E14" w:rsidRPr="00203E14">
        <w:t>7</w:t>
      </w:r>
      <w:r w:rsidRPr="00203E14">
        <w:t xml:space="preserve"> were </w:t>
      </w:r>
      <w:r w:rsidR="00791A08" w:rsidRPr="00203E14">
        <w:t xml:space="preserve">largely </w:t>
      </w:r>
      <w:r w:rsidRPr="00203E14">
        <w:t>consistent with the 201</w:t>
      </w:r>
      <w:r w:rsidR="00203E14" w:rsidRPr="00203E14">
        <w:t>6</w:t>
      </w:r>
      <w:r w:rsidR="00817117" w:rsidRPr="00203E14">
        <w:t xml:space="preserve"> results. There were some areas that </w:t>
      </w:r>
      <w:r w:rsidR="00AF06EF" w:rsidRPr="00203E14">
        <w:t>we</w:t>
      </w:r>
      <w:r w:rsidR="00817117" w:rsidRPr="00203E14">
        <w:t xml:space="preserve"> improved on and some areas where results were less positive. However,</w:t>
      </w:r>
      <w:r w:rsidRPr="00203E14">
        <w:t xml:space="preserve"> </w:t>
      </w:r>
      <w:r w:rsidR="00817117" w:rsidRPr="00203E14">
        <w:t>in nearly all areas the results were</w:t>
      </w:r>
      <w:r w:rsidRPr="00203E14">
        <w:t xml:space="preserve"> higher than the </w:t>
      </w:r>
      <w:r w:rsidR="00817117" w:rsidRPr="00203E14">
        <w:t xml:space="preserve">overall </w:t>
      </w:r>
      <w:r w:rsidR="0038537B">
        <w:t>Australian Public Service (</w:t>
      </w:r>
      <w:r w:rsidRPr="0038537B">
        <w:rPr>
          <w:b/>
          <w:i/>
        </w:rPr>
        <w:t>APS</w:t>
      </w:r>
      <w:r w:rsidR="0038537B">
        <w:t>)</w:t>
      </w:r>
      <w:r w:rsidRPr="00203E14">
        <w:t xml:space="preserve"> results for 201</w:t>
      </w:r>
      <w:r w:rsidR="00203E14" w:rsidRPr="00203E14">
        <w:t>7</w:t>
      </w:r>
      <w:r w:rsidR="007B7A1A" w:rsidRPr="00203E14">
        <w:t>.</w:t>
      </w:r>
    </w:p>
    <w:p w:rsidR="00AD4488" w:rsidRPr="00203E14" w:rsidRDefault="00CC0035" w:rsidP="007B7A1A">
      <w:pPr>
        <w:pStyle w:val="BodyNum"/>
      </w:pPr>
      <w:r w:rsidRPr="00203E14">
        <w:t xml:space="preserve">The reporting below </w:t>
      </w:r>
      <w:r w:rsidR="003207DE" w:rsidRPr="00203E14">
        <w:t>compares</w:t>
      </w:r>
      <w:r w:rsidRPr="00203E14">
        <w:t xml:space="preserve"> </w:t>
      </w:r>
      <w:proofErr w:type="spellStart"/>
      <w:r w:rsidRPr="00203E14">
        <w:t>OPC’s</w:t>
      </w:r>
      <w:proofErr w:type="spellEnd"/>
      <w:r w:rsidRPr="00203E14">
        <w:t xml:space="preserve"> </w:t>
      </w:r>
      <w:r w:rsidR="00DE6365" w:rsidRPr="00203E14">
        <w:t xml:space="preserve">results </w:t>
      </w:r>
      <w:r w:rsidR="000D19D6" w:rsidRPr="00203E14">
        <w:t xml:space="preserve">(from staff who responded to the survey) </w:t>
      </w:r>
      <w:r w:rsidR="00DE6365" w:rsidRPr="00203E14">
        <w:t xml:space="preserve">for </w:t>
      </w:r>
      <w:r w:rsidRPr="00203E14">
        <w:t>201</w:t>
      </w:r>
      <w:r w:rsidR="00203E14" w:rsidRPr="00203E14">
        <w:t>7</w:t>
      </w:r>
      <w:r w:rsidRPr="00203E14">
        <w:t xml:space="preserve"> to </w:t>
      </w:r>
      <w:proofErr w:type="spellStart"/>
      <w:r w:rsidRPr="00203E14">
        <w:t>OPC’s</w:t>
      </w:r>
      <w:proofErr w:type="spellEnd"/>
      <w:r w:rsidRPr="00203E14">
        <w:t xml:space="preserve"> results</w:t>
      </w:r>
      <w:r w:rsidR="00791A08" w:rsidRPr="00203E14">
        <w:t xml:space="preserve"> for 201</w:t>
      </w:r>
      <w:r w:rsidR="00203E14" w:rsidRPr="00203E14">
        <w:t>6</w:t>
      </w:r>
      <w:r w:rsidRPr="00203E14">
        <w:t xml:space="preserve">, and </w:t>
      </w:r>
      <w:r w:rsidR="00DE6365" w:rsidRPr="00203E14">
        <w:t xml:space="preserve">to the APS </w:t>
      </w:r>
      <w:r w:rsidRPr="00203E14">
        <w:t>results</w:t>
      </w:r>
      <w:r w:rsidR="00DE6365" w:rsidRPr="00203E14">
        <w:t xml:space="preserve"> for 201</w:t>
      </w:r>
      <w:r w:rsidR="00203E14" w:rsidRPr="00203E14">
        <w:t>7</w:t>
      </w:r>
      <w:r w:rsidR="00D43157" w:rsidRPr="00203E14">
        <w:t>.</w:t>
      </w:r>
      <w:r w:rsidR="007B7A1A" w:rsidRPr="00203E14">
        <w:t xml:space="preserve"> </w:t>
      </w:r>
      <w:r w:rsidR="00D43157" w:rsidRPr="00203E14">
        <w:t>W</w:t>
      </w:r>
      <w:r w:rsidR="007B7A1A" w:rsidRPr="00203E14">
        <w:t>here percentages</w:t>
      </w:r>
      <w:r w:rsidR="0051723C" w:rsidRPr="00203E14">
        <w:t>/scores</w:t>
      </w:r>
      <w:r w:rsidR="007B7A1A" w:rsidRPr="00203E14">
        <w:t xml:space="preserve"> are set out below, the result in bold is the OPC percentage</w:t>
      </w:r>
      <w:r w:rsidR="0051723C" w:rsidRPr="00203E14">
        <w:t>/score</w:t>
      </w:r>
      <w:r w:rsidR="007B7A1A" w:rsidRPr="00203E14">
        <w:t xml:space="preserve"> for 201</w:t>
      </w:r>
      <w:r w:rsidR="00203E14" w:rsidRPr="00203E14">
        <w:t>7</w:t>
      </w:r>
      <w:r w:rsidR="007B7A1A" w:rsidRPr="00203E14">
        <w:t>, the result in normal font is the OPC percentage</w:t>
      </w:r>
      <w:r w:rsidR="0051723C" w:rsidRPr="00203E14">
        <w:t>/score</w:t>
      </w:r>
      <w:r w:rsidR="007B7A1A" w:rsidRPr="00203E14">
        <w:t xml:space="preserve"> for 201</w:t>
      </w:r>
      <w:r w:rsidR="00203E14" w:rsidRPr="00203E14">
        <w:t>6</w:t>
      </w:r>
      <w:r w:rsidR="007B7A1A" w:rsidRPr="00203E14">
        <w:t xml:space="preserve"> and the result in italics is the APS percentage</w:t>
      </w:r>
      <w:r w:rsidR="0051723C" w:rsidRPr="00203E14">
        <w:t>/score</w:t>
      </w:r>
      <w:r w:rsidR="00D43157" w:rsidRPr="00203E14">
        <w:t xml:space="preserve"> for 201</w:t>
      </w:r>
      <w:r w:rsidR="00203E14" w:rsidRPr="00203E14">
        <w:t>7</w:t>
      </w:r>
      <w:r w:rsidR="007B7A1A" w:rsidRPr="00203E14">
        <w:t>.</w:t>
      </w:r>
    </w:p>
    <w:p w:rsidR="007B7A1A" w:rsidRPr="00203E14" w:rsidRDefault="007B7A1A" w:rsidP="007B7A1A">
      <w:pPr>
        <w:pStyle w:val="Head4"/>
      </w:pPr>
      <w:r w:rsidRPr="00203E14">
        <w:lastRenderedPageBreak/>
        <w:t>Working environment</w:t>
      </w:r>
    </w:p>
    <w:p w:rsidR="00817117" w:rsidRPr="001E17F6" w:rsidRDefault="00203E14" w:rsidP="00817117">
      <w:pPr>
        <w:pStyle w:val="BodyNum"/>
      </w:pPr>
      <w:r w:rsidRPr="001E17F6">
        <w:rPr>
          <w:b/>
        </w:rPr>
        <w:t>79</w:t>
      </w:r>
      <w:r w:rsidR="005D3518" w:rsidRPr="001E17F6">
        <w:rPr>
          <w:b/>
        </w:rPr>
        <w:t>%</w:t>
      </w:r>
      <w:r w:rsidR="005D3518" w:rsidRPr="001E17F6">
        <w:t xml:space="preserve"> of OPC </w:t>
      </w:r>
      <w:r w:rsidR="000D19D6" w:rsidRPr="001E17F6">
        <w:t>staff</w:t>
      </w:r>
      <w:r w:rsidR="005D3518" w:rsidRPr="001E17F6">
        <w:t xml:space="preserve"> agreed that they were proud to work at OPC (</w:t>
      </w:r>
      <w:r w:rsidR="009F6A06" w:rsidRPr="001E17F6">
        <w:t xml:space="preserve">compared to </w:t>
      </w:r>
      <w:r w:rsidRPr="001E17F6">
        <w:t>73</w:t>
      </w:r>
      <w:r w:rsidR="005D3518" w:rsidRPr="001E17F6">
        <w:t xml:space="preserve">% </w:t>
      </w:r>
      <w:r w:rsidR="006A4EAA" w:rsidRPr="001E17F6">
        <w:t>for OPC</w:t>
      </w:r>
      <w:r w:rsidR="00D824AB" w:rsidRPr="001E17F6">
        <w:t xml:space="preserve"> in 201</w:t>
      </w:r>
      <w:r w:rsidRPr="001E17F6">
        <w:t>6</w:t>
      </w:r>
      <w:r w:rsidR="009F6A06" w:rsidRPr="001E17F6">
        <w:t xml:space="preserve"> </w:t>
      </w:r>
      <w:r w:rsidR="005D3518" w:rsidRPr="001E17F6">
        <w:t xml:space="preserve">and </w:t>
      </w:r>
      <w:r w:rsidRPr="001E17F6">
        <w:rPr>
          <w:i/>
        </w:rPr>
        <w:t>70</w:t>
      </w:r>
      <w:r w:rsidR="009F6A06" w:rsidRPr="001E17F6">
        <w:rPr>
          <w:i/>
        </w:rPr>
        <w:t>%</w:t>
      </w:r>
      <w:r w:rsidR="009F6A06" w:rsidRPr="001E17F6">
        <w:t xml:space="preserve"> for the APS</w:t>
      </w:r>
      <w:r w:rsidR="006A4EAA" w:rsidRPr="001E17F6">
        <w:t xml:space="preserve"> in 201</w:t>
      </w:r>
      <w:r w:rsidRPr="001E17F6">
        <w:t>7</w:t>
      </w:r>
      <w:r w:rsidR="009F6A06" w:rsidRPr="001E17F6">
        <w:t>)</w:t>
      </w:r>
      <w:r w:rsidR="009C36E4" w:rsidRPr="001E17F6">
        <w:t xml:space="preserve">; and </w:t>
      </w:r>
      <w:r w:rsidR="00135990" w:rsidRPr="001E17F6">
        <w:rPr>
          <w:b/>
        </w:rPr>
        <w:t>8</w:t>
      </w:r>
      <w:r w:rsidR="001E17F6" w:rsidRPr="001E17F6">
        <w:rPr>
          <w:b/>
        </w:rPr>
        <w:t>5</w:t>
      </w:r>
      <w:r w:rsidR="009C36E4" w:rsidRPr="001E17F6">
        <w:rPr>
          <w:b/>
        </w:rPr>
        <w:t>%</w:t>
      </w:r>
      <w:r w:rsidR="009C36E4" w:rsidRPr="001E17F6">
        <w:t xml:space="preserve"> of OPC </w:t>
      </w:r>
      <w:r w:rsidR="000D19D6" w:rsidRPr="001E17F6">
        <w:t>staff</w:t>
      </w:r>
      <w:r w:rsidR="009C36E4" w:rsidRPr="001E17F6">
        <w:t xml:space="preserve"> were satisfied with their non-monetary employment conditions, such as leave</w:t>
      </w:r>
      <w:r w:rsidR="003207DE" w:rsidRPr="001E17F6">
        <w:t>,</w:t>
      </w:r>
      <w:r w:rsidR="009C36E4" w:rsidRPr="001E17F6">
        <w:t xml:space="preserve"> flexible work arrangements and other benefits (compared to </w:t>
      </w:r>
      <w:r w:rsidR="001E17F6" w:rsidRPr="001E17F6">
        <w:t>86</w:t>
      </w:r>
      <w:r w:rsidR="009C36E4" w:rsidRPr="001E17F6">
        <w:t>% for OPC</w:t>
      </w:r>
      <w:r w:rsidR="00D824AB" w:rsidRPr="001E17F6">
        <w:t xml:space="preserve"> in 201</w:t>
      </w:r>
      <w:r w:rsidR="001E17F6" w:rsidRPr="001E17F6">
        <w:t>6</w:t>
      </w:r>
      <w:r w:rsidR="009C36E4" w:rsidRPr="001E17F6">
        <w:t xml:space="preserve"> and </w:t>
      </w:r>
      <w:r w:rsidR="001E17F6" w:rsidRPr="001E17F6">
        <w:rPr>
          <w:i/>
        </w:rPr>
        <w:t>75</w:t>
      </w:r>
      <w:r w:rsidR="009C36E4" w:rsidRPr="001E17F6">
        <w:rPr>
          <w:i/>
        </w:rPr>
        <w:t>%</w:t>
      </w:r>
      <w:r w:rsidR="009C36E4" w:rsidRPr="001E17F6">
        <w:t xml:space="preserve"> for the APS in 201</w:t>
      </w:r>
      <w:r w:rsidR="001E17F6" w:rsidRPr="001E17F6">
        <w:t>7</w:t>
      </w:r>
      <w:r w:rsidR="009C36E4" w:rsidRPr="001E17F6">
        <w:t>)</w:t>
      </w:r>
      <w:r w:rsidR="009F6A06" w:rsidRPr="001E17F6">
        <w:t>.</w:t>
      </w:r>
    </w:p>
    <w:p w:rsidR="009F6A06" w:rsidRPr="00DC2CA4" w:rsidRDefault="009F6A06" w:rsidP="009F6A06">
      <w:pPr>
        <w:pStyle w:val="Head4"/>
      </w:pPr>
      <w:r w:rsidRPr="00DC2CA4">
        <w:t>Employee engagement</w:t>
      </w:r>
    </w:p>
    <w:p w:rsidR="005D3518" w:rsidRPr="00DC2CA4" w:rsidRDefault="0051723C" w:rsidP="005D3518">
      <w:pPr>
        <w:pStyle w:val="BodyNum"/>
      </w:pPr>
      <w:r w:rsidRPr="00DC2CA4">
        <w:t xml:space="preserve">Employee engagement </w:t>
      </w:r>
      <w:r w:rsidR="00FE5870" w:rsidRPr="00DC2CA4">
        <w:t xml:space="preserve">elements </w:t>
      </w:r>
      <w:r w:rsidR="006465DF" w:rsidRPr="00DC2CA4">
        <w:t>m</w:t>
      </w:r>
      <w:r w:rsidR="00FE5870" w:rsidRPr="00DC2CA4">
        <w:t>easure</w:t>
      </w:r>
      <w:r w:rsidR="006465DF" w:rsidRPr="00DC2CA4">
        <w:t xml:space="preserve"> the relationship staff have with</w:t>
      </w:r>
      <w:r w:rsidRPr="00DC2CA4">
        <w:t xml:space="preserve"> 4 </w:t>
      </w:r>
      <w:r w:rsidR="006465DF" w:rsidRPr="00DC2CA4">
        <w:t>dimensions of their work</w:t>
      </w:r>
      <w:r w:rsidRPr="00DC2CA4">
        <w:t xml:space="preserve">: the job they do; the team </w:t>
      </w:r>
      <w:r w:rsidR="006465DF" w:rsidRPr="00DC2CA4">
        <w:t>they work with</w:t>
      </w:r>
      <w:r w:rsidRPr="00DC2CA4">
        <w:t>; their immediate supervisor; and</w:t>
      </w:r>
      <w:r w:rsidR="006465DF" w:rsidRPr="00DC2CA4">
        <w:t xml:space="preserve"> the agency they work for</w:t>
      </w:r>
      <w:r w:rsidRPr="00DC2CA4">
        <w:t>. The levels of staff engagement in OPC for 201</w:t>
      </w:r>
      <w:r w:rsidR="00E5632D" w:rsidRPr="00DC2CA4">
        <w:t>7</w:t>
      </w:r>
      <w:r w:rsidRPr="00DC2CA4">
        <w:t xml:space="preserve"> were</w:t>
      </w:r>
      <w:r w:rsidR="006465DF" w:rsidRPr="00DC2CA4">
        <w:t xml:space="preserve"> </w:t>
      </w:r>
      <w:r w:rsidRPr="00DC2CA4">
        <w:t>similar to those for the previous year</w:t>
      </w:r>
      <w:r w:rsidR="00DA3B8A" w:rsidRPr="00DC2CA4">
        <w:t xml:space="preserve"> and higher than the APS results across </w:t>
      </w:r>
      <w:r w:rsidR="00105644" w:rsidRPr="00DC2CA4">
        <w:t>most</w:t>
      </w:r>
      <w:r w:rsidR="00DA3B8A" w:rsidRPr="00DC2CA4">
        <w:t xml:space="preserve"> areas</w:t>
      </w:r>
      <w:r w:rsidR="00105644" w:rsidRPr="00DC2CA4">
        <w:t xml:space="preserve">. The one exception was </w:t>
      </w:r>
      <w:r w:rsidR="00957939">
        <w:t xml:space="preserve">immediate </w:t>
      </w:r>
      <w:r w:rsidR="006465DF" w:rsidRPr="00DC2CA4">
        <w:t>supervisor</w:t>
      </w:r>
      <w:r w:rsidR="00FF5965" w:rsidRPr="00DC2CA4">
        <w:t xml:space="preserve"> engagement where the results for </w:t>
      </w:r>
      <w:r w:rsidR="00105644" w:rsidRPr="00DC2CA4">
        <w:t xml:space="preserve">OPC in </w:t>
      </w:r>
      <w:r w:rsidR="00FF5965" w:rsidRPr="00DC2CA4">
        <w:t>201</w:t>
      </w:r>
      <w:r w:rsidR="00E5632D" w:rsidRPr="00DC2CA4">
        <w:t>7</w:t>
      </w:r>
      <w:r w:rsidR="00FF5965" w:rsidRPr="00DC2CA4">
        <w:t xml:space="preserve"> were </w:t>
      </w:r>
      <w:r w:rsidR="006465DF" w:rsidRPr="00DC2CA4">
        <w:t>lower</w:t>
      </w:r>
      <w:r w:rsidR="00DA3B8A" w:rsidRPr="00DC2CA4">
        <w:t xml:space="preserve"> than</w:t>
      </w:r>
      <w:r w:rsidR="00FE5870" w:rsidRPr="00DC2CA4">
        <w:t xml:space="preserve"> </w:t>
      </w:r>
      <w:r w:rsidR="00B626AA" w:rsidRPr="00DC2CA4">
        <w:t xml:space="preserve">the results for </w:t>
      </w:r>
      <w:r w:rsidR="00105644" w:rsidRPr="00DC2CA4">
        <w:t>the APS</w:t>
      </w:r>
      <w:r w:rsidR="00B626AA" w:rsidRPr="00DC2CA4">
        <w:t xml:space="preserve"> in</w:t>
      </w:r>
      <w:r w:rsidR="00105644" w:rsidRPr="00DC2CA4">
        <w:t xml:space="preserve"> </w:t>
      </w:r>
      <w:r w:rsidR="00B626AA" w:rsidRPr="00DC2CA4">
        <w:t>201</w:t>
      </w:r>
      <w:r w:rsidR="00E5632D" w:rsidRPr="00DC2CA4">
        <w:t>7</w:t>
      </w:r>
      <w:r w:rsidR="00DA3B8A" w:rsidRPr="00DC2CA4">
        <w:t>.</w:t>
      </w:r>
    </w:p>
    <w:p w:rsidR="006A4EAA" w:rsidRPr="00941455" w:rsidRDefault="006A4EAA" w:rsidP="005D3518">
      <w:pPr>
        <w:pStyle w:val="BodyNum"/>
      </w:pPr>
      <w:r w:rsidRPr="00941455">
        <w:t>Across the 4 areas, OPC</w:t>
      </w:r>
      <w:r w:rsidR="00066B66" w:rsidRPr="00941455">
        <w:t xml:space="preserve"> staff</w:t>
      </w:r>
      <w:r w:rsidRPr="00941455">
        <w:t xml:space="preserve"> rated</w:t>
      </w:r>
      <w:r w:rsidR="004F1EAF" w:rsidRPr="00941455">
        <w:t xml:space="preserve"> engagement elements positively</w:t>
      </w:r>
      <w:r w:rsidRPr="00941455">
        <w:t xml:space="preserve"> </w:t>
      </w:r>
      <w:r w:rsidR="004F1EAF" w:rsidRPr="00941455">
        <w:t>(</w:t>
      </w:r>
      <w:r w:rsidRPr="00941455">
        <w:t xml:space="preserve">between </w:t>
      </w:r>
      <w:r w:rsidR="00E5632D" w:rsidRPr="00941455">
        <w:rPr>
          <w:b/>
        </w:rPr>
        <w:t>55</w:t>
      </w:r>
      <w:r w:rsidR="00066B66" w:rsidRPr="00941455">
        <w:rPr>
          <w:b/>
        </w:rPr>
        <w:t>%</w:t>
      </w:r>
      <w:r w:rsidRPr="00941455">
        <w:t xml:space="preserve"> and </w:t>
      </w:r>
      <w:r w:rsidR="00E5632D" w:rsidRPr="00941455">
        <w:rPr>
          <w:b/>
        </w:rPr>
        <w:t>91</w:t>
      </w:r>
      <w:r w:rsidR="00066B66" w:rsidRPr="00941455">
        <w:rPr>
          <w:b/>
        </w:rPr>
        <w:t>%</w:t>
      </w:r>
      <w:r w:rsidR="00874B63" w:rsidRPr="00941455">
        <w:t>,</w:t>
      </w:r>
      <w:r w:rsidR="004F1EAF" w:rsidRPr="00941455">
        <w:t xml:space="preserve"> </w:t>
      </w:r>
      <w:r w:rsidR="00BA13DA" w:rsidRPr="00941455">
        <w:lastRenderedPageBreak/>
        <w:t>compared to</w:t>
      </w:r>
      <w:r w:rsidR="00FE5870" w:rsidRPr="00941455">
        <w:t xml:space="preserve"> between</w:t>
      </w:r>
      <w:r w:rsidR="00BA13DA" w:rsidRPr="00941455">
        <w:t xml:space="preserve"> </w:t>
      </w:r>
      <w:r w:rsidR="00E5632D" w:rsidRPr="00941455">
        <w:t>50</w:t>
      </w:r>
      <w:r w:rsidR="00066B66" w:rsidRPr="00941455">
        <w:t>%</w:t>
      </w:r>
      <w:r w:rsidR="00BA13DA" w:rsidRPr="00941455">
        <w:t xml:space="preserve"> and </w:t>
      </w:r>
      <w:r w:rsidR="00E5632D" w:rsidRPr="00941455">
        <w:t>87</w:t>
      </w:r>
      <w:r w:rsidR="00066B66" w:rsidRPr="00941455">
        <w:t>%</w:t>
      </w:r>
      <w:r w:rsidR="00BA13DA" w:rsidRPr="00941455">
        <w:t xml:space="preserve"> for OPC</w:t>
      </w:r>
      <w:r w:rsidR="00DF1729" w:rsidRPr="00941455">
        <w:t xml:space="preserve"> in 201</w:t>
      </w:r>
      <w:r w:rsidR="00E5632D" w:rsidRPr="00941455">
        <w:t>6</w:t>
      </w:r>
      <w:r w:rsidR="00BA13DA" w:rsidRPr="00941455">
        <w:t>,</w:t>
      </w:r>
      <w:r w:rsidRPr="00941455">
        <w:t xml:space="preserve"> and</w:t>
      </w:r>
      <w:r w:rsidR="00FE5870" w:rsidRPr="00941455">
        <w:t xml:space="preserve"> between</w:t>
      </w:r>
      <w:r w:rsidRPr="00941455">
        <w:t xml:space="preserve"> </w:t>
      </w:r>
      <w:r w:rsidR="00066B66" w:rsidRPr="00941455">
        <w:rPr>
          <w:i/>
        </w:rPr>
        <w:t>4</w:t>
      </w:r>
      <w:r w:rsidR="00DA3B8A" w:rsidRPr="00941455">
        <w:rPr>
          <w:i/>
        </w:rPr>
        <w:t>1</w:t>
      </w:r>
      <w:r w:rsidR="00066B66" w:rsidRPr="00941455">
        <w:rPr>
          <w:i/>
        </w:rPr>
        <w:t>%</w:t>
      </w:r>
      <w:r w:rsidRPr="00941455">
        <w:t xml:space="preserve"> and </w:t>
      </w:r>
      <w:r w:rsidR="00066B66" w:rsidRPr="00941455">
        <w:rPr>
          <w:i/>
        </w:rPr>
        <w:t>8</w:t>
      </w:r>
      <w:r w:rsidR="00DA3B8A" w:rsidRPr="00941455">
        <w:rPr>
          <w:i/>
        </w:rPr>
        <w:t>1</w:t>
      </w:r>
      <w:r w:rsidR="00066B66" w:rsidRPr="00941455">
        <w:rPr>
          <w:i/>
        </w:rPr>
        <w:t>%</w:t>
      </w:r>
      <w:r w:rsidRPr="00941455">
        <w:t xml:space="preserve"> for the APS in 201</w:t>
      </w:r>
      <w:r w:rsidR="00941455" w:rsidRPr="00941455">
        <w:t>7</w:t>
      </w:r>
      <w:r w:rsidRPr="00941455">
        <w:t>).</w:t>
      </w:r>
    </w:p>
    <w:p w:rsidR="00FE3E1C" w:rsidRPr="00DC2CA4" w:rsidRDefault="00FE3E1C" w:rsidP="00FE3E1C">
      <w:pPr>
        <w:pStyle w:val="Head4"/>
      </w:pPr>
      <w:r w:rsidRPr="00DC2CA4">
        <w:t>Learning and development</w:t>
      </w:r>
    </w:p>
    <w:p w:rsidR="00FE3E1C" w:rsidRPr="00DC2CA4" w:rsidRDefault="00DC2CA4" w:rsidP="005D3518">
      <w:pPr>
        <w:pStyle w:val="BodyNum"/>
      </w:pPr>
      <w:r w:rsidRPr="00DC2CA4">
        <w:rPr>
          <w:b/>
        </w:rPr>
        <w:t>91</w:t>
      </w:r>
      <w:r w:rsidR="00FE3E1C" w:rsidRPr="00DC2CA4">
        <w:rPr>
          <w:b/>
        </w:rPr>
        <w:t>%</w:t>
      </w:r>
      <w:r w:rsidR="00FE3E1C" w:rsidRPr="00DC2CA4">
        <w:t xml:space="preserve"> of OPC </w:t>
      </w:r>
      <w:r w:rsidR="000D19D6" w:rsidRPr="00DC2CA4">
        <w:t>staff</w:t>
      </w:r>
      <w:r w:rsidR="00FE3E1C" w:rsidRPr="00DC2CA4">
        <w:t xml:space="preserve"> were satisfied with access to eff</w:t>
      </w:r>
      <w:r w:rsidR="002E30EA" w:rsidRPr="00DC2CA4">
        <w:t>ective learning and development</w:t>
      </w:r>
      <w:r w:rsidR="000E6860" w:rsidRPr="00DC2CA4">
        <w:t xml:space="preserve"> (compared to </w:t>
      </w:r>
      <w:r w:rsidRPr="00DC2CA4">
        <w:t>78</w:t>
      </w:r>
      <w:r w:rsidR="00FE3E1C" w:rsidRPr="00DC2CA4">
        <w:t>% for OPC</w:t>
      </w:r>
      <w:r w:rsidR="000E6860" w:rsidRPr="00DC2CA4">
        <w:t xml:space="preserve"> in 201</w:t>
      </w:r>
      <w:r w:rsidRPr="00DC2CA4">
        <w:t>6</w:t>
      </w:r>
      <w:r w:rsidR="00FE3E1C" w:rsidRPr="00DC2CA4">
        <w:t xml:space="preserve"> and </w:t>
      </w:r>
      <w:r w:rsidR="000E6860" w:rsidRPr="00DC2CA4">
        <w:rPr>
          <w:i/>
        </w:rPr>
        <w:t>6</w:t>
      </w:r>
      <w:r w:rsidRPr="00DC2CA4">
        <w:rPr>
          <w:i/>
        </w:rPr>
        <w:t>4</w:t>
      </w:r>
      <w:r w:rsidR="00FE3E1C" w:rsidRPr="00DC2CA4">
        <w:rPr>
          <w:i/>
        </w:rPr>
        <w:t>%</w:t>
      </w:r>
      <w:r w:rsidR="00FE3E1C" w:rsidRPr="00DC2CA4">
        <w:t xml:space="preserve"> for the APS</w:t>
      </w:r>
      <w:r w:rsidR="00066B66" w:rsidRPr="00DC2CA4">
        <w:t xml:space="preserve"> in 201</w:t>
      </w:r>
      <w:r w:rsidRPr="00DC2CA4">
        <w:t>7</w:t>
      </w:r>
      <w:r w:rsidR="000E6860" w:rsidRPr="00DC2CA4">
        <w:t>)</w:t>
      </w:r>
      <w:r w:rsidR="00FE3E1C" w:rsidRPr="00DC2CA4">
        <w:t>.</w:t>
      </w:r>
    </w:p>
    <w:p w:rsidR="00F15D4F" w:rsidRPr="00DC2CA4" w:rsidRDefault="0063001B" w:rsidP="00F15D4F">
      <w:pPr>
        <w:pStyle w:val="Head4"/>
      </w:pPr>
      <w:r>
        <w:t>Senior l</w:t>
      </w:r>
      <w:r w:rsidR="00F15D4F" w:rsidRPr="00DC2CA4">
        <w:t>eadership</w:t>
      </w:r>
      <w:r>
        <w:t xml:space="preserve"> (SES) and </w:t>
      </w:r>
      <w:r w:rsidR="00957939">
        <w:t xml:space="preserve">immediate </w:t>
      </w:r>
      <w:r w:rsidR="00F15D4F" w:rsidRPr="00DC2CA4">
        <w:t>supervisors</w:t>
      </w:r>
    </w:p>
    <w:p w:rsidR="00AC33CA" w:rsidRPr="00133743" w:rsidRDefault="00AC33CA" w:rsidP="005D3518">
      <w:pPr>
        <w:pStyle w:val="BodyNum"/>
      </w:pPr>
      <w:r w:rsidRPr="00133743">
        <w:t xml:space="preserve">For the 2017 survey, </w:t>
      </w:r>
      <w:r w:rsidR="0063001B" w:rsidRPr="00133743">
        <w:t xml:space="preserve">there was a change in wording for most questions about the SES and </w:t>
      </w:r>
      <w:r w:rsidR="004A0FDE">
        <w:t xml:space="preserve">immediate </w:t>
      </w:r>
      <w:r w:rsidR="0063001B" w:rsidRPr="00133743">
        <w:t>supervisors. This has meant that the results for 2017 are not all comparable to the 2016 results.</w:t>
      </w:r>
    </w:p>
    <w:p w:rsidR="0063001B" w:rsidRPr="004A0FDE" w:rsidRDefault="0028215A" w:rsidP="005D3518">
      <w:pPr>
        <w:pStyle w:val="BodyNum"/>
      </w:pPr>
      <w:r w:rsidRPr="00133743">
        <w:t xml:space="preserve">For the questions that </w:t>
      </w:r>
      <w:r w:rsidR="004A0FDE">
        <w:t>were</w:t>
      </w:r>
      <w:r w:rsidRPr="00133743">
        <w:t xml:space="preserve"> comparable </w:t>
      </w:r>
      <w:r w:rsidR="00133743" w:rsidRPr="00133743">
        <w:t>to</w:t>
      </w:r>
      <w:r w:rsidRPr="00133743">
        <w:t xml:space="preserve"> </w:t>
      </w:r>
      <w:r w:rsidR="006571A6" w:rsidRPr="00133743">
        <w:t xml:space="preserve">the </w:t>
      </w:r>
      <w:r w:rsidR="00133743" w:rsidRPr="00133743">
        <w:t>2016</w:t>
      </w:r>
      <w:r w:rsidRPr="00133743">
        <w:t xml:space="preserve"> </w:t>
      </w:r>
      <w:r w:rsidR="006571A6" w:rsidRPr="00133743">
        <w:t xml:space="preserve">survey, </w:t>
      </w:r>
      <w:r w:rsidRPr="00133743">
        <w:t>OPC staff agreed that the SES in OPC are of a high quality (</w:t>
      </w:r>
      <w:r w:rsidRPr="00133743">
        <w:rPr>
          <w:b/>
        </w:rPr>
        <w:t>82%</w:t>
      </w:r>
      <w:r w:rsidRPr="00133743">
        <w:t xml:space="preserve">, 83% and </w:t>
      </w:r>
      <w:r w:rsidRPr="00133743">
        <w:rPr>
          <w:i/>
        </w:rPr>
        <w:t>48%</w:t>
      </w:r>
      <w:r w:rsidRPr="00133743">
        <w:t>); the SES are sufficiently visible (</w:t>
      </w:r>
      <w:r w:rsidRPr="00133743">
        <w:rPr>
          <w:b/>
        </w:rPr>
        <w:t>84%</w:t>
      </w:r>
      <w:r w:rsidRPr="00133743">
        <w:t xml:space="preserve">, 83% and </w:t>
      </w:r>
      <w:r w:rsidRPr="00133743">
        <w:rPr>
          <w:i/>
        </w:rPr>
        <w:t>46%</w:t>
      </w:r>
      <w:r w:rsidRPr="00133743">
        <w:t xml:space="preserve">); and communication between the SES and other employees is </w:t>
      </w:r>
      <w:r w:rsidRPr="004A0FDE">
        <w:t>effective (</w:t>
      </w:r>
      <w:r w:rsidRPr="004A0FDE">
        <w:rPr>
          <w:b/>
        </w:rPr>
        <w:t>68%</w:t>
      </w:r>
      <w:r w:rsidRPr="004A0FDE">
        <w:t xml:space="preserve">, </w:t>
      </w:r>
      <w:r w:rsidR="006571A6" w:rsidRPr="004A0FDE">
        <w:t xml:space="preserve">75% and </w:t>
      </w:r>
      <w:r w:rsidR="006571A6" w:rsidRPr="004A0FDE">
        <w:rPr>
          <w:i/>
        </w:rPr>
        <w:t>40%</w:t>
      </w:r>
      <w:r w:rsidR="006571A6" w:rsidRPr="004A0FDE">
        <w:t>).</w:t>
      </w:r>
    </w:p>
    <w:p w:rsidR="00F15D4F" w:rsidRPr="004A0FDE" w:rsidRDefault="00133743" w:rsidP="005D3518">
      <w:pPr>
        <w:pStyle w:val="BodyNum"/>
      </w:pPr>
      <w:r w:rsidRPr="004A0FDE">
        <w:t xml:space="preserve">In 2017, </w:t>
      </w:r>
      <w:r w:rsidR="003E12A7" w:rsidRPr="004A0FDE">
        <w:t>OPC staff were less satisfied with their immediate supervisor compared with the APS results for 2017</w:t>
      </w:r>
      <w:r w:rsidR="001D2E9F">
        <w:t xml:space="preserve"> for responses to all questions asked</w:t>
      </w:r>
      <w:r w:rsidR="003E12A7" w:rsidRPr="004A0FDE">
        <w:t xml:space="preserve">. For the questions </w:t>
      </w:r>
      <w:r w:rsidR="003E12A7" w:rsidRPr="004A0FDE">
        <w:lastRenderedPageBreak/>
        <w:t xml:space="preserve">that were </w:t>
      </w:r>
      <w:r w:rsidR="001D2E9F">
        <w:t xml:space="preserve">comparable to </w:t>
      </w:r>
      <w:r w:rsidR="004A0FDE">
        <w:t xml:space="preserve">the </w:t>
      </w:r>
      <w:r w:rsidR="003E12A7" w:rsidRPr="004A0FDE">
        <w:t xml:space="preserve">2016 survey, </w:t>
      </w:r>
      <w:proofErr w:type="spellStart"/>
      <w:r w:rsidR="001D2E9F">
        <w:t>OPC’s</w:t>
      </w:r>
      <w:proofErr w:type="spellEnd"/>
      <w:r w:rsidR="001D2E9F">
        <w:t xml:space="preserve"> </w:t>
      </w:r>
      <w:r w:rsidR="003E12A7" w:rsidRPr="004A0FDE">
        <w:t>results</w:t>
      </w:r>
      <w:r w:rsidR="001D2E9F">
        <w:t xml:space="preserve"> for 2017</w:t>
      </w:r>
      <w:r w:rsidRPr="004A0FDE">
        <w:t xml:space="preserve"> were largely consistent with </w:t>
      </w:r>
      <w:proofErr w:type="spellStart"/>
      <w:r w:rsidRPr="004A0FDE">
        <w:t>OPC</w:t>
      </w:r>
      <w:r w:rsidR="001D2E9F">
        <w:t>’s</w:t>
      </w:r>
      <w:proofErr w:type="spellEnd"/>
      <w:r w:rsidRPr="004A0FDE">
        <w:t xml:space="preserve"> results </w:t>
      </w:r>
      <w:r w:rsidR="004A0FDE">
        <w:t>for</w:t>
      </w:r>
      <w:r w:rsidRPr="004A0FDE">
        <w:t xml:space="preserve"> 2016 </w:t>
      </w:r>
      <w:r w:rsidR="00214C23" w:rsidRPr="004A0FDE">
        <w:t xml:space="preserve">(between: </w:t>
      </w:r>
      <w:r w:rsidR="003E12A7" w:rsidRPr="004A0FDE">
        <w:rPr>
          <w:b/>
        </w:rPr>
        <w:t>53</w:t>
      </w:r>
      <w:r w:rsidR="00214C23" w:rsidRPr="004A0FDE">
        <w:rPr>
          <w:b/>
        </w:rPr>
        <w:t>%</w:t>
      </w:r>
      <w:r w:rsidR="00214C23" w:rsidRPr="004A0FDE">
        <w:t xml:space="preserve"> and</w:t>
      </w:r>
      <w:r w:rsidRPr="004A0FDE">
        <w:rPr>
          <w:b/>
        </w:rPr>
        <w:t xml:space="preserve"> 79%</w:t>
      </w:r>
      <w:r w:rsidR="00214C23" w:rsidRPr="004A0FDE">
        <w:t xml:space="preserve">; </w:t>
      </w:r>
      <w:r w:rsidRPr="004A0FDE">
        <w:t>54</w:t>
      </w:r>
      <w:r w:rsidR="00214C23" w:rsidRPr="004A0FDE">
        <w:t xml:space="preserve">% and </w:t>
      </w:r>
      <w:r w:rsidR="00656C0D" w:rsidRPr="004A0FDE">
        <w:t>8</w:t>
      </w:r>
      <w:r w:rsidRPr="004A0FDE">
        <w:t>2</w:t>
      </w:r>
      <w:r w:rsidR="00214C23" w:rsidRPr="004A0FDE">
        <w:t xml:space="preserve">%; and </w:t>
      </w:r>
      <w:r w:rsidRPr="004A0FDE">
        <w:rPr>
          <w:i/>
        </w:rPr>
        <w:t>72</w:t>
      </w:r>
      <w:r w:rsidR="00214C23" w:rsidRPr="004A0FDE">
        <w:rPr>
          <w:i/>
        </w:rPr>
        <w:t>%</w:t>
      </w:r>
      <w:r w:rsidR="00214C23" w:rsidRPr="004A0FDE">
        <w:t xml:space="preserve"> and </w:t>
      </w:r>
      <w:r w:rsidRPr="004A0FDE">
        <w:rPr>
          <w:i/>
        </w:rPr>
        <w:t>89</w:t>
      </w:r>
      <w:r w:rsidR="00214C23" w:rsidRPr="004A0FDE">
        <w:rPr>
          <w:i/>
        </w:rPr>
        <w:t>%</w:t>
      </w:r>
      <w:r w:rsidR="00214C23" w:rsidRPr="004A0FDE">
        <w:t>).</w:t>
      </w:r>
    </w:p>
    <w:p w:rsidR="00196A95" w:rsidRPr="000C7A07" w:rsidRDefault="006F3F5C" w:rsidP="00196A95">
      <w:pPr>
        <w:pStyle w:val="Head4"/>
      </w:pPr>
      <w:r w:rsidRPr="000C7A07">
        <w:t>Health, safety</w:t>
      </w:r>
      <w:r w:rsidR="001D3D25" w:rsidRPr="000C7A07">
        <w:t xml:space="preserve"> and wellbeing</w:t>
      </w:r>
    </w:p>
    <w:p w:rsidR="006F7FD4" w:rsidRPr="000C7A07" w:rsidRDefault="004A0FDE" w:rsidP="005D3518">
      <w:pPr>
        <w:pStyle w:val="BodyNum"/>
      </w:pPr>
      <w:r>
        <w:t>An</w:t>
      </w:r>
      <w:r w:rsidR="00D557CE" w:rsidRPr="000C7A07">
        <w:t xml:space="preserve"> area where the results </w:t>
      </w:r>
      <w:r w:rsidR="00BA13DA" w:rsidRPr="000C7A07">
        <w:t>were</w:t>
      </w:r>
      <w:r w:rsidR="00D557CE" w:rsidRPr="000C7A07">
        <w:t xml:space="preserve"> </w:t>
      </w:r>
      <w:r w:rsidR="009C60D6" w:rsidRPr="000C7A07">
        <w:t>very</w:t>
      </w:r>
      <w:r w:rsidR="00D557CE" w:rsidRPr="000C7A07">
        <w:t xml:space="preserve"> pleasing </w:t>
      </w:r>
      <w:r w:rsidR="00004AB1" w:rsidRPr="000C7A07">
        <w:t>was</w:t>
      </w:r>
      <w:r w:rsidR="00D557CE" w:rsidRPr="000C7A07">
        <w:t xml:space="preserve"> employee attitudes to health, safety and wel</w:t>
      </w:r>
      <w:r w:rsidR="00471088" w:rsidRPr="000C7A07">
        <w:t xml:space="preserve">lbeing in the workplace. This area </w:t>
      </w:r>
      <w:r w:rsidR="009C60D6" w:rsidRPr="000C7A07">
        <w:t xml:space="preserve">has been a </w:t>
      </w:r>
      <w:r w:rsidR="00471088" w:rsidRPr="000C7A07">
        <w:t>particul</w:t>
      </w:r>
      <w:r w:rsidR="009C60D6" w:rsidRPr="000C7A07">
        <w:t>ar focus for OPC during 2016-</w:t>
      </w:r>
      <w:r>
        <w:t>20</w:t>
      </w:r>
      <w:r w:rsidR="009C60D6" w:rsidRPr="000C7A07">
        <w:t>17</w:t>
      </w:r>
      <w:r w:rsidR="00E46572">
        <w:t>.</w:t>
      </w:r>
    </w:p>
    <w:p w:rsidR="002D3AB9" w:rsidRPr="000C7A07" w:rsidRDefault="00D557CE" w:rsidP="005D3518">
      <w:pPr>
        <w:pStyle w:val="BodyNum"/>
      </w:pPr>
      <w:r w:rsidRPr="000C7A07">
        <w:t>In 201</w:t>
      </w:r>
      <w:r w:rsidR="009C60D6" w:rsidRPr="000C7A07">
        <w:t>7</w:t>
      </w:r>
      <w:r w:rsidRPr="000C7A07">
        <w:t>, OPC staff agreed that</w:t>
      </w:r>
      <w:r w:rsidR="00C72BE6" w:rsidRPr="000C7A07">
        <w:t>:</w:t>
      </w:r>
      <w:r w:rsidR="00004AB1" w:rsidRPr="000C7A07">
        <w:t xml:space="preserve"> the people in their work</w:t>
      </w:r>
      <w:r w:rsidRPr="000C7A07">
        <w:t>group were committed to workplace safety (</w:t>
      </w:r>
      <w:r w:rsidR="00C72BE6" w:rsidRPr="000C7A07">
        <w:rPr>
          <w:b/>
        </w:rPr>
        <w:t>8</w:t>
      </w:r>
      <w:r w:rsidR="00DA3B8A" w:rsidRPr="000C7A07">
        <w:rPr>
          <w:b/>
        </w:rPr>
        <w:t>1</w:t>
      </w:r>
      <w:r w:rsidR="00C72BE6" w:rsidRPr="000C7A07">
        <w:rPr>
          <w:b/>
        </w:rPr>
        <w:t>%</w:t>
      </w:r>
      <w:r w:rsidR="00C72BE6" w:rsidRPr="000C7A07">
        <w:t xml:space="preserve">, </w:t>
      </w:r>
      <w:r w:rsidR="00754ABB" w:rsidRPr="000C7A07">
        <w:t>81</w:t>
      </w:r>
      <w:r w:rsidR="00C72BE6" w:rsidRPr="000C7A07">
        <w:t xml:space="preserve">% and </w:t>
      </w:r>
      <w:r w:rsidR="00754ABB" w:rsidRPr="000C7A07">
        <w:rPr>
          <w:i/>
        </w:rPr>
        <w:t>85</w:t>
      </w:r>
      <w:r w:rsidR="00C72BE6" w:rsidRPr="000C7A07">
        <w:rPr>
          <w:i/>
        </w:rPr>
        <w:t>%</w:t>
      </w:r>
      <w:r w:rsidR="00C72BE6" w:rsidRPr="000C7A07">
        <w:t xml:space="preserve">); </w:t>
      </w:r>
      <w:r w:rsidR="002A6931" w:rsidRPr="000C7A07">
        <w:t>OPC</w:t>
      </w:r>
      <w:r w:rsidR="009C60D6" w:rsidRPr="000C7A07">
        <w:t xml:space="preserve"> cares about employees health</w:t>
      </w:r>
      <w:r w:rsidR="002D3AB9" w:rsidRPr="000C7A07">
        <w:t xml:space="preserve"> and </w:t>
      </w:r>
      <w:r w:rsidR="009C60D6" w:rsidRPr="000C7A07">
        <w:t>wellbeing</w:t>
      </w:r>
      <w:r w:rsidR="00322765" w:rsidRPr="000C7A07">
        <w:t xml:space="preserve"> (</w:t>
      </w:r>
      <w:r w:rsidR="008912B2" w:rsidRPr="000C7A07">
        <w:rPr>
          <w:b/>
        </w:rPr>
        <w:t>8</w:t>
      </w:r>
      <w:r w:rsidR="002A6931" w:rsidRPr="000C7A07">
        <w:rPr>
          <w:b/>
        </w:rPr>
        <w:t>0</w:t>
      </w:r>
      <w:r w:rsidR="00322765" w:rsidRPr="000C7A07">
        <w:rPr>
          <w:b/>
        </w:rPr>
        <w:t>%</w:t>
      </w:r>
      <w:r w:rsidR="00322765" w:rsidRPr="000C7A07">
        <w:t xml:space="preserve">, </w:t>
      </w:r>
      <w:r w:rsidR="002A6931" w:rsidRPr="000C7A07">
        <w:t>60</w:t>
      </w:r>
      <w:r w:rsidR="00322765" w:rsidRPr="000C7A07">
        <w:t xml:space="preserve">% and </w:t>
      </w:r>
      <w:r w:rsidR="002D3AB9" w:rsidRPr="000C7A07">
        <w:rPr>
          <w:i/>
        </w:rPr>
        <w:t>46</w:t>
      </w:r>
      <w:r w:rsidR="00322765" w:rsidRPr="000C7A07">
        <w:rPr>
          <w:i/>
        </w:rPr>
        <w:t>%</w:t>
      </w:r>
      <w:r w:rsidR="00322765" w:rsidRPr="000C7A07">
        <w:t>); and</w:t>
      </w:r>
      <w:r w:rsidR="00004AB1" w:rsidRPr="000C7A07">
        <w:t>,</w:t>
      </w:r>
      <w:r w:rsidR="00322765" w:rsidRPr="000C7A07">
        <w:t xml:space="preserve"> considering their work and life priorities, that they were satisfied with their work-life balance (</w:t>
      </w:r>
      <w:r w:rsidR="00964744" w:rsidRPr="000C7A07">
        <w:rPr>
          <w:b/>
        </w:rPr>
        <w:t>85</w:t>
      </w:r>
      <w:r w:rsidR="00322765" w:rsidRPr="000C7A07">
        <w:rPr>
          <w:b/>
        </w:rPr>
        <w:t>%</w:t>
      </w:r>
      <w:r w:rsidR="00322765" w:rsidRPr="000C7A07">
        <w:t xml:space="preserve">, </w:t>
      </w:r>
      <w:r w:rsidR="00754ABB" w:rsidRPr="000C7A07">
        <w:t>85</w:t>
      </w:r>
      <w:r w:rsidR="00322765" w:rsidRPr="000C7A07">
        <w:t xml:space="preserve">% and </w:t>
      </w:r>
      <w:r w:rsidR="00754ABB" w:rsidRPr="000C7A07">
        <w:rPr>
          <w:i/>
        </w:rPr>
        <w:t>71</w:t>
      </w:r>
      <w:r w:rsidR="00322765" w:rsidRPr="000C7A07">
        <w:rPr>
          <w:i/>
        </w:rPr>
        <w:t>%</w:t>
      </w:r>
      <w:r w:rsidR="00322765" w:rsidRPr="000C7A07">
        <w:t>).</w:t>
      </w:r>
    </w:p>
    <w:p w:rsidR="00D557CE" w:rsidRPr="000C7A07" w:rsidRDefault="00E46572" w:rsidP="005D3518">
      <w:pPr>
        <w:pStyle w:val="BodyNum"/>
      </w:pPr>
      <w:r>
        <w:t>F</w:t>
      </w:r>
      <w:r w:rsidRPr="000C7A07">
        <w:t xml:space="preserve">or the 2017 </w:t>
      </w:r>
      <w:r w:rsidR="0063001B">
        <w:t>survey</w:t>
      </w:r>
      <w:r>
        <w:t>,</w:t>
      </w:r>
      <w:r w:rsidRPr="000C7A07">
        <w:t xml:space="preserve"> additional questions were asked about health and wellbeing</w:t>
      </w:r>
      <w:r w:rsidR="00D34D71">
        <w:t xml:space="preserve"> therefore, there is no comparison to </w:t>
      </w:r>
      <w:proofErr w:type="spellStart"/>
      <w:r w:rsidR="00D34D71">
        <w:t>OPC’s</w:t>
      </w:r>
      <w:proofErr w:type="spellEnd"/>
      <w:r w:rsidR="00D34D71">
        <w:t xml:space="preserve"> 2016 results</w:t>
      </w:r>
      <w:r w:rsidRPr="000C7A07">
        <w:t>.</w:t>
      </w:r>
      <w:r>
        <w:t xml:space="preserve"> In response to these additional questions, </w:t>
      </w:r>
      <w:r w:rsidR="00D34D71" w:rsidRPr="00D34D71">
        <w:rPr>
          <w:b/>
        </w:rPr>
        <w:t>84%</w:t>
      </w:r>
      <w:r w:rsidR="00D34D71">
        <w:t xml:space="preserve"> of </w:t>
      </w:r>
      <w:r w:rsidR="002D3AB9" w:rsidRPr="000C7A07">
        <w:t>staff were satisfied with the policies/practices and resources in place to help them manage their health and wellbeing (</w:t>
      </w:r>
      <w:r w:rsidR="00D34D71">
        <w:t xml:space="preserve">compared to </w:t>
      </w:r>
      <w:r w:rsidR="002D3AB9" w:rsidRPr="00E46572">
        <w:rPr>
          <w:i/>
        </w:rPr>
        <w:t>66%</w:t>
      </w:r>
      <w:r w:rsidR="00D34D71">
        <w:t xml:space="preserve"> for the APS</w:t>
      </w:r>
      <w:r w:rsidR="002D3AB9" w:rsidRPr="000C7A07">
        <w:t xml:space="preserve">); </w:t>
      </w:r>
      <w:r w:rsidR="00D34D71" w:rsidRPr="00D34D71">
        <w:rPr>
          <w:b/>
        </w:rPr>
        <w:t>91%</w:t>
      </w:r>
      <w:r w:rsidR="00D34D71">
        <w:t xml:space="preserve"> </w:t>
      </w:r>
      <w:r w:rsidR="00855013">
        <w:t xml:space="preserve">of staff </w:t>
      </w:r>
      <w:r w:rsidR="00D34D71">
        <w:lastRenderedPageBreak/>
        <w:t xml:space="preserve">agreed that </w:t>
      </w:r>
      <w:r w:rsidR="002D3AB9" w:rsidRPr="000C7A07">
        <w:t>OPC does a good job of communicating what it can offer in terms of health and wellbeing (</w:t>
      </w:r>
      <w:r w:rsidR="00D34D71">
        <w:t xml:space="preserve">compared to </w:t>
      </w:r>
      <w:r w:rsidR="002D3AB9" w:rsidRPr="00E46572">
        <w:rPr>
          <w:i/>
        </w:rPr>
        <w:t>57%</w:t>
      </w:r>
      <w:r w:rsidR="00D34D71">
        <w:t xml:space="preserve"> for the APS</w:t>
      </w:r>
      <w:r w:rsidR="002D3AB9" w:rsidRPr="000C7A07">
        <w:t xml:space="preserve">); </w:t>
      </w:r>
      <w:r w:rsidR="000C7A07" w:rsidRPr="000C7A07">
        <w:t xml:space="preserve">and </w:t>
      </w:r>
      <w:r w:rsidR="00D34D71" w:rsidRPr="00D34D71">
        <w:rPr>
          <w:b/>
        </w:rPr>
        <w:t>94%</w:t>
      </w:r>
      <w:r w:rsidR="00D34D71">
        <w:t xml:space="preserve"> agreed that </w:t>
      </w:r>
      <w:r w:rsidR="002D3AB9" w:rsidRPr="000C7A07">
        <w:t>OPC does a good job of promoting health and wellbeing (</w:t>
      </w:r>
      <w:r w:rsidR="00D34D71">
        <w:t xml:space="preserve">compared to </w:t>
      </w:r>
      <w:r w:rsidR="002D3AB9" w:rsidRPr="00E46572">
        <w:rPr>
          <w:i/>
        </w:rPr>
        <w:t>56%</w:t>
      </w:r>
      <w:r w:rsidR="00D34D71">
        <w:t xml:space="preserve"> for the APS</w:t>
      </w:r>
      <w:r w:rsidR="002D3AB9" w:rsidRPr="000C7A07">
        <w:t>)</w:t>
      </w:r>
      <w:r w:rsidR="000C7A07" w:rsidRPr="000C7A07">
        <w:t>.</w:t>
      </w:r>
    </w:p>
    <w:p w:rsidR="00B72CD2" w:rsidRPr="00B16FF5" w:rsidRDefault="00B72CD2" w:rsidP="00B72CD2">
      <w:pPr>
        <w:pStyle w:val="Head4"/>
      </w:pPr>
      <w:r w:rsidRPr="00B16FF5">
        <w:t>APS Values</w:t>
      </w:r>
    </w:p>
    <w:p w:rsidR="00B72CD2" w:rsidRPr="00B16FF5" w:rsidRDefault="009C7638" w:rsidP="005D3518">
      <w:pPr>
        <w:pStyle w:val="BodyNum"/>
      </w:pPr>
      <w:r w:rsidRPr="00B16FF5">
        <w:t xml:space="preserve">Staff </w:t>
      </w:r>
      <w:r w:rsidR="00B626AA" w:rsidRPr="00B16FF5">
        <w:t xml:space="preserve">continued to </w:t>
      </w:r>
      <w:r w:rsidRPr="00B16FF5">
        <w:t>indicate that people in OPC act in accordance with the APS Values</w:t>
      </w:r>
      <w:r w:rsidR="007D4E07" w:rsidRPr="00B16FF5">
        <w:t xml:space="preserve">. The </w:t>
      </w:r>
      <w:r w:rsidR="004122CF" w:rsidRPr="00B16FF5">
        <w:t>201</w:t>
      </w:r>
      <w:r w:rsidR="00B16FF5" w:rsidRPr="00B16FF5">
        <w:t>7</w:t>
      </w:r>
      <w:r w:rsidR="004122CF" w:rsidRPr="00B16FF5">
        <w:t xml:space="preserve"> </w:t>
      </w:r>
      <w:r w:rsidR="007D4E07" w:rsidRPr="00B16FF5">
        <w:t xml:space="preserve">results </w:t>
      </w:r>
      <w:r w:rsidR="00272A6B" w:rsidRPr="00B16FF5">
        <w:t>for senior lead</w:t>
      </w:r>
      <w:r w:rsidR="00004AB1" w:rsidRPr="00B16FF5">
        <w:t>ers, supervisors and work</w:t>
      </w:r>
      <w:r w:rsidR="00272A6B" w:rsidRPr="00B16FF5">
        <w:t xml:space="preserve">group colleagues </w:t>
      </w:r>
      <w:r w:rsidR="007D4E07" w:rsidRPr="00B16FF5">
        <w:t xml:space="preserve">were in the range of </w:t>
      </w:r>
      <w:r w:rsidR="00B16FF5" w:rsidRPr="00B16FF5">
        <w:rPr>
          <w:b/>
        </w:rPr>
        <w:t>90</w:t>
      </w:r>
      <w:r w:rsidR="007D4E07" w:rsidRPr="00B16FF5">
        <w:rPr>
          <w:b/>
        </w:rPr>
        <w:t>%</w:t>
      </w:r>
      <w:r w:rsidR="007D4E07" w:rsidRPr="00B16FF5">
        <w:t xml:space="preserve"> to </w:t>
      </w:r>
      <w:r w:rsidR="00B16FF5" w:rsidRPr="00B16FF5">
        <w:rPr>
          <w:b/>
        </w:rPr>
        <w:t>97</w:t>
      </w:r>
      <w:r w:rsidR="007D4E07" w:rsidRPr="00B16FF5">
        <w:rPr>
          <w:b/>
        </w:rPr>
        <w:t>%</w:t>
      </w:r>
      <w:r w:rsidR="003207DE" w:rsidRPr="00B16FF5">
        <w:t>, compared to</w:t>
      </w:r>
      <w:r w:rsidR="00272A6B" w:rsidRPr="00B16FF5">
        <w:t xml:space="preserve"> </w:t>
      </w:r>
      <w:r w:rsidR="00B16FF5" w:rsidRPr="00B16FF5">
        <w:t>89</w:t>
      </w:r>
      <w:r w:rsidR="00272A6B" w:rsidRPr="00B16FF5">
        <w:t xml:space="preserve">% to </w:t>
      </w:r>
      <w:r w:rsidR="00B16FF5" w:rsidRPr="00B16FF5">
        <w:t>94</w:t>
      </w:r>
      <w:r w:rsidR="00272A6B" w:rsidRPr="00B16FF5">
        <w:t>% for OPC</w:t>
      </w:r>
      <w:r w:rsidR="008912B2" w:rsidRPr="00B16FF5">
        <w:t xml:space="preserve"> in 201</w:t>
      </w:r>
      <w:r w:rsidR="00B16FF5" w:rsidRPr="00B16FF5">
        <w:t>6</w:t>
      </w:r>
      <w:r w:rsidR="007D4E07" w:rsidRPr="00B16FF5">
        <w:t xml:space="preserve"> and </w:t>
      </w:r>
      <w:r w:rsidR="00B16FF5" w:rsidRPr="00B16FF5">
        <w:rPr>
          <w:i/>
        </w:rPr>
        <w:t>71</w:t>
      </w:r>
      <w:r w:rsidR="007D4E07" w:rsidRPr="00B16FF5">
        <w:rPr>
          <w:i/>
        </w:rPr>
        <w:t>%</w:t>
      </w:r>
      <w:r w:rsidR="007D4E07" w:rsidRPr="00B16FF5">
        <w:t xml:space="preserve"> to </w:t>
      </w:r>
      <w:r w:rsidR="00B16FF5" w:rsidRPr="00B16FF5">
        <w:rPr>
          <w:i/>
        </w:rPr>
        <w:t>90</w:t>
      </w:r>
      <w:r w:rsidR="007D4E07" w:rsidRPr="00B16FF5">
        <w:rPr>
          <w:i/>
        </w:rPr>
        <w:t>%</w:t>
      </w:r>
      <w:r w:rsidR="004122CF" w:rsidRPr="00B16FF5">
        <w:t xml:space="preserve"> for the APS in 201</w:t>
      </w:r>
      <w:r w:rsidR="00B16FF5" w:rsidRPr="00B16FF5">
        <w:t>7</w:t>
      </w:r>
      <w:r w:rsidR="004122CF" w:rsidRPr="00B16FF5">
        <w:t>.</w:t>
      </w:r>
    </w:p>
    <w:p w:rsidR="000C202B" w:rsidRPr="00B16FF5" w:rsidRDefault="000C202B" w:rsidP="000C202B">
      <w:pPr>
        <w:pStyle w:val="Head4"/>
      </w:pPr>
      <w:r w:rsidRPr="00B16FF5">
        <w:t>Conclusion</w:t>
      </w:r>
    </w:p>
    <w:p w:rsidR="00B626AA" w:rsidRPr="00B16FF5" w:rsidRDefault="000C202B" w:rsidP="00B626AA">
      <w:pPr>
        <w:pStyle w:val="BodyNum"/>
      </w:pPr>
      <w:r w:rsidRPr="00B16FF5">
        <w:t xml:space="preserve">Staff participation in these surveys is a very useful </w:t>
      </w:r>
      <w:r w:rsidR="00B72CD2" w:rsidRPr="00B16FF5">
        <w:t xml:space="preserve">exercise as the results are directly comparable </w:t>
      </w:r>
      <w:r w:rsidR="0056433C" w:rsidRPr="00B16FF5">
        <w:t xml:space="preserve">to those of the APS as a whole. </w:t>
      </w:r>
      <w:r w:rsidR="00004AB1" w:rsidRPr="00B16FF5">
        <w:t>The survey results provide</w:t>
      </w:r>
      <w:r w:rsidR="00B72CD2" w:rsidRPr="00B16FF5">
        <w:t xml:space="preserve"> information o</w:t>
      </w:r>
      <w:r w:rsidR="00B626AA" w:rsidRPr="00B16FF5">
        <w:t>n areas in which we can improve.</w:t>
      </w:r>
    </w:p>
    <w:p w:rsidR="00AD4488" w:rsidRDefault="00AD4488" w:rsidP="00AD4488">
      <w:pPr>
        <w:pStyle w:val="Head3"/>
      </w:pPr>
      <w:bookmarkStart w:id="85" w:name="_Toc492656478"/>
      <w:bookmarkEnd w:id="84"/>
      <w:r>
        <w:t>Management and development of human resources</w:t>
      </w:r>
      <w:bookmarkEnd w:id="85"/>
    </w:p>
    <w:p w:rsidR="00AD4488" w:rsidRDefault="00AD4488" w:rsidP="00AD4488">
      <w:pPr>
        <w:pStyle w:val="Head4"/>
      </w:pPr>
      <w:r>
        <w:t>Training and development</w:t>
      </w:r>
    </w:p>
    <w:p w:rsidR="00AD4488" w:rsidRDefault="00AD4488" w:rsidP="00AD4488">
      <w:pPr>
        <w:pStyle w:val="BodyNum"/>
      </w:pPr>
      <w:bookmarkStart w:id="86" w:name="_Ref113169081"/>
      <w:r>
        <w:t xml:space="preserve">OPC sees training and development as contributing </w:t>
      </w:r>
      <w:r>
        <w:lastRenderedPageBreak/>
        <w:t>significantly to the consolidation and improvement of its capability. OPC undertakes its training and development activities in order to:</w:t>
      </w:r>
      <w:bookmarkEnd w:id="86"/>
    </w:p>
    <w:p w:rsidR="00AD4488" w:rsidRDefault="00AD4488" w:rsidP="00AD4488">
      <w:pPr>
        <w:pStyle w:val="AnnualReportBullet"/>
        <w:tabs>
          <w:tab w:val="left" w:pos="360"/>
        </w:tabs>
        <w:ind w:left="360" w:hanging="360"/>
      </w:pPr>
      <w:r>
        <w:rPr>
          <w:rFonts w:ascii="Symbol" w:hAnsi="Symbol"/>
        </w:rPr>
        <w:t></w:t>
      </w:r>
      <w:r>
        <w:rPr>
          <w:rFonts w:ascii="Symbol" w:hAnsi="Symbol"/>
        </w:rPr>
        <w:tab/>
      </w:r>
      <w:r>
        <w:t>make the best use of human resources available to OPC;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enhance career and development opportunities for all staff.</w:t>
      </w:r>
    </w:p>
    <w:p w:rsidR="00AD4488" w:rsidRDefault="00AD4488" w:rsidP="00AD4488">
      <w:pPr>
        <w:pStyle w:val="Head4"/>
      </w:pPr>
      <w:r>
        <w:t>Staff development arrangements</w:t>
      </w:r>
    </w:p>
    <w:p w:rsidR="00AD4488" w:rsidRDefault="00AD4488" w:rsidP="00AD4488">
      <w:pPr>
        <w:pStyle w:val="BodyNum"/>
      </w:pPr>
      <w:bookmarkStart w:id="87" w:name="_Ref208135447"/>
      <w:proofErr w:type="spellStart"/>
      <w:r>
        <w:t>OPC’s</w:t>
      </w:r>
      <w:proofErr w:type="spellEnd"/>
      <w:r>
        <w:t xml:space="preserve"> Staff Development Plan establishes the following institutional arrangements for </w:t>
      </w:r>
      <w:proofErr w:type="spellStart"/>
      <w:r>
        <w:t>OPC’s</w:t>
      </w:r>
      <w:proofErr w:type="spellEnd"/>
      <w:r>
        <w:t xml:space="preserve"> staff development activities:</w:t>
      </w:r>
      <w:bookmarkEnd w:id="87"/>
    </w:p>
    <w:p w:rsidR="00AD4488" w:rsidRDefault="00AD4488" w:rsidP="00AD4488">
      <w:pPr>
        <w:pStyle w:val="AnnualReportBullet"/>
        <w:tabs>
          <w:tab w:val="left" w:pos="360"/>
        </w:tabs>
        <w:ind w:left="360" w:hanging="360"/>
      </w:pPr>
      <w:r>
        <w:rPr>
          <w:rFonts w:ascii="Symbol" w:hAnsi="Symbol"/>
        </w:rPr>
        <w:t></w:t>
      </w:r>
      <w:r>
        <w:rPr>
          <w:rFonts w:ascii="Symbol" w:hAnsi="Symbol"/>
        </w:rPr>
        <w:tab/>
      </w:r>
      <w:r>
        <w:t>a senior drafter is designated Director of Drafter Training;</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the Director of Drafter Training and the General Manager have joint responsibility for staff development matters generally (including monitoring expenditure on staff development activities);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staff development decisions in relation to particular staff are, by and large, made by supervisors jointly with either the Director of Drafter Training for staff who are drafters or the General Manager for other staff;</w:t>
      </w:r>
    </w:p>
    <w:p w:rsidR="00AD4488" w:rsidRDefault="00AD4488" w:rsidP="00AD4488">
      <w:pPr>
        <w:pStyle w:val="AnnualReportBullet"/>
        <w:tabs>
          <w:tab w:val="left" w:pos="360"/>
        </w:tabs>
        <w:ind w:left="360" w:hanging="360"/>
      </w:pPr>
      <w:r>
        <w:rPr>
          <w:rFonts w:ascii="Symbol" w:hAnsi="Symbol"/>
        </w:rPr>
        <w:lastRenderedPageBreak/>
        <w:t></w:t>
      </w:r>
      <w:r>
        <w:rPr>
          <w:rFonts w:ascii="Symbol" w:hAnsi="Symbol"/>
        </w:rPr>
        <w:tab/>
      </w:r>
      <w:r>
        <w:t xml:space="preserve">staff development decisions are made by reference to the development needs of staff as identified in the individual development plans for staff that are settled as part of the performance management </w:t>
      </w:r>
      <w:r w:rsidR="00CD5F72">
        <w:t>program</w:t>
      </w:r>
      <w:r>
        <w:t>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the Director of Drafter Training and the General Manager have the function of reviewing the Staff Development Plan to make sure it is up-to-date and prop</w:t>
      </w:r>
      <w:r w:rsidR="00D95428">
        <w:t xml:space="preserve">erly focused on </w:t>
      </w:r>
      <w:proofErr w:type="spellStart"/>
      <w:r w:rsidR="00D95428">
        <w:t>OPC’s</w:t>
      </w:r>
      <w:proofErr w:type="spellEnd"/>
      <w:r w:rsidR="00D95428">
        <w:t xml:space="preserve"> needs;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the Director of Drafter Training has the function of </w:t>
      </w:r>
      <w:r w:rsidR="00966CF8">
        <w:t>ensuring that</w:t>
      </w:r>
      <w:r>
        <w:t xml:space="preserve"> a rolling </w:t>
      </w:r>
      <w:r w:rsidR="00CD5F72">
        <w:t>program</w:t>
      </w:r>
      <w:r>
        <w:t xml:space="preserve"> of internally provided training for drafters</w:t>
      </w:r>
      <w:r w:rsidR="00966CF8">
        <w:t xml:space="preserve"> occurs</w:t>
      </w:r>
      <w:r>
        <w:t>.</w:t>
      </w:r>
    </w:p>
    <w:p w:rsidR="00AD4488" w:rsidRDefault="00AD4488" w:rsidP="00AD4488">
      <w:pPr>
        <w:pStyle w:val="BodyNum"/>
      </w:pPr>
      <w:r>
        <w:t>These arrangements have the advantages of:</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involving supervisors in all aspects of staff development decision-making (including resource implications);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linking staff development closely to the performance management </w:t>
      </w:r>
      <w:r w:rsidR="00CD5F72">
        <w:t>program</w:t>
      </w:r>
      <w:r>
        <w:t>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ensuring a high level of consistency in staff development decisions;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ensuring there is proper equity and balance in the resources devoted to training staff who </w:t>
      </w:r>
      <w:r>
        <w:lastRenderedPageBreak/>
        <w:t>are drafters and those devoted to training other staff;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ensuring that the </w:t>
      </w:r>
      <w:r w:rsidR="00CD5F72">
        <w:t>program</w:t>
      </w:r>
      <w:r>
        <w:t xml:space="preserve"> of internally provided training for dra</w:t>
      </w:r>
      <w:r w:rsidR="00AF06EF">
        <w:t>fters is properly focused, well-</w:t>
      </w:r>
      <w:r>
        <w:t>planned and regular.</w:t>
      </w:r>
    </w:p>
    <w:p w:rsidR="00A06BD4" w:rsidRPr="004007F5" w:rsidRDefault="00CD5F72" w:rsidP="00A06BD4">
      <w:pPr>
        <w:pStyle w:val="Head4"/>
      </w:pPr>
      <w:r>
        <w:t>Program</w:t>
      </w:r>
      <w:r w:rsidR="00A06BD4" w:rsidRPr="008038B7">
        <w:t xml:space="preserve"> of internally provided training for drafters</w:t>
      </w:r>
    </w:p>
    <w:p w:rsidR="00781E38" w:rsidRDefault="00781E38" w:rsidP="00781E38">
      <w:pPr>
        <w:pStyle w:val="BodyNum"/>
      </w:pPr>
      <w:r>
        <w:t>In consultation with drafters in OPC, a program of internally provided training for drafters has been developed. The program involves a mix of presentations by drafters within OPC and external presenters (with an emphasis on the areas of law that hold special interest and importance for drafters).</w:t>
      </w:r>
    </w:p>
    <w:p w:rsidR="00781E38" w:rsidRDefault="009D7E95" w:rsidP="00781E38">
      <w:pPr>
        <w:pStyle w:val="BodyNum"/>
      </w:pPr>
      <w:r>
        <w:t>This year responsibility for drafter training was shared by 2 drafters. The Director of Drafter Training coordinated attendances at external conferences and semi</w:t>
      </w:r>
      <w:r w:rsidR="00AF06EF">
        <w:t>nars. Another senior drafter co</w:t>
      </w:r>
      <w:r>
        <w:t>ordinated presentations by drafters within OPC and arranged for technical drafting issues to be discussed at drafter meetings.</w:t>
      </w:r>
    </w:p>
    <w:p w:rsidR="00781E38" w:rsidRDefault="00781E38" w:rsidP="00781E38">
      <w:pPr>
        <w:pStyle w:val="BodyNum"/>
      </w:pPr>
      <w:r>
        <w:t>During the year, the program included presentations on:</w:t>
      </w:r>
    </w:p>
    <w:p w:rsidR="00781E38" w:rsidRDefault="00781E38" w:rsidP="00781E38">
      <w:pPr>
        <w:pStyle w:val="AnnualReportBullet"/>
        <w:tabs>
          <w:tab w:val="left" w:pos="360"/>
        </w:tabs>
        <w:ind w:left="360" w:hanging="360"/>
      </w:pPr>
      <w:r>
        <w:t>•</w:t>
      </w:r>
      <w:r>
        <w:tab/>
      </w:r>
      <w:r w:rsidR="00A84B11">
        <w:t>secrecy provisions</w:t>
      </w:r>
      <w:r>
        <w:t>;</w:t>
      </w:r>
    </w:p>
    <w:p w:rsidR="00781E38" w:rsidRDefault="00781E38" w:rsidP="00781E38">
      <w:pPr>
        <w:pStyle w:val="AnnualReportBullet"/>
        <w:tabs>
          <w:tab w:val="left" w:pos="360"/>
        </w:tabs>
        <w:ind w:left="360" w:hanging="360"/>
      </w:pPr>
      <w:r>
        <w:t>•</w:t>
      </w:r>
      <w:r>
        <w:tab/>
      </w:r>
      <w:r w:rsidR="00A84B11">
        <w:t>plain language</w:t>
      </w:r>
      <w:r>
        <w:t>;</w:t>
      </w:r>
    </w:p>
    <w:p w:rsidR="00781E38" w:rsidRDefault="00781E38" w:rsidP="00781E38">
      <w:pPr>
        <w:pStyle w:val="AnnualReportBullet"/>
        <w:tabs>
          <w:tab w:val="left" w:pos="360"/>
        </w:tabs>
        <w:ind w:left="360" w:hanging="360"/>
      </w:pPr>
      <w:r>
        <w:t>•</w:t>
      </w:r>
      <w:r>
        <w:tab/>
      </w:r>
      <w:r w:rsidR="00A84B11">
        <w:t>statutory and other bodies</w:t>
      </w:r>
      <w:r>
        <w:t>;</w:t>
      </w:r>
    </w:p>
    <w:p w:rsidR="00781E38" w:rsidRDefault="00781E38" w:rsidP="00781E38">
      <w:pPr>
        <w:pStyle w:val="AnnualReportBullet"/>
        <w:tabs>
          <w:tab w:val="left" w:pos="360"/>
        </w:tabs>
        <w:ind w:left="360" w:hanging="360"/>
      </w:pPr>
      <w:r>
        <w:lastRenderedPageBreak/>
        <w:t>•</w:t>
      </w:r>
      <w:r>
        <w:tab/>
      </w:r>
      <w:r w:rsidR="009D7E95">
        <w:t>delegated legislation</w:t>
      </w:r>
      <w:r>
        <w:t>;</w:t>
      </w:r>
    </w:p>
    <w:p w:rsidR="00781E38" w:rsidRDefault="00781E38" w:rsidP="00781E38">
      <w:pPr>
        <w:pStyle w:val="AnnualReportBullet"/>
        <w:tabs>
          <w:tab w:val="left" w:pos="360"/>
        </w:tabs>
        <w:ind w:left="360" w:hanging="360"/>
      </w:pPr>
      <w:r>
        <w:t>•</w:t>
      </w:r>
      <w:r>
        <w:tab/>
      </w:r>
      <w:r w:rsidR="00A84B11">
        <w:t>retrospectivity and application provisions</w:t>
      </w:r>
      <w:r>
        <w:t>;</w:t>
      </w:r>
    </w:p>
    <w:p w:rsidR="00A84B11" w:rsidRDefault="00A84B11" w:rsidP="00781E38">
      <w:pPr>
        <w:pStyle w:val="AnnualReportBullet"/>
        <w:tabs>
          <w:tab w:val="left" w:pos="360"/>
        </w:tabs>
        <w:ind w:left="360" w:hanging="360"/>
      </w:pPr>
      <w:r>
        <w:t>•</w:t>
      </w:r>
      <w:r>
        <w:tab/>
        <w:t>statutory language and the Constitution;</w:t>
      </w:r>
    </w:p>
    <w:p w:rsidR="00781E38" w:rsidRDefault="00781E38" w:rsidP="00781E38">
      <w:pPr>
        <w:pStyle w:val="AnnualReportBullet"/>
        <w:tabs>
          <w:tab w:val="left" w:pos="360"/>
        </w:tabs>
        <w:ind w:left="360" w:hanging="360"/>
      </w:pPr>
      <w:r>
        <w:t>•</w:t>
      </w:r>
      <w:r>
        <w:tab/>
        <w:t>various other technical drafting and IT issues.</w:t>
      </w:r>
    </w:p>
    <w:p w:rsidR="00F70BE4" w:rsidRDefault="00F70BE4" w:rsidP="00F70BE4">
      <w:pPr>
        <w:pStyle w:val="Head4"/>
      </w:pPr>
      <w:r>
        <w:t>Conferences and seminars</w:t>
      </w:r>
    </w:p>
    <w:p w:rsidR="00781E38" w:rsidRDefault="00781E38" w:rsidP="00781E38">
      <w:pPr>
        <w:pStyle w:val="BodyNum"/>
      </w:pPr>
      <w:r>
        <w:t xml:space="preserve">OPC drafters </w:t>
      </w:r>
      <w:r w:rsidR="009D7E95">
        <w:t>attended</w:t>
      </w:r>
      <w:r w:rsidR="00A84B11">
        <w:t>, and presented papers at, the 2017 CALC Conference and</w:t>
      </w:r>
      <w:r w:rsidR="009D7E95">
        <w:t xml:space="preserve"> Workshop </w:t>
      </w:r>
      <w:r w:rsidR="00A84B11">
        <w:t>held in Melbourne and Sydney</w:t>
      </w:r>
      <w:r>
        <w:t>.</w:t>
      </w:r>
    </w:p>
    <w:p w:rsidR="00A06BD4" w:rsidRPr="004007F5" w:rsidRDefault="00781E38" w:rsidP="00781E38">
      <w:pPr>
        <w:pStyle w:val="BodyNum"/>
      </w:pPr>
      <w:r>
        <w:t>OPC drafters also participated in a range of other external conferences and seminars organised by the Australian Government Solicitor</w:t>
      </w:r>
      <w:r w:rsidR="009D7E95">
        <w:t xml:space="preserve"> (such as the AGS </w:t>
      </w:r>
      <w:r w:rsidR="00A84B11">
        <w:t>Administrative</w:t>
      </w:r>
      <w:r w:rsidR="009D7E95">
        <w:t xml:space="preserve"> Law Forum)</w:t>
      </w:r>
      <w:r>
        <w:t>, leading academic institutions and law firms.</w:t>
      </w:r>
    </w:p>
    <w:p w:rsidR="00AD4488" w:rsidRDefault="00AD4488" w:rsidP="00AD4488">
      <w:pPr>
        <w:pStyle w:val="Head4"/>
      </w:pPr>
      <w:r>
        <w:t>Staff undertaking higher studies under Studies Assistance arrangements</w:t>
      </w:r>
    </w:p>
    <w:p w:rsidR="00AD4488" w:rsidRDefault="00AD4488" w:rsidP="00AD4488">
      <w:pPr>
        <w:pStyle w:val="BodyNum"/>
      </w:pPr>
      <w:bookmarkStart w:id="88" w:name="_Ref303764344"/>
      <w:r>
        <w:t xml:space="preserve">During the year, </w:t>
      </w:r>
      <w:r w:rsidR="00D71D9F">
        <w:t>5</w:t>
      </w:r>
      <w:r w:rsidRPr="00CE09FF">
        <w:t xml:space="preserve"> </w:t>
      </w:r>
      <w:r>
        <w:t xml:space="preserve">OPC staff members have accessed </w:t>
      </w:r>
      <w:proofErr w:type="spellStart"/>
      <w:r>
        <w:t>OPC’s</w:t>
      </w:r>
      <w:proofErr w:type="spellEnd"/>
      <w:r>
        <w:t xml:space="preserve"> Studies Assistance arrangements to pursue higher studies relevant to their current work and career development.</w:t>
      </w:r>
      <w:bookmarkEnd w:id="88"/>
    </w:p>
    <w:p w:rsidR="00AD4488" w:rsidRDefault="00AD4488" w:rsidP="00AD4488">
      <w:pPr>
        <w:pStyle w:val="Head4"/>
      </w:pPr>
      <w:r>
        <w:lastRenderedPageBreak/>
        <w:t>Information technology training</w:t>
      </w:r>
    </w:p>
    <w:p w:rsidR="00AD4488" w:rsidRDefault="00AD4488" w:rsidP="00AD4488">
      <w:pPr>
        <w:pStyle w:val="BodyNum"/>
      </w:pPr>
      <w:bookmarkStart w:id="89" w:name="_Ref113169092"/>
      <w:proofErr w:type="spellStart"/>
      <w:r>
        <w:t>OPC’s</w:t>
      </w:r>
      <w:proofErr w:type="spellEnd"/>
      <w:r>
        <w:t xml:space="preserve"> legislative drafting capability relies heavily on our staff’s proficiency with IT to undertake research and to prepare Bills and legislative instruments for the Australian Government.</w:t>
      </w:r>
      <w:bookmarkEnd w:id="89"/>
    </w:p>
    <w:p w:rsidR="00AD4488" w:rsidRDefault="00AD4488" w:rsidP="00AD4488">
      <w:pPr>
        <w:pStyle w:val="BodyNum"/>
      </w:pPr>
      <w:bookmarkStart w:id="90" w:name="_Ref113266995"/>
      <w:r>
        <w:t xml:space="preserve">During the year, OPC provided substantial training in IT. </w:t>
      </w:r>
      <w:r w:rsidR="00B313AD">
        <w:t>Most of that</w:t>
      </w:r>
      <w:r>
        <w:t xml:space="preserve"> training was provided in-house, enabling it to be both cost-effective and responsive to the particular needs of staff.</w:t>
      </w:r>
      <w:bookmarkEnd w:id="90"/>
    </w:p>
    <w:p w:rsidR="00AD4488" w:rsidRDefault="00AD4488" w:rsidP="00AD4488">
      <w:pPr>
        <w:pStyle w:val="BodyNum"/>
      </w:pPr>
      <w:r>
        <w:t>The feedback provided by staff attending the various training sessions was resoundingly positive in terms of the content and presentation of the training and its relevance to current work.</w:t>
      </w:r>
    </w:p>
    <w:p w:rsidR="00AD4488" w:rsidRDefault="00AD4488" w:rsidP="00AD4488">
      <w:pPr>
        <w:pStyle w:val="BodyNum"/>
      </w:pPr>
      <w:proofErr w:type="spellStart"/>
      <w:r>
        <w:t>OPC’s</w:t>
      </w:r>
      <w:proofErr w:type="spellEnd"/>
      <w:r>
        <w:t xml:space="preserve"> professional IT staff also undertook external training during the year to ensure that their skills were maintained.</w:t>
      </w:r>
    </w:p>
    <w:p w:rsidR="00AD4488" w:rsidRDefault="00094D49" w:rsidP="00AD4488">
      <w:pPr>
        <w:pStyle w:val="Head4"/>
      </w:pPr>
      <w:r>
        <w:t>Productivity gains</w:t>
      </w:r>
    </w:p>
    <w:p w:rsidR="00AD4488" w:rsidRPr="00395668" w:rsidRDefault="00AD4488" w:rsidP="00C52C2F">
      <w:pPr>
        <w:pStyle w:val="BodyNum"/>
      </w:pPr>
      <w:bookmarkStart w:id="91" w:name="_Ref175720895"/>
      <w:r w:rsidRPr="00395668">
        <w:t>Productivity gains have been achieved through:</w:t>
      </w:r>
      <w:bookmarkEnd w:id="91"/>
    </w:p>
    <w:p w:rsidR="00AD4488" w:rsidRPr="00395668" w:rsidRDefault="00AD4488" w:rsidP="00AD4488">
      <w:pPr>
        <w:pStyle w:val="AnnualReportBullet"/>
        <w:tabs>
          <w:tab w:val="left" w:pos="360"/>
        </w:tabs>
        <w:ind w:left="360" w:hanging="360"/>
      </w:pPr>
      <w:r w:rsidRPr="00395668">
        <w:rPr>
          <w:rFonts w:ascii="Symbol" w:hAnsi="Symbol"/>
        </w:rPr>
        <w:t></w:t>
      </w:r>
      <w:r w:rsidRPr="00395668">
        <w:rPr>
          <w:rFonts w:ascii="Symbol" w:hAnsi="Symbol"/>
        </w:rPr>
        <w:tab/>
      </w:r>
      <w:r w:rsidRPr="00395668">
        <w:t>the review and continued updating of finance and other Corporate Services processes;</w:t>
      </w:r>
    </w:p>
    <w:p w:rsidR="00AD4488" w:rsidRPr="00395668" w:rsidRDefault="00AD4488" w:rsidP="00AD4488">
      <w:pPr>
        <w:pStyle w:val="AnnualReportBullet"/>
        <w:tabs>
          <w:tab w:val="left" w:pos="360"/>
        </w:tabs>
        <w:ind w:left="360" w:hanging="360"/>
      </w:pPr>
      <w:r w:rsidRPr="00395668">
        <w:rPr>
          <w:rFonts w:ascii="Symbol" w:hAnsi="Symbol"/>
        </w:rPr>
        <w:t></w:t>
      </w:r>
      <w:r w:rsidRPr="00395668">
        <w:rPr>
          <w:rFonts w:ascii="Symbol" w:hAnsi="Symbol"/>
        </w:rPr>
        <w:tab/>
      </w:r>
      <w:r w:rsidRPr="00395668">
        <w:t>improved liaison with key stakeholders;</w:t>
      </w:r>
    </w:p>
    <w:p w:rsidR="00AD4488" w:rsidRPr="00395668" w:rsidRDefault="00AD4488" w:rsidP="00AD4488">
      <w:pPr>
        <w:pStyle w:val="AnnualReportBullet"/>
        <w:tabs>
          <w:tab w:val="left" w:pos="360"/>
        </w:tabs>
        <w:ind w:left="360" w:hanging="360"/>
      </w:pPr>
      <w:r w:rsidRPr="00395668">
        <w:rPr>
          <w:rFonts w:ascii="Symbol" w:hAnsi="Symbol"/>
        </w:rPr>
        <w:lastRenderedPageBreak/>
        <w:t></w:t>
      </w:r>
      <w:r w:rsidRPr="00395668">
        <w:rPr>
          <w:rFonts w:ascii="Symbol" w:hAnsi="Symbol"/>
        </w:rPr>
        <w:tab/>
      </w:r>
      <w:r w:rsidRPr="00395668">
        <w:t>continued improvements through the application of IT; and</w:t>
      </w:r>
    </w:p>
    <w:p w:rsidR="00AD4488" w:rsidRDefault="00AD4488" w:rsidP="00AD4488">
      <w:pPr>
        <w:pStyle w:val="AnnualReportBullet"/>
        <w:tabs>
          <w:tab w:val="left" w:pos="360"/>
        </w:tabs>
        <w:ind w:left="360" w:hanging="360"/>
      </w:pPr>
      <w:r w:rsidRPr="00395668">
        <w:rPr>
          <w:rFonts w:ascii="Symbol" w:hAnsi="Symbol"/>
        </w:rPr>
        <w:t></w:t>
      </w:r>
      <w:r w:rsidRPr="00395668">
        <w:rPr>
          <w:rFonts w:ascii="Symbol" w:hAnsi="Symbol"/>
        </w:rPr>
        <w:tab/>
      </w:r>
      <w:r w:rsidRPr="00395668">
        <w:t xml:space="preserve">cooperative agency procurement of </w:t>
      </w:r>
      <w:r w:rsidR="009A21DE">
        <w:t>goods</w:t>
      </w:r>
      <w:r w:rsidRPr="00395668">
        <w:t xml:space="preserve"> and services.</w:t>
      </w:r>
    </w:p>
    <w:p w:rsidR="00AD4488" w:rsidRDefault="00AD4488" w:rsidP="00AD4488">
      <w:pPr>
        <w:pStyle w:val="Head4"/>
      </w:pPr>
      <w:r>
        <w:t>Staffing statistics</w:t>
      </w:r>
    </w:p>
    <w:p w:rsidR="00AD4488" w:rsidRDefault="00AD4488" w:rsidP="00AD4488">
      <w:pPr>
        <w:pStyle w:val="BodyNum"/>
      </w:pPr>
      <w:bookmarkStart w:id="92" w:name="_Ref113169062"/>
      <w:r>
        <w:t>The staffing statistics for OPC at 30 June 201</w:t>
      </w:r>
      <w:r w:rsidR="00D71D9F">
        <w:t>7</w:t>
      </w:r>
      <w:r>
        <w:t xml:space="preserve"> are in Appendix B.</w:t>
      </w:r>
      <w:bookmarkEnd w:id="92"/>
    </w:p>
    <w:p w:rsidR="00AD4488" w:rsidRPr="00CF24D0" w:rsidRDefault="00AD4488" w:rsidP="00AD4488">
      <w:pPr>
        <w:pStyle w:val="BodyNum"/>
      </w:pPr>
      <w:r w:rsidRPr="00CF24D0">
        <w:t>All staff employed by OPC are located in the ACT.</w:t>
      </w:r>
    </w:p>
    <w:p w:rsidR="00AD4488" w:rsidRDefault="00AD4488" w:rsidP="00AD4488">
      <w:pPr>
        <w:pStyle w:val="Head4"/>
      </w:pPr>
      <w:r>
        <w:t>Coverage of workplace agreements</w:t>
      </w:r>
    </w:p>
    <w:p w:rsidR="00AD4488" w:rsidRDefault="00AD4488" w:rsidP="00AD4488">
      <w:pPr>
        <w:pStyle w:val="BodyNum"/>
      </w:pPr>
      <w:bookmarkStart w:id="93" w:name="_Ref113168654"/>
      <w:r>
        <w:t xml:space="preserve">All </w:t>
      </w:r>
      <w:r w:rsidR="006D55AF">
        <w:t xml:space="preserve">non-SES </w:t>
      </w:r>
      <w:r>
        <w:t xml:space="preserve">employees are covered by </w:t>
      </w:r>
      <w:r w:rsidR="006D55AF">
        <w:t>an Enterprise Agreement</w:t>
      </w:r>
      <w:r>
        <w:t xml:space="preserve"> which commenced on </w:t>
      </w:r>
      <w:r w:rsidR="006D55AF">
        <w:t>12</w:t>
      </w:r>
      <w:r w:rsidR="009A0C07">
        <w:t xml:space="preserve"> </w:t>
      </w:r>
      <w:r w:rsidR="006D55AF">
        <w:t>May</w:t>
      </w:r>
      <w:r w:rsidR="009A0C07">
        <w:t xml:space="preserve"> </w:t>
      </w:r>
      <w:r w:rsidR="006D55AF">
        <w:t>2016 for a period of 3 years</w:t>
      </w:r>
      <w:r>
        <w:t>.</w:t>
      </w:r>
      <w:r w:rsidR="006D55AF">
        <w:t xml:space="preserve"> SES employees are covered by an Enterprise Agreement which commenced on </w:t>
      </w:r>
      <w:r w:rsidR="00D71D9F">
        <w:t>18</w:t>
      </w:r>
      <w:r w:rsidR="006D55AF">
        <w:t xml:space="preserve"> </w:t>
      </w:r>
      <w:r w:rsidR="00D71D9F">
        <w:t>October 2016</w:t>
      </w:r>
      <w:r w:rsidR="008A6117">
        <w:t xml:space="preserve"> for a period of 3 years</w:t>
      </w:r>
      <w:r w:rsidR="006D55AF">
        <w:t>.</w:t>
      </w:r>
    </w:p>
    <w:bookmarkEnd w:id="93"/>
    <w:p w:rsidR="00AD4488" w:rsidRDefault="00AD4488" w:rsidP="00AD4488">
      <w:pPr>
        <w:pStyle w:val="Head4"/>
      </w:pPr>
      <w:r>
        <w:t>Salary ranges</w:t>
      </w:r>
    </w:p>
    <w:p w:rsidR="00AD4488" w:rsidRDefault="00AD4488" w:rsidP="00AD4488">
      <w:pPr>
        <w:pStyle w:val="BodyNum"/>
      </w:pPr>
      <w:bookmarkStart w:id="94" w:name="_Ref113167215"/>
      <w:r>
        <w:t xml:space="preserve">The full range of salaries available under </w:t>
      </w:r>
      <w:proofErr w:type="spellStart"/>
      <w:r>
        <w:t>OPC’s</w:t>
      </w:r>
      <w:proofErr w:type="spellEnd"/>
      <w:r>
        <w:t xml:space="preserve"> Enterprise Agreements as at 30 June 201</w:t>
      </w:r>
      <w:r w:rsidR="00D71D9F">
        <w:t>7</w:t>
      </w:r>
      <w:r>
        <w:t xml:space="preserve"> is set out in Appendix B.</w:t>
      </w:r>
      <w:bookmarkEnd w:id="94"/>
    </w:p>
    <w:p w:rsidR="00AD4488" w:rsidRDefault="00AD4488" w:rsidP="00AD4488">
      <w:pPr>
        <w:pStyle w:val="Head4"/>
      </w:pPr>
      <w:r>
        <w:lastRenderedPageBreak/>
        <w:t>Non-salary benefits for APS employees</w:t>
      </w:r>
    </w:p>
    <w:p w:rsidR="00AD4488" w:rsidRDefault="00AD4488" w:rsidP="00AD4488">
      <w:pPr>
        <w:pStyle w:val="BodyNum"/>
      </w:pPr>
      <w:bookmarkStart w:id="95" w:name="_Ref113169217"/>
      <w:r>
        <w:t>SES s</w:t>
      </w:r>
      <w:r w:rsidR="00031644">
        <w:t>taff have the option of a fully-</w:t>
      </w:r>
      <w:r>
        <w:t>maintained, privately</w:t>
      </w:r>
      <w:r w:rsidR="00031644">
        <w:t>-</w:t>
      </w:r>
      <w:r>
        <w:t>plated vehicle</w:t>
      </w:r>
      <w:r w:rsidR="00031644">
        <w:t>,</w:t>
      </w:r>
      <w:r>
        <w:t xml:space="preserve"> or an allowance in lieu, and are provided with free on-site parking.</w:t>
      </w:r>
      <w:bookmarkEnd w:id="95"/>
    </w:p>
    <w:p w:rsidR="00AD4488" w:rsidRDefault="00AD4488" w:rsidP="00AD4488">
      <w:pPr>
        <w:pStyle w:val="BodyNum"/>
      </w:pPr>
      <w:r>
        <w:t>Staff occupying designated positions closely involved with the legislation process receive a telephone allowance to cover the cost of any work-related calls. SES staff have had an amount included in their salary to replace this entitlement, on condition that they maintain a home phone and allow the number to be circulated to any person who may need it in the course of business.</w:t>
      </w:r>
    </w:p>
    <w:p w:rsidR="00AD4488" w:rsidRDefault="00AD4488" w:rsidP="00AD4488">
      <w:pPr>
        <w:pStyle w:val="BodyNum"/>
      </w:pPr>
      <w:r>
        <w:t xml:space="preserve">To support the legislative drafting and associated work of OPC, staff can obtain remote access to </w:t>
      </w:r>
      <w:proofErr w:type="spellStart"/>
      <w:r>
        <w:t>OPC’s</w:t>
      </w:r>
      <w:proofErr w:type="spellEnd"/>
      <w:r>
        <w:t xml:space="preserve"> IT system. Recognising that staff need to have internet access to use remote access, OPC pays an allowance to remote access users.</w:t>
      </w:r>
    </w:p>
    <w:p w:rsidR="00AD4488" w:rsidRDefault="00AD4488" w:rsidP="00AD4488">
      <w:pPr>
        <w:pStyle w:val="BodyNum"/>
      </w:pPr>
      <w:r>
        <w:t>Other non-salary benefits available to staff were: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employer-sponsored superannuation;</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the cost of prescription spectacles or other eyewear up to the value of $5</w:t>
      </w:r>
      <w:r w:rsidR="006D55AF">
        <w:t>30</w:t>
      </w:r>
      <w:r>
        <w:t xml:space="preserve"> every 2 </w:t>
      </w:r>
      <w:r>
        <w:lastRenderedPageBreak/>
        <w:t>years or each time a new prescription is issued if that happens sooner;</w:t>
      </w:r>
      <w:r w:rsidR="00D71D9F">
        <w:t xml:space="preserve">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proofErr w:type="spellStart"/>
      <w:r>
        <w:t>depend</w:t>
      </w:r>
      <w:r w:rsidR="006D521B">
        <w:t>a</w:t>
      </w:r>
      <w:r>
        <w:t>nt</w:t>
      </w:r>
      <w:proofErr w:type="spellEnd"/>
      <w:r>
        <w:t xml:space="preserve"> care costs arising from working arrangements that are required in specific circumstances.</w:t>
      </w:r>
    </w:p>
    <w:p w:rsidR="00AD4488" w:rsidRDefault="00AD4488" w:rsidP="00AD4488">
      <w:pPr>
        <w:pStyle w:val="Head4"/>
      </w:pPr>
      <w:r>
        <w:t>Performance pay</w:t>
      </w:r>
    </w:p>
    <w:p w:rsidR="00AD4488" w:rsidRDefault="00AD4488" w:rsidP="00AD4488">
      <w:pPr>
        <w:pStyle w:val="BodyNum"/>
      </w:pPr>
      <w:bookmarkStart w:id="96" w:name="_Ref113169316"/>
      <w:r>
        <w:t xml:space="preserve">There is no provision for performance pay for APS employees in </w:t>
      </w:r>
      <w:proofErr w:type="spellStart"/>
      <w:r>
        <w:t>OPC’s</w:t>
      </w:r>
      <w:proofErr w:type="spellEnd"/>
      <w:r>
        <w:t xml:space="preserve"> Performance Management Programs.</w:t>
      </w:r>
      <w:bookmarkEnd w:id="96"/>
    </w:p>
    <w:p w:rsidR="00AD4488" w:rsidRDefault="00AD4488" w:rsidP="00AD4488">
      <w:pPr>
        <w:pStyle w:val="BodyNum"/>
      </w:pPr>
      <w:r>
        <w:t xml:space="preserve">However, OPC has comprehensive Performance Management Programs covering all staff under which salary advancement is dependent on staff being rated as at least “fully effective”. An experience loading for SES </w:t>
      </w:r>
      <w:r w:rsidR="00875C34">
        <w:t>staff</w:t>
      </w:r>
      <w:r>
        <w:t xml:space="preserve"> is also dependent on those </w:t>
      </w:r>
      <w:r w:rsidR="00875C34">
        <w:t>SES staff</w:t>
      </w:r>
      <w:r>
        <w:t xml:space="preserve"> being rated as at least “fully effective”.</w:t>
      </w:r>
    </w:p>
    <w:p w:rsidR="00AD4488" w:rsidRDefault="00AD4488" w:rsidP="00AD4488">
      <w:pPr>
        <w:pStyle w:val="Head4"/>
      </w:pPr>
      <w:r>
        <w:t>Staff changes and recruitment</w:t>
      </w:r>
    </w:p>
    <w:p w:rsidR="0018435F" w:rsidRDefault="00725C78" w:rsidP="00AD4488">
      <w:pPr>
        <w:pStyle w:val="BodyNum"/>
      </w:pPr>
      <w:bookmarkStart w:id="97" w:name="_Ref113169052"/>
      <w:r>
        <w:t>D</w:t>
      </w:r>
      <w:r w:rsidR="00AD4488">
        <w:t>uring the year</w:t>
      </w:r>
      <w:r w:rsidR="0018435F">
        <w:t>:</w:t>
      </w:r>
    </w:p>
    <w:bookmarkEnd w:id="97"/>
    <w:p w:rsidR="00AD4488" w:rsidRDefault="00AD4488" w:rsidP="00AD4488">
      <w:pPr>
        <w:pStyle w:val="AnnualReportBullet"/>
        <w:tabs>
          <w:tab w:val="left" w:pos="360"/>
        </w:tabs>
        <w:ind w:left="360" w:hanging="360"/>
      </w:pPr>
      <w:r>
        <w:rPr>
          <w:rFonts w:ascii="Symbol" w:hAnsi="Symbol"/>
        </w:rPr>
        <w:t></w:t>
      </w:r>
      <w:r>
        <w:rPr>
          <w:rFonts w:ascii="Symbol" w:hAnsi="Symbol"/>
        </w:rPr>
        <w:tab/>
      </w:r>
      <w:r w:rsidR="0018435F">
        <w:t xml:space="preserve">Ms </w:t>
      </w:r>
      <w:r w:rsidR="0096024F">
        <w:t>Naomi Carde, Ms Rebecca Considine and Ms Bronwyn Livermore were</w:t>
      </w:r>
      <w:r w:rsidR="0018435F">
        <w:t xml:space="preserve"> </w:t>
      </w:r>
      <w:r w:rsidR="0096024F">
        <w:t>promoted to First Assistant Parliamentary C</w:t>
      </w:r>
      <w:r w:rsidR="0018435F">
        <w:t>ounsel</w:t>
      </w:r>
      <w:r w:rsidR="0096024F">
        <w:t xml:space="preserve"> (SES Band 2)</w:t>
      </w:r>
      <w:r w:rsidR="009A0C07">
        <w:t>;</w:t>
      </w:r>
    </w:p>
    <w:p w:rsidR="0018435F" w:rsidRDefault="0018435F" w:rsidP="0018435F">
      <w:pPr>
        <w:pStyle w:val="AnnualReportBullet"/>
        <w:tabs>
          <w:tab w:val="left" w:pos="360"/>
        </w:tabs>
        <w:ind w:left="360" w:hanging="360"/>
      </w:pPr>
      <w:r>
        <w:rPr>
          <w:rFonts w:ascii="Symbol" w:hAnsi="Symbol"/>
        </w:rPr>
        <w:t></w:t>
      </w:r>
      <w:r>
        <w:rPr>
          <w:rFonts w:ascii="Symbol" w:hAnsi="Symbol"/>
        </w:rPr>
        <w:tab/>
      </w:r>
      <w:r w:rsidR="00044EE1">
        <w:t xml:space="preserve">Mr </w:t>
      </w:r>
      <w:r w:rsidR="0096024F">
        <w:t>Paul</w:t>
      </w:r>
      <w:r w:rsidR="00044EE1">
        <w:t xml:space="preserve"> </w:t>
      </w:r>
      <w:r w:rsidR="0096024F">
        <w:t>Millington and Ms Samara Zeitsch</w:t>
      </w:r>
      <w:r w:rsidR="00044EE1">
        <w:t xml:space="preserve"> were promoted to Senior Assistant </w:t>
      </w:r>
      <w:r w:rsidR="00044EE1">
        <w:lastRenderedPageBreak/>
        <w:t>Parliamentary Counsel (SES Band 1)</w:t>
      </w:r>
      <w:r>
        <w:t>;</w:t>
      </w:r>
      <w:r w:rsidR="00044EE1">
        <w:t xml:space="preserve"> and</w:t>
      </w:r>
    </w:p>
    <w:p w:rsidR="00044EE1" w:rsidRDefault="00044EE1" w:rsidP="00044EE1">
      <w:pPr>
        <w:pStyle w:val="AnnualReportBullet"/>
        <w:tabs>
          <w:tab w:val="left" w:pos="360"/>
        </w:tabs>
        <w:ind w:left="360" w:hanging="360"/>
      </w:pPr>
      <w:r>
        <w:rPr>
          <w:rFonts w:ascii="Symbol" w:hAnsi="Symbol"/>
        </w:rPr>
        <w:t></w:t>
      </w:r>
      <w:r>
        <w:rPr>
          <w:rFonts w:ascii="Symbol" w:hAnsi="Symbol"/>
        </w:rPr>
        <w:tab/>
      </w:r>
      <w:r>
        <w:t>the following staff were recruited/promoted:</w:t>
      </w:r>
    </w:p>
    <w:p w:rsidR="0018435F" w:rsidRDefault="00031644" w:rsidP="00031644">
      <w:pPr>
        <w:pStyle w:val="BodyParaBulletSub"/>
      </w:pPr>
      <w:r>
        <w:t>-</w:t>
      </w:r>
      <w:r>
        <w:tab/>
      </w:r>
      <w:r w:rsidR="0096024F">
        <w:t>one</w:t>
      </w:r>
      <w:r w:rsidR="0018435F">
        <w:t xml:space="preserve"> </w:t>
      </w:r>
      <w:r w:rsidR="00044EE1">
        <w:t>Assistant Parliamentary Counsel, Grade 3</w:t>
      </w:r>
      <w:r w:rsidR="0018435F">
        <w:t>;</w:t>
      </w:r>
    </w:p>
    <w:p w:rsidR="00044EE1" w:rsidRDefault="00031644" w:rsidP="00031644">
      <w:pPr>
        <w:pStyle w:val="BodyParaBulletSub"/>
      </w:pPr>
      <w:r>
        <w:t>-</w:t>
      </w:r>
      <w:r>
        <w:tab/>
      </w:r>
      <w:r w:rsidR="0096024F">
        <w:t>two</w:t>
      </w:r>
      <w:r w:rsidR="00044EE1">
        <w:t xml:space="preserve"> Assistant Parliamentary Counsel, Grade 2;</w:t>
      </w:r>
    </w:p>
    <w:p w:rsidR="00044EE1" w:rsidRDefault="00031644" w:rsidP="00031644">
      <w:pPr>
        <w:pStyle w:val="BodyParaBulletSub"/>
      </w:pPr>
      <w:r>
        <w:t>-</w:t>
      </w:r>
      <w:r>
        <w:tab/>
      </w:r>
      <w:r w:rsidR="0096024F">
        <w:t>four</w:t>
      </w:r>
      <w:r w:rsidR="00044EE1">
        <w:t xml:space="preserve"> Assistant Parliamentary Counsel, Grade 1;</w:t>
      </w:r>
    </w:p>
    <w:p w:rsidR="009B5914" w:rsidRDefault="00031644" w:rsidP="00031644">
      <w:pPr>
        <w:pStyle w:val="BodyParaBulletSub"/>
      </w:pPr>
      <w:r>
        <w:t>-</w:t>
      </w:r>
      <w:r>
        <w:tab/>
      </w:r>
      <w:r w:rsidR="0096024F">
        <w:t>two</w:t>
      </w:r>
      <w:r w:rsidR="009B5914">
        <w:t xml:space="preserve"> Senior </w:t>
      </w:r>
      <w:r w:rsidR="00613DC1">
        <w:t>Editorial</w:t>
      </w:r>
      <w:r w:rsidR="0096024F">
        <w:t xml:space="preserve"> and Publishing</w:t>
      </w:r>
      <w:r w:rsidR="009B5914">
        <w:t xml:space="preserve"> Officer</w:t>
      </w:r>
      <w:r w:rsidR="0096024F">
        <w:t>s</w:t>
      </w:r>
      <w:r w:rsidR="009B5914">
        <w:t>;</w:t>
      </w:r>
    </w:p>
    <w:p w:rsidR="0096024F" w:rsidRDefault="0096024F" w:rsidP="00031644">
      <w:pPr>
        <w:pStyle w:val="BodyParaBulletSub"/>
      </w:pPr>
      <w:r>
        <w:t>-</w:t>
      </w:r>
      <w:r>
        <w:tab/>
        <w:t>three Assistant Editorial and Publishing Officers; and</w:t>
      </w:r>
    </w:p>
    <w:p w:rsidR="00AD4488" w:rsidRPr="00A5209B" w:rsidRDefault="00031644" w:rsidP="00031644">
      <w:pPr>
        <w:pStyle w:val="BodyParaBulletSub"/>
      </w:pPr>
      <w:r>
        <w:t>-</w:t>
      </w:r>
      <w:r>
        <w:tab/>
      </w:r>
      <w:r w:rsidR="0096024F">
        <w:t>one</w:t>
      </w:r>
      <w:r w:rsidR="009A0C07">
        <w:t xml:space="preserve"> Assistant </w:t>
      </w:r>
      <w:r w:rsidR="0096024F">
        <w:t>Human Resources</w:t>
      </w:r>
      <w:r w:rsidR="009A0C07">
        <w:t xml:space="preserve"> Officer.</w:t>
      </w:r>
    </w:p>
    <w:p w:rsidR="00AD4488" w:rsidRDefault="00AD4488" w:rsidP="00AD4488">
      <w:pPr>
        <w:pStyle w:val="Head4"/>
      </w:pPr>
      <w:r>
        <w:t>Workforce planning</w:t>
      </w:r>
    </w:p>
    <w:p w:rsidR="00AD4488" w:rsidRDefault="00AD4488" w:rsidP="00AD4488">
      <w:pPr>
        <w:pStyle w:val="BodyNum"/>
      </w:pPr>
      <w:bookmarkStart w:id="98" w:name="_Ref113169101"/>
      <w:proofErr w:type="spellStart"/>
      <w:r>
        <w:t>OPC’s</w:t>
      </w:r>
      <w:proofErr w:type="spellEnd"/>
      <w:r>
        <w:t xml:space="preserve"> workforce planning document is an integral part of our broader planning processes and ensures that we have a workforce capable of delivering on the objectives of OPC now and into the future.</w:t>
      </w:r>
    </w:p>
    <w:p w:rsidR="00AD4488" w:rsidRDefault="00AD4488" w:rsidP="00AD4488">
      <w:pPr>
        <w:pStyle w:val="BodyNum"/>
      </w:pPr>
      <w:proofErr w:type="spellStart"/>
      <w:r>
        <w:t>OPC’s</w:t>
      </w:r>
      <w:proofErr w:type="spellEnd"/>
      <w:r>
        <w:t xml:space="preserve"> strategies for ensuring that it has sufficient human resources to maintain its legislative drafting capability include:</w:t>
      </w:r>
      <w:bookmarkEnd w:id="98"/>
    </w:p>
    <w:p w:rsidR="00AD4488" w:rsidRDefault="00AD4488" w:rsidP="00AD4488">
      <w:pPr>
        <w:pStyle w:val="AnnualReportBullet"/>
        <w:tabs>
          <w:tab w:val="left" w:pos="360"/>
        </w:tabs>
        <w:ind w:left="360" w:hanging="360"/>
      </w:pPr>
      <w:r>
        <w:rPr>
          <w:rFonts w:ascii="Symbol" w:hAnsi="Symbol"/>
        </w:rPr>
        <w:lastRenderedPageBreak/>
        <w:t></w:t>
      </w:r>
      <w:r>
        <w:rPr>
          <w:rFonts w:ascii="Symbol" w:hAnsi="Symbol"/>
        </w:rPr>
        <w:tab/>
      </w:r>
      <w:r>
        <w:t>providing support for the Director of Drafter Training to coordinate the training and development of drafters;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giving assistant drafters intensive on-the-job training in legislative drafting as well as formal training in other relevant areas (such as IT);</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supporting each assistant drafter appointed to act as a senior drafter by providing access to another senior drafter as</w:t>
      </w:r>
      <w:r w:rsidR="00D95428">
        <w:t xml:space="preserve"> a</w:t>
      </w:r>
      <w:r>
        <w:t xml:space="preserve"> mentor;</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recognising that the contribution individual drafters make to achieving </w:t>
      </w:r>
      <w:proofErr w:type="spellStart"/>
      <w:r>
        <w:t>OPC’s</w:t>
      </w:r>
      <w:proofErr w:type="spellEnd"/>
      <w:r>
        <w:t xml:space="preserve"> outcome increases as their level of drafting experience increases;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giving staff who do not have access to flex-time access to flexible working hours.</w:t>
      </w:r>
    </w:p>
    <w:p w:rsidR="00AD4488" w:rsidRDefault="00AD4488" w:rsidP="00AD4488">
      <w:pPr>
        <w:pStyle w:val="Head4"/>
      </w:pPr>
      <w:r>
        <w:t>Effect of workplace agreements on staff retention</w:t>
      </w:r>
    </w:p>
    <w:p w:rsidR="00AD4488" w:rsidRDefault="00AD4488" w:rsidP="00AD4488">
      <w:pPr>
        <w:pStyle w:val="BodyNum"/>
      </w:pPr>
      <w:bookmarkStart w:id="99" w:name="_Ref113168668"/>
      <w:r>
        <w:t>Retention of drafting staff has been aided by:</w:t>
      </w:r>
      <w:bookmarkEnd w:id="99"/>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providing more flexible leave arrangements, including annual leave and personal/carer</w:t>
      </w:r>
      <w:r w:rsidR="00DD75A2">
        <w:t>’</w:t>
      </w:r>
      <w:r>
        <w:t>s leave;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recognising the value of experienced senior drafters by </w:t>
      </w:r>
      <w:r>
        <w:lastRenderedPageBreak/>
        <w:t>providing for payment of an experience loading;</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allowing some time off in recognition of the excess hours often worked by drafters (without providing a full flex-time scheme for drafters);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providing flexible working hours arrangements that allow drafters to better manage their work and personal commitments;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permitting part-time arrangements for drafters (and other staff) to allow them to balance their work and personal commitments (these arrangements are available not only to staff with caring responsibilities, but also to any staff member whose wish to work part-time can be accommodated by operational requirements).</w:t>
      </w:r>
    </w:p>
    <w:p w:rsidR="00AD4488" w:rsidRDefault="00AD4488" w:rsidP="00AD4488">
      <w:pPr>
        <w:pStyle w:val="Head3"/>
      </w:pPr>
      <w:bookmarkStart w:id="100" w:name="_Toc492656479"/>
      <w:r>
        <w:t>Workplace diversity</w:t>
      </w:r>
      <w:bookmarkEnd w:id="100"/>
    </w:p>
    <w:p w:rsidR="00AD4488" w:rsidRDefault="00AD4488" w:rsidP="00AD4488">
      <w:pPr>
        <w:pStyle w:val="Head4"/>
      </w:pPr>
      <w:proofErr w:type="spellStart"/>
      <w:r w:rsidRPr="00DF4A3D">
        <w:t>OPC</w:t>
      </w:r>
      <w:r>
        <w:t>’</w:t>
      </w:r>
      <w:r w:rsidR="006D521B">
        <w:t>s</w:t>
      </w:r>
      <w:proofErr w:type="spellEnd"/>
      <w:r w:rsidR="006D521B">
        <w:t xml:space="preserve"> W</w:t>
      </w:r>
      <w:r w:rsidRPr="00DF4A3D">
        <w:t xml:space="preserve">orkplace </w:t>
      </w:r>
      <w:r w:rsidR="006D521B">
        <w:t>D</w:t>
      </w:r>
      <w:r w:rsidRPr="00DF4A3D">
        <w:t xml:space="preserve">iversity </w:t>
      </w:r>
      <w:r w:rsidR="006D521B">
        <w:t>P</w:t>
      </w:r>
      <w:r w:rsidRPr="00DF4A3D">
        <w:t>rogram</w:t>
      </w:r>
    </w:p>
    <w:p w:rsidR="00AD4488" w:rsidRDefault="00AD4488" w:rsidP="00AD4488">
      <w:pPr>
        <w:pStyle w:val="BodyNum"/>
      </w:pPr>
      <w:bookmarkStart w:id="101" w:name="_Ref241317579"/>
      <w:r>
        <w:t xml:space="preserve">The objectives of </w:t>
      </w:r>
      <w:proofErr w:type="spellStart"/>
      <w:r>
        <w:t>OPC’s</w:t>
      </w:r>
      <w:proofErr w:type="spellEnd"/>
      <w:r>
        <w:t xml:space="preserve"> Workplace Diversity Program are: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to raise awareness of workplace diversity and</w:t>
      </w:r>
      <w:r w:rsidR="00DD75A2">
        <w:t xml:space="preserve"> of</w:t>
      </w:r>
      <w:r>
        <w:t xml:space="preserve"> the value of a diverse workforce to OPC;</w:t>
      </w:r>
    </w:p>
    <w:p w:rsidR="00AD4488" w:rsidRDefault="00AD4488" w:rsidP="00AD4488">
      <w:pPr>
        <w:pStyle w:val="AnnualReportBullet"/>
        <w:tabs>
          <w:tab w:val="left" w:pos="360"/>
        </w:tabs>
        <w:ind w:left="360" w:hanging="360"/>
      </w:pPr>
      <w:r>
        <w:rPr>
          <w:rFonts w:ascii="Symbol" w:hAnsi="Symbol"/>
        </w:rPr>
        <w:lastRenderedPageBreak/>
        <w:t></w:t>
      </w:r>
      <w:r>
        <w:rPr>
          <w:rFonts w:ascii="Symbol" w:hAnsi="Symbol"/>
        </w:rPr>
        <w:tab/>
      </w:r>
      <w:r>
        <w:t>to ensure that workplace structures, conditions, systems and procedures foster diversity and allow employees to manage work and personal life;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to ensure equity in employment is promoted and upheld;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to continue to provide opportunities for employees to participate and contribute to the work of OPC;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to prevent and eliminate bullying, harassment and unlawful discrimination in the workplace.</w:t>
      </w:r>
    </w:p>
    <w:p w:rsidR="00802448" w:rsidRPr="00812C1B" w:rsidRDefault="00AD4488" w:rsidP="00AD4488">
      <w:pPr>
        <w:pStyle w:val="BodyNum"/>
      </w:pPr>
      <w:r w:rsidRPr="00802448">
        <w:t>At the end of 201</w:t>
      </w:r>
      <w:r w:rsidR="003D3EB6">
        <w:t>6</w:t>
      </w:r>
      <w:r w:rsidRPr="00802448">
        <w:t>-201</w:t>
      </w:r>
      <w:r w:rsidR="003D3EB6">
        <w:t>7</w:t>
      </w:r>
      <w:r w:rsidR="00DD75A2" w:rsidRPr="00802448">
        <w:t>,</w:t>
      </w:r>
      <w:r w:rsidRPr="00802448">
        <w:t xml:space="preserve"> the </w:t>
      </w:r>
      <w:proofErr w:type="spellStart"/>
      <w:r w:rsidRPr="00802448">
        <w:t>APSC</w:t>
      </w:r>
      <w:proofErr w:type="spellEnd"/>
      <w:r w:rsidRPr="00802448">
        <w:t xml:space="preserve"> conducted the 201</w:t>
      </w:r>
      <w:r w:rsidR="003D3EB6">
        <w:t>7</w:t>
      </w:r>
      <w:r w:rsidRPr="00802448">
        <w:t xml:space="preserve"> State of the Service Employee Census. </w:t>
      </w:r>
      <w:r w:rsidR="00FD232C">
        <w:t>Seventy f</w:t>
      </w:r>
      <w:r w:rsidR="008A6117" w:rsidRPr="008A6117">
        <w:t>our</w:t>
      </w:r>
      <w:r w:rsidRPr="008A6117">
        <w:t xml:space="preserve"> per cent</w:t>
      </w:r>
      <w:r w:rsidRPr="00812C1B">
        <w:t xml:space="preserve"> of </w:t>
      </w:r>
      <w:proofErr w:type="spellStart"/>
      <w:r w:rsidRPr="00812C1B">
        <w:t>OPC’s</w:t>
      </w:r>
      <w:proofErr w:type="spellEnd"/>
      <w:r w:rsidRPr="00812C1B">
        <w:t xml:space="preserve"> employ</w:t>
      </w:r>
      <w:r w:rsidR="00802448" w:rsidRPr="00812C1B">
        <w:t>ees participated in the survey.</w:t>
      </w:r>
    </w:p>
    <w:p w:rsidR="00AD4488" w:rsidRPr="00111AD7" w:rsidRDefault="00AD4488" w:rsidP="00AD4488">
      <w:pPr>
        <w:pStyle w:val="BodyNum"/>
      </w:pPr>
      <w:r w:rsidRPr="00111AD7">
        <w:t xml:space="preserve">The following table shows </w:t>
      </w:r>
      <w:proofErr w:type="spellStart"/>
      <w:r w:rsidRPr="00111AD7">
        <w:t>OPC’s</w:t>
      </w:r>
      <w:proofErr w:type="spellEnd"/>
      <w:r w:rsidRPr="00111AD7">
        <w:t xml:space="preserve"> results against the performance indicators for each objective:</w:t>
      </w:r>
    </w:p>
    <w:p w:rsidR="00AD4488" w:rsidRPr="001F4B60" w:rsidRDefault="00AD4488" w:rsidP="00AD4488">
      <w:pPr>
        <w:pStyle w:val="Tabletext"/>
        <w:spacing w:before="0" w:line="240" w:lineRule="auto"/>
      </w:pPr>
    </w:p>
    <w:tbl>
      <w:tblPr>
        <w:tblW w:w="3360" w:type="dxa"/>
        <w:tblInd w:w="108" w:type="dxa"/>
        <w:tblLayout w:type="fixed"/>
        <w:tblLook w:val="0000" w:firstRow="0" w:lastRow="0" w:firstColumn="0" w:lastColumn="0" w:noHBand="0" w:noVBand="0"/>
      </w:tblPr>
      <w:tblGrid>
        <w:gridCol w:w="284"/>
        <w:gridCol w:w="76"/>
        <w:gridCol w:w="1800"/>
        <w:gridCol w:w="600"/>
        <w:gridCol w:w="600"/>
      </w:tblGrid>
      <w:tr w:rsidR="00AD4488" w:rsidRPr="00D247EE" w:rsidTr="00B37353">
        <w:trPr>
          <w:trHeight w:val="600"/>
          <w:tblHeader/>
        </w:trPr>
        <w:tc>
          <w:tcPr>
            <w:tcW w:w="284" w:type="dxa"/>
            <w:vMerge w:val="restart"/>
            <w:tcBorders>
              <w:top w:val="single" w:sz="12" w:space="0" w:color="auto"/>
            </w:tcBorders>
            <w:shd w:val="clear" w:color="auto" w:fill="auto"/>
          </w:tcPr>
          <w:p w:rsidR="00AD4488" w:rsidRPr="00D247EE" w:rsidRDefault="00AD4488" w:rsidP="00B37353">
            <w:pPr>
              <w:pStyle w:val="Tabletext"/>
              <w:keepNext/>
              <w:spacing w:line="120" w:lineRule="atLeast"/>
              <w:rPr>
                <w:b/>
                <w:sz w:val="16"/>
                <w:szCs w:val="16"/>
              </w:rPr>
            </w:pPr>
          </w:p>
        </w:tc>
        <w:tc>
          <w:tcPr>
            <w:tcW w:w="1876" w:type="dxa"/>
            <w:gridSpan w:val="2"/>
            <w:vMerge w:val="restart"/>
            <w:tcBorders>
              <w:top w:val="single" w:sz="12" w:space="0" w:color="auto"/>
            </w:tcBorders>
            <w:shd w:val="clear" w:color="auto" w:fill="auto"/>
          </w:tcPr>
          <w:p w:rsidR="00AD4488" w:rsidRPr="00D247EE" w:rsidRDefault="00AD4488" w:rsidP="00B37353">
            <w:pPr>
              <w:pStyle w:val="Tabletext"/>
              <w:keepNext/>
              <w:rPr>
                <w:b/>
                <w:sz w:val="16"/>
                <w:szCs w:val="16"/>
              </w:rPr>
            </w:pPr>
            <w:r>
              <w:rPr>
                <w:b/>
                <w:sz w:val="16"/>
                <w:szCs w:val="16"/>
              </w:rPr>
              <w:t>Objectives and Performance Indicators (PI)</w:t>
            </w:r>
          </w:p>
        </w:tc>
        <w:tc>
          <w:tcPr>
            <w:tcW w:w="1200" w:type="dxa"/>
            <w:gridSpan w:val="2"/>
            <w:tcBorders>
              <w:top w:val="single" w:sz="12" w:space="0" w:color="auto"/>
              <w:bottom w:val="single" w:sz="4" w:space="0" w:color="auto"/>
            </w:tcBorders>
            <w:shd w:val="clear" w:color="auto" w:fill="auto"/>
          </w:tcPr>
          <w:p w:rsidR="00AD4488" w:rsidRPr="00D247EE" w:rsidRDefault="00AD4488" w:rsidP="00B37353">
            <w:pPr>
              <w:pStyle w:val="Tabletext"/>
              <w:keepNext/>
              <w:rPr>
                <w:b/>
                <w:sz w:val="16"/>
                <w:szCs w:val="16"/>
              </w:rPr>
            </w:pPr>
            <w:r w:rsidRPr="00D247EE">
              <w:rPr>
                <w:b/>
                <w:sz w:val="16"/>
                <w:szCs w:val="16"/>
              </w:rPr>
              <w:t>% Agreed</w:t>
            </w:r>
          </w:p>
        </w:tc>
      </w:tr>
      <w:tr w:rsidR="00AD4488" w:rsidRPr="00D247EE" w:rsidTr="00B37353">
        <w:trPr>
          <w:trHeight w:val="600"/>
          <w:tblHeader/>
        </w:trPr>
        <w:tc>
          <w:tcPr>
            <w:tcW w:w="284" w:type="dxa"/>
            <w:vMerge/>
            <w:tcBorders>
              <w:bottom w:val="single" w:sz="12" w:space="0" w:color="auto"/>
            </w:tcBorders>
            <w:shd w:val="clear" w:color="auto" w:fill="auto"/>
          </w:tcPr>
          <w:p w:rsidR="00AD4488" w:rsidRPr="00D247EE" w:rsidRDefault="00AD4488" w:rsidP="00B37353">
            <w:pPr>
              <w:pStyle w:val="Tabletext"/>
              <w:keepNext/>
              <w:rPr>
                <w:b/>
                <w:sz w:val="16"/>
                <w:szCs w:val="16"/>
              </w:rPr>
            </w:pPr>
          </w:p>
        </w:tc>
        <w:tc>
          <w:tcPr>
            <w:tcW w:w="1876" w:type="dxa"/>
            <w:gridSpan w:val="2"/>
            <w:vMerge/>
            <w:tcBorders>
              <w:bottom w:val="single" w:sz="12" w:space="0" w:color="auto"/>
            </w:tcBorders>
            <w:shd w:val="clear" w:color="auto" w:fill="auto"/>
          </w:tcPr>
          <w:p w:rsidR="00AD4488" w:rsidRPr="00D247EE" w:rsidRDefault="00AD4488" w:rsidP="00B37353">
            <w:pPr>
              <w:pStyle w:val="Tabletext"/>
              <w:keepNext/>
              <w:rPr>
                <w:b/>
                <w:sz w:val="16"/>
                <w:szCs w:val="16"/>
              </w:rPr>
            </w:pPr>
          </w:p>
        </w:tc>
        <w:tc>
          <w:tcPr>
            <w:tcW w:w="600" w:type="dxa"/>
            <w:tcBorders>
              <w:top w:val="single" w:sz="4" w:space="0" w:color="auto"/>
              <w:bottom w:val="single" w:sz="12" w:space="0" w:color="auto"/>
            </w:tcBorders>
            <w:shd w:val="clear" w:color="auto" w:fill="auto"/>
          </w:tcPr>
          <w:p w:rsidR="00AD4488" w:rsidRPr="00D247EE" w:rsidRDefault="00AD4488" w:rsidP="00B37353">
            <w:pPr>
              <w:pStyle w:val="Tabletext"/>
              <w:keepNext/>
              <w:rPr>
                <w:b/>
                <w:sz w:val="16"/>
                <w:szCs w:val="16"/>
              </w:rPr>
            </w:pPr>
            <w:r w:rsidRPr="00D247EE">
              <w:rPr>
                <w:b/>
                <w:sz w:val="16"/>
                <w:szCs w:val="16"/>
              </w:rPr>
              <w:t>OPC</w:t>
            </w:r>
          </w:p>
        </w:tc>
        <w:tc>
          <w:tcPr>
            <w:tcW w:w="600" w:type="dxa"/>
            <w:tcBorders>
              <w:top w:val="single" w:sz="4" w:space="0" w:color="auto"/>
              <w:bottom w:val="single" w:sz="12" w:space="0" w:color="auto"/>
            </w:tcBorders>
            <w:shd w:val="clear" w:color="auto" w:fill="auto"/>
          </w:tcPr>
          <w:p w:rsidR="00AD4488" w:rsidRPr="00D247EE" w:rsidRDefault="00AD4488" w:rsidP="00B37353">
            <w:pPr>
              <w:pStyle w:val="Tabletext"/>
              <w:keepNext/>
              <w:rPr>
                <w:b/>
                <w:sz w:val="16"/>
                <w:szCs w:val="16"/>
              </w:rPr>
            </w:pPr>
            <w:r>
              <w:rPr>
                <w:b/>
                <w:sz w:val="16"/>
                <w:szCs w:val="16"/>
              </w:rPr>
              <w:t>PI</w:t>
            </w:r>
          </w:p>
        </w:tc>
      </w:tr>
      <w:tr w:rsidR="00AD4488" w:rsidRPr="00D247EE" w:rsidTr="00B37353">
        <w:tc>
          <w:tcPr>
            <w:tcW w:w="360" w:type="dxa"/>
            <w:gridSpan w:val="2"/>
            <w:tcBorders>
              <w:top w:val="single" w:sz="12" w:space="0" w:color="auto"/>
              <w:bottom w:val="single" w:sz="2" w:space="0" w:color="auto"/>
            </w:tcBorders>
            <w:shd w:val="clear" w:color="auto" w:fill="auto"/>
          </w:tcPr>
          <w:p w:rsidR="00AD4488" w:rsidRPr="00D247EE" w:rsidRDefault="00AD4488" w:rsidP="00B37353">
            <w:pPr>
              <w:pStyle w:val="Tabletext"/>
              <w:rPr>
                <w:sz w:val="16"/>
                <w:szCs w:val="16"/>
              </w:rPr>
            </w:pPr>
            <w:r w:rsidRPr="00D247EE">
              <w:rPr>
                <w:sz w:val="16"/>
                <w:szCs w:val="16"/>
              </w:rPr>
              <w:t>1</w:t>
            </w:r>
          </w:p>
        </w:tc>
        <w:tc>
          <w:tcPr>
            <w:tcW w:w="1800" w:type="dxa"/>
            <w:tcBorders>
              <w:top w:val="single" w:sz="12" w:space="0" w:color="auto"/>
              <w:bottom w:val="single" w:sz="2" w:space="0" w:color="auto"/>
            </w:tcBorders>
            <w:shd w:val="clear" w:color="auto" w:fill="auto"/>
          </w:tcPr>
          <w:p w:rsidR="00AD4488" w:rsidRDefault="006D521B" w:rsidP="00B37353">
            <w:pPr>
              <w:pStyle w:val="Tabletext"/>
              <w:rPr>
                <w:sz w:val="16"/>
                <w:szCs w:val="16"/>
              </w:rPr>
            </w:pPr>
            <w:r>
              <w:rPr>
                <w:sz w:val="16"/>
                <w:szCs w:val="16"/>
              </w:rPr>
              <w:t>The people in my work</w:t>
            </w:r>
            <w:r w:rsidR="00AD4488">
              <w:rPr>
                <w:sz w:val="16"/>
                <w:szCs w:val="16"/>
              </w:rPr>
              <w:t xml:space="preserve">group </w:t>
            </w:r>
            <w:r w:rsidR="00CB6C07">
              <w:rPr>
                <w:sz w:val="16"/>
                <w:szCs w:val="16"/>
              </w:rPr>
              <w:t>behave in an</w:t>
            </w:r>
            <w:r w:rsidR="00AD4488">
              <w:rPr>
                <w:sz w:val="16"/>
                <w:szCs w:val="16"/>
              </w:rPr>
              <w:t xml:space="preserve"> accepting</w:t>
            </w:r>
            <w:r w:rsidR="00CB6C07">
              <w:rPr>
                <w:sz w:val="16"/>
                <w:szCs w:val="16"/>
              </w:rPr>
              <w:t xml:space="preserve"> manner towards</w:t>
            </w:r>
            <w:r w:rsidR="00AD4488">
              <w:rPr>
                <w:sz w:val="16"/>
                <w:szCs w:val="16"/>
              </w:rPr>
              <w:t xml:space="preserve"> people from diverse backgrounds.</w:t>
            </w:r>
          </w:p>
          <w:p w:rsidR="00AD4488" w:rsidRDefault="00CB6C07" w:rsidP="00B37353">
            <w:pPr>
              <w:pStyle w:val="Tabletext"/>
              <w:rPr>
                <w:sz w:val="16"/>
                <w:szCs w:val="16"/>
              </w:rPr>
            </w:pPr>
            <w:r>
              <w:rPr>
                <w:sz w:val="16"/>
                <w:szCs w:val="16"/>
              </w:rPr>
              <w:lastRenderedPageBreak/>
              <w:t>SES</w:t>
            </w:r>
            <w:r w:rsidR="00AD4488">
              <w:rPr>
                <w:sz w:val="16"/>
                <w:szCs w:val="16"/>
              </w:rPr>
              <w:t xml:space="preserve"> </w:t>
            </w:r>
            <w:r>
              <w:rPr>
                <w:sz w:val="16"/>
                <w:szCs w:val="16"/>
              </w:rPr>
              <w:t>behave in an accepting manner towards</w:t>
            </w:r>
            <w:r w:rsidR="00AD4488">
              <w:rPr>
                <w:sz w:val="16"/>
                <w:szCs w:val="16"/>
              </w:rPr>
              <w:t xml:space="preserve"> people from diverse backgrounds.</w:t>
            </w:r>
          </w:p>
          <w:p w:rsidR="00AD4488" w:rsidRPr="00D247EE" w:rsidRDefault="00AD4488" w:rsidP="00B37353">
            <w:pPr>
              <w:pStyle w:val="Tabletext"/>
              <w:rPr>
                <w:sz w:val="16"/>
                <w:szCs w:val="16"/>
              </w:rPr>
            </w:pPr>
            <w:r>
              <w:rPr>
                <w:sz w:val="16"/>
                <w:szCs w:val="16"/>
              </w:rPr>
              <w:t>OPC is committed to creating a diverse workforce.</w:t>
            </w:r>
          </w:p>
        </w:tc>
        <w:tc>
          <w:tcPr>
            <w:tcW w:w="600" w:type="dxa"/>
            <w:tcBorders>
              <w:top w:val="single" w:sz="12" w:space="0" w:color="auto"/>
              <w:bottom w:val="single" w:sz="2" w:space="0" w:color="auto"/>
            </w:tcBorders>
            <w:shd w:val="clear" w:color="auto" w:fill="auto"/>
          </w:tcPr>
          <w:p w:rsidR="00AD4488" w:rsidRPr="00E57EDA" w:rsidRDefault="00E57EDA" w:rsidP="00B37353">
            <w:pPr>
              <w:pStyle w:val="Tabletext"/>
              <w:rPr>
                <w:b/>
                <w:sz w:val="16"/>
                <w:szCs w:val="16"/>
              </w:rPr>
            </w:pPr>
            <w:r w:rsidRPr="00E57EDA">
              <w:rPr>
                <w:b/>
                <w:sz w:val="16"/>
                <w:szCs w:val="16"/>
              </w:rPr>
              <w:t>85</w:t>
            </w:r>
          </w:p>
          <w:p w:rsidR="00AD4488" w:rsidRPr="003D3EB6" w:rsidRDefault="00AD4488" w:rsidP="00B37353">
            <w:pPr>
              <w:pStyle w:val="Tabletext"/>
              <w:rPr>
                <w:b/>
                <w:sz w:val="16"/>
                <w:szCs w:val="16"/>
                <w:highlight w:val="yellow"/>
              </w:rPr>
            </w:pPr>
          </w:p>
          <w:p w:rsidR="00AD4488" w:rsidRPr="003D3EB6" w:rsidRDefault="00AD4488" w:rsidP="00B37353">
            <w:pPr>
              <w:pStyle w:val="Tabletext"/>
              <w:rPr>
                <w:b/>
                <w:sz w:val="16"/>
                <w:szCs w:val="16"/>
                <w:highlight w:val="yellow"/>
              </w:rPr>
            </w:pPr>
          </w:p>
          <w:p w:rsidR="00AD4488" w:rsidRPr="00E57EDA" w:rsidRDefault="00E57EDA" w:rsidP="00B37353">
            <w:pPr>
              <w:pStyle w:val="Tabletext"/>
              <w:rPr>
                <w:b/>
                <w:sz w:val="16"/>
                <w:szCs w:val="16"/>
              </w:rPr>
            </w:pPr>
            <w:r w:rsidRPr="00E57EDA">
              <w:rPr>
                <w:b/>
                <w:sz w:val="16"/>
                <w:szCs w:val="16"/>
              </w:rPr>
              <w:t>78</w:t>
            </w:r>
          </w:p>
          <w:p w:rsidR="00AD4488" w:rsidRPr="003D3EB6" w:rsidRDefault="00AD4488" w:rsidP="00B37353">
            <w:pPr>
              <w:pStyle w:val="Tabletext"/>
              <w:rPr>
                <w:b/>
                <w:sz w:val="16"/>
                <w:szCs w:val="16"/>
                <w:highlight w:val="yellow"/>
              </w:rPr>
            </w:pPr>
          </w:p>
          <w:p w:rsidR="00AD4488" w:rsidRPr="003D3EB6" w:rsidRDefault="00AD4488" w:rsidP="00B37353">
            <w:pPr>
              <w:pStyle w:val="Tabletext"/>
              <w:rPr>
                <w:b/>
                <w:sz w:val="16"/>
                <w:szCs w:val="16"/>
                <w:highlight w:val="yellow"/>
              </w:rPr>
            </w:pPr>
          </w:p>
          <w:p w:rsidR="00AD4488" w:rsidRPr="003D3EB6" w:rsidRDefault="00E57EDA" w:rsidP="00B37353">
            <w:pPr>
              <w:pStyle w:val="Tabletext"/>
              <w:rPr>
                <w:b/>
                <w:sz w:val="16"/>
                <w:szCs w:val="16"/>
                <w:highlight w:val="yellow"/>
              </w:rPr>
            </w:pPr>
            <w:r w:rsidRPr="00E57EDA">
              <w:rPr>
                <w:b/>
                <w:sz w:val="16"/>
                <w:szCs w:val="16"/>
              </w:rPr>
              <w:t>52</w:t>
            </w:r>
            <w:r w:rsidR="00AD4488" w:rsidRPr="00E57EDA">
              <w:rPr>
                <w:b/>
                <w:sz w:val="16"/>
                <w:szCs w:val="16"/>
              </w:rPr>
              <w:t>*</w:t>
            </w:r>
          </w:p>
        </w:tc>
        <w:tc>
          <w:tcPr>
            <w:tcW w:w="600" w:type="dxa"/>
            <w:tcBorders>
              <w:top w:val="single" w:sz="12" w:space="0" w:color="auto"/>
              <w:bottom w:val="single" w:sz="2" w:space="0" w:color="auto"/>
            </w:tcBorders>
            <w:shd w:val="clear" w:color="auto" w:fill="auto"/>
          </w:tcPr>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Default="00AD4488" w:rsidP="00B37353">
            <w:pPr>
              <w:pStyle w:val="Tabletext"/>
              <w:rPr>
                <w:i/>
                <w:sz w:val="16"/>
                <w:szCs w:val="16"/>
              </w:rPr>
            </w:pPr>
          </w:p>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Default="00AD4488" w:rsidP="00B37353">
            <w:pPr>
              <w:pStyle w:val="Tabletext"/>
              <w:rPr>
                <w:i/>
                <w:sz w:val="16"/>
                <w:szCs w:val="16"/>
              </w:rPr>
            </w:pPr>
          </w:p>
          <w:p w:rsidR="00AD4488" w:rsidRPr="00D247EE" w:rsidRDefault="00AD4488" w:rsidP="00B37353">
            <w:pPr>
              <w:pStyle w:val="Tabletext"/>
              <w:rPr>
                <w:i/>
                <w:sz w:val="16"/>
                <w:szCs w:val="16"/>
              </w:rPr>
            </w:pPr>
            <w:r>
              <w:rPr>
                <w:i/>
                <w:sz w:val="16"/>
                <w:szCs w:val="16"/>
              </w:rPr>
              <w:t>75</w:t>
            </w:r>
          </w:p>
        </w:tc>
      </w:tr>
      <w:tr w:rsidR="00AD4488" w:rsidRPr="00D247EE" w:rsidTr="00B37353">
        <w:tc>
          <w:tcPr>
            <w:tcW w:w="360" w:type="dxa"/>
            <w:gridSpan w:val="2"/>
            <w:tcBorders>
              <w:top w:val="single" w:sz="2" w:space="0" w:color="auto"/>
              <w:bottom w:val="single" w:sz="2" w:space="0" w:color="auto"/>
            </w:tcBorders>
            <w:shd w:val="clear" w:color="auto" w:fill="auto"/>
          </w:tcPr>
          <w:p w:rsidR="00AD4488" w:rsidRPr="00D247EE" w:rsidRDefault="00AD4488" w:rsidP="00B37353">
            <w:pPr>
              <w:pStyle w:val="Tabletext"/>
              <w:rPr>
                <w:sz w:val="16"/>
                <w:szCs w:val="16"/>
              </w:rPr>
            </w:pPr>
            <w:r w:rsidRPr="00D247EE">
              <w:rPr>
                <w:sz w:val="16"/>
                <w:szCs w:val="16"/>
              </w:rPr>
              <w:t>2</w:t>
            </w:r>
          </w:p>
        </w:tc>
        <w:tc>
          <w:tcPr>
            <w:tcW w:w="1800" w:type="dxa"/>
            <w:tcBorders>
              <w:top w:val="single" w:sz="2" w:space="0" w:color="auto"/>
              <w:bottom w:val="single" w:sz="2" w:space="0" w:color="auto"/>
            </w:tcBorders>
            <w:shd w:val="clear" w:color="auto" w:fill="auto"/>
          </w:tcPr>
          <w:p w:rsidR="00AD4488" w:rsidRDefault="00AD4488" w:rsidP="00B37353">
            <w:pPr>
              <w:pStyle w:val="Tabletext"/>
              <w:rPr>
                <w:sz w:val="16"/>
                <w:szCs w:val="16"/>
              </w:rPr>
            </w:pPr>
            <w:r>
              <w:rPr>
                <w:sz w:val="16"/>
                <w:szCs w:val="16"/>
              </w:rPr>
              <w:t>Employees are satisfied with their work-life balance in OPC.</w:t>
            </w:r>
          </w:p>
          <w:p w:rsidR="00AD4488" w:rsidRDefault="00AD4488" w:rsidP="00B37353">
            <w:pPr>
              <w:pStyle w:val="Tabletext"/>
              <w:rPr>
                <w:sz w:val="16"/>
                <w:szCs w:val="16"/>
              </w:rPr>
            </w:pPr>
            <w:r>
              <w:rPr>
                <w:sz w:val="16"/>
                <w:szCs w:val="16"/>
              </w:rPr>
              <w:t>Employees are satisfied with their ability to access and use flexible working arrangements.</w:t>
            </w:r>
          </w:p>
          <w:p w:rsidR="00AD4488" w:rsidRDefault="00AD4488" w:rsidP="00B37353">
            <w:pPr>
              <w:pStyle w:val="Tabletext"/>
              <w:rPr>
                <w:sz w:val="16"/>
                <w:szCs w:val="16"/>
              </w:rPr>
            </w:pPr>
            <w:proofErr w:type="spellStart"/>
            <w:r>
              <w:rPr>
                <w:sz w:val="16"/>
                <w:szCs w:val="16"/>
              </w:rPr>
              <w:t>OPC’s</w:t>
            </w:r>
            <w:proofErr w:type="spellEnd"/>
            <w:r>
              <w:rPr>
                <w:sz w:val="16"/>
                <w:szCs w:val="16"/>
              </w:rPr>
              <w:t xml:space="preserve"> workplace culture supports employees to achieve a good work-life balance.</w:t>
            </w:r>
          </w:p>
          <w:p w:rsidR="00896A69" w:rsidRPr="00D247EE" w:rsidRDefault="00896A69" w:rsidP="00B37353">
            <w:pPr>
              <w:pStyle w:val="Tabletext"/>
              <w:rPr>
                <w:sz w:val="16"/>
                <w:szCs w:val="16"/>
              </w:rPr>
            </w:pPr>
            <w:r>
              <w:rPr>
                <w:sz w:val="16"/>
                <w:szCs w:val="16"/>
              </w:rPr>
              <w:t>Supervisors and SES managers actively support the use of flexible work arrangements by all staff, regardless of gender.</w:t>
            </w:r>
          </w:p>
        </w:tc>
        <w:tc>
          <w:tcPr>
            <w:tcW w:w="600" w:type="dxa"/>
            <w:tcBorders>
              <w:top w:val="single" w:sz="2" w:space="0" w:color="auto"/>
              <w:bottom w:val="single" w:sz="2" w:space="0" w:color="auto"/>
            </w:tcBorders>
            <w:shd w:val="clear" w:color="auto" w:fill="auto"/>
          </w:tcPr>
          <w:p w:rsidR="00AD4488" w:rsidRPr="00E57EDA" w:rsidRDefault="00111AD7" w:rsidP="00B37353">
            <w:pPr>
              <w:pStyle w:val="Tabletext"/>
              <w:rPr>
                <w:b/>
                <w:sz w:val="16"/>
                <w:szCs w:val="16"/>
              </w:rPr>
            </w:pPr>
            <w:r w:rsidRPr="00E57EDA">
              <w:rPr>
                <w:b/>
                <w:sz w:val="16"/>
                <w:szCs w:val="16"/>
              </w:rPr>
              <w:t>85</w:t>
            </w:r>
          </w:p>
          <w:p w:rsidR="00AD4488" w:rsidRPr="003D3EB6" w:rsidRDefault="00AD4488" w:rsidP="00B37353">
            <w:pPr>
              <w:pStyle w:val="Tabletext"/>
              <w:rPr>
                <w:b/>
                <w:sz w:val="16"/>
                <w:szCs w:val="16"/>
                <w:highlight w:val="yellow"/>
              </w:rPr>
            </w:pPr>
          </w:p>
          <w:p w:rsidR="00111AD7" w:rsidRPr="003D3EB6" w:rsidRDefault="00111AD7" w:rsidP="00B37353">
            <w:pPr>
              <w:pStyle w:val="Tabletext"/>
              <w:rPr>
                <w:b/>
                <w:sz w:val="16"/>
                <w:szCs w:val="16"/>
                <w:highlight w:val="yellow"/>
              </w:rPr>
            </w:pPr>
          </w:p>
          <w:p w:rsidR="00AD4488" w:rsidRPr="002E296F" w:rsidRDefault="002E296F" w:rsidP="00B37353">
            <w:pPr>
              <w:pStyle w:val="Tabletext"/>
              <w:rPr>
                <w:b/>
                <w:sz w:val="16"/>
                <w:szCs w:val="16"/>
              </w:rPr>
            </w:pPr>
            <w:r w:rsidRPr="002E296F">
              <w:rPr>
                <w:b/>
                <w:sz w:val="16"/>
                <w:szCs w:val="16"/>
              </w:rPr>
              <w:t>85</w:t>
            </w:r>
          </w:p>
          <w:p w:rsidR="00AD4488" w:rsidRPr="003D3EB6" w:rsidRDefault="00AD4488" w:rsidP="00B37353">
            <w:pPr>
              <w:pStyle w:val="Tabletext"/>
              <w:rPr>
                <w:b/>
                <w:sz w:val="16"/>
                <w:szCs w:val="16"/>
                <w:highlight w:val="yellow"/>
              </w:rPr>
            </w:pPr>
          </w:p>
          <w:p w:rsidR="00AD4488" w:rsidRPr="003D3EB6" w:rsidRDefault="00AD4488" w:rsidP="00B37353">
            <w:pPr>
              <w:pStyle w:val="Tabletext"/>
              <w:rPr>
                <w:b/>
                <w:sz w:val="16"/>
                <w:szCs w:val="16"/>
                <w:highlight w:val="yellow"/>
              </w:rPr>
            </w:pPr>
          </w:p>
          <w:p w:rsidR="00AD4488" w:rsidRPr="00E57EDA" w:rsidRDefault="00E57EDA" w:rsidP="00B37353">
            <w:pPr>
              <w:pStyle w:val="Tabletext"/>
              <w:rPr>
                <w:b/>
                <w:sz w:val="16"/>
                <w:szCs w:val="16"/>
              </w:rPr>
            </w:pPr>
            <w:r w:rsidRPr="00E57EDA">
              <w:rPr>
                <w:b/>
                <w:sz w:val="16"/>
                <w:szCs w:val="16"/>
              </w:rPr>
              <w:t>85</w:t>
            </w:r>
          </w:p>
          <w:p w:rsidR="00AD4488" w:rsidRDefault="00AD4488" w:rsidP="00B37353">
            <w:pPr>
              <w:pStyle w:val="Tabletext"/>
              <w:rPr>
                <w:b/>
                <w:sz w:val="16"/>
                <w:szCs w:val="16"/>
                <w:highlight w:val="yellow"/>
              </w:rPr>
            </w:pPr>
          </w:p>
          <w:p w:rsidR="00896A69" w:rsidRDefault="00896A69" w:rsidP="00B37353">
            <w:pPr>
              <w:pStyle w:val="Tabletext"/>
              <w:rPr>
                <w:b/>
                <w:sz w:val="16"/>
                <w:szCs w:val="16"/>
                <w:highlight w:val="yellow"/>
              </w:rPr>
            </w:pPr>
          </w:p>
          <w:p w:rsidR="00896A69" w:rsidRPr="003D3EB6" w:rsidRDefault="00896A69" w:rsidP="00B37353">
            <w:pPr>
              <w:pStyle w:val="Tabletext"/>
              <w:rPr>
                <w:b/>
                <w:sz w:val="16"/>
                <w:szCs w:val="16"/>
                <w:highlight w:val="yellow"/>
              </w:rPr>
            </w:pPr>
            <w:r w:rsidRPr="00896A69">
              <w:rPr>
                <w:b/>
                <w:sz w:val="16"/>
                <w:szCs w:val="16"/>
              </w:rPr>
              <w:t>73</w:t>
            </w:r>
            <w:r w:rsidR="0057050A" w:rsidRPr="00E57EDA">
              <w:rPr>
                <w:b/>
                <w:sz w:val="16"/>
                <w:szCs w:val="16"/>
              </w:rPr>
              <w:t>*</w:t>
            </w:r>
            <w:r w:rsidRPr="00896A69">
              <w:rPr>
                <w:b/>
                <w:sz w:val="16"/>
                <w:szCs w:val="16"/>
              </w:rPr>
              <w:t>&amp; 77</w:t>
            </w:r>
          </w:p>
        </w:tc>
        <w:tc>
          <w:tcPr>
            <w:tcW w:w="600" w:type="dxa"/>
            <w:tcBorders>
              <w:top w:val="single" w:sz="2" w:space="0" w:color="auto"/>
              <w:bottom w:val="single" w:sz="2" w:space="0" w:color="auto"/>
            </w:tcBorders>
            <w:shd w:val="clear" w:color="auto" w:fill="auto"/>
          </w:tcPr>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Default="00AD4488" w:rsidP="00B37353">
            <w:pPr>
              <w:pStyle w:val="Tabletext"/>
              <w:rPr>
                <w:i/>
                <w:sz w:val="16"/>
                <w:szCs w:val="16"/>
              </w:rPr>
            </w:pPr>
          </w:p>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Default="00AD4488" w:rsidP="00B37353">
            <w:pPr>
              <w:pStyle w:val="Tabletext"/>
              <w:rPr>
                <w:i/>
                <w:sz w:val="16"/>
                <w:szCs w:val="16"/>
              </w:rPr>
            </w:pPr>
          </w:p>
          <w:p w:rsidR="00AD4488" w:rsidRDefault="00AD4488" w:rsidP="00B37353">
            <w:pPr>
              <w:pStyle w:val="Tabletext"/>
              <w:rPr>
                <w:i/>
                <w:sz w:val="16"/>
                <w:szCs w:val="16"/>
              </w:rPr>
            </w:pPr>
            <w:r>
              <w:rPr>
                <w:i/>
                <w:sz w:val="16"/>
                <w:szCs w:val="16"/>
              </w:rPr>
              <w:t>75</w:t>
            </w:r>
          </w:p>
          <w:p w:rsidR="00896A69" w:rsidRDefault="00896A69" w:rsidP="00B37353">
            <w:pPr>
              <w:pStyle w:val="Tabletext"/>
              <w:rPr>
                <w:i/>
                <w:sz w:val="16"/>
                <w:szCs w:val="16"/>
              </w:rPr>
            </w:pPr>
          </w:p>
          <w:p w:rsidR="00896A69" w:rsidRDefault="00896A69" w:rsidP="00B37353">
            <w:pPr>
              <w:pStyle w:val="Tabletext"/>
              <w:rPr>
                <w:i/>
                <w:sz w:val="16"/>
                <w:szCs w:val="16"/>
              </w:rPr>
            </w:pPr>
          </w:p>
          <w:p w:rsidR="00896A69" w:rsidRPr="00D247EE" w:rsidRDefault="00896A69" w:rsidP="00B37353">
            <w:pPr>
              <w:pStyle w:val="Tabletext"/>
              <w:rPr>
                <w:i/>
                <w:sz w:val="16"/>
                <w:szCs w:val="16"/>
              </w:rPr>
            </w:pPr>
            <w:r>
              <w:rPr>
                <w:i/>
                <w:sz w:val="16"/>
                <w:szCs w:val="16"/>
              </w:rPr>
              <w:t>75</w:t>
            </w:r>
          </w:p>
        </w:tc>
      </w:tr>
      <w:tr w:rsidR="00AD4488" w:rsidRPr="00D247EE" w:rsidTr="00B37353">
        <w:tc>
          <w:tcPr>
            <w:tcW w:w="360" w:type="dxa"/>
            <w:gridSpan w:val="2"/>
            <w:tcBorders>
              <w:top w:val="single" w:sz="2" w:space="0" w:color="auto"/>
              <w:bottom w:val="single" w:sz="2" w:space="0" w:color="auto"/>
            </w:tcBorders>
            <w:shd w:val="clear" w:color="auto" w:fill="auto"/>
          </w:tcPr>
          <w:p w:rsidR="00AD4488" w:rsidRPr="00D247EE" w:rsidRDefault="00AD4488" w:rsidP="00B37353">
            <w:pPr>
              <w:pStyle w:val="Tabletext"/>
              <w:rPr>
                <w:sz w:val="16"/>
                <w:szCs w:val="16"/>
              </w:rPr>
            </w:pPr>
            <w:r w:rsidRPr="00D247EE">
              <w:rPr>
                <w:sz w:val="16"/>
                <w:szCs w:val="16"/>
              </w:rPr>
              <w:t>3</w:t>
            </w:r>
          </w:p>
        </w:tc>
        <w:tc>
          <w:tcPr>
            <w:tcW w:w="1800" w:type="dxa"/>
            <w:tcBorders>
              <w:top w:val="single" w:sz="2" w:space="0" w:color="auto"/>
              <w:bottom w:val="single" w:sz="2" w:space="0" w:color="auto"/>
            </w:tcBorders>
            <w:shd w:val="clear" w:color="auto" w:fill="auto"/>
          </w:tcPr>
          <w:p w:rsidR="00AD4488" w:rsidRDefault="00AD4488" w:rsidP="00B37353">
            <w:pPr>
              <w:pStyle w:val="Tabletext"/>
              <w:rPr>
                <w:sz w:val="16"/>
                <w:szCs w:val="16"/>
              </w:rPr>
            </w:pPr>
            <w:r>
              <w:rPr>
                <w:sz w:val="16"/>
                <w:szCs w:val="16"/>
              </w:rPr>
              <w:t>OPC routinely applies merit in decisions regarding engagement and promotion.</w:t>
            </w:r>
          </w:p>
          <w:p w:rsidR="00896A69" w:rsidRPr="00D247EE" w:rsidRDefault="00896A69" w:rsidP="00B37353">
            <w:pPr>
              <w:pStyle w:val="Tabletext"/>
              <w:rPr>
                <w:sz w:val="16"/>
                <w:szCs w:val="16"/>
              </w:rPr>
            </w:pPr>
            <w:r>
              <w:rPr>
                <w:sz w:val="16"/>
                <w:szCs w:val="16"/>
              </w:rPr>
              <w:lastRenderedPageBreak/>
              <w:t>SES Managers actively support opportunities for women to access leadership roles.</w:t>
            </w:r>
          </w:p>
        </w:tc>
        <w:tc>
          <w:tcPr>
            <w:tcW w:w="600" w:type="dxa"/>
            <w:tcBorders>
              <w:top w:val="single" w:sz="2" w:space="0" w:color="auto"/>
              <w:bottom w:val="single" w:sz="2" w:space="0" w:color="auto"/>
            </w:tcBorders>
            <w:shd w:val="clear" w:color="auto" w:fill="auto"/>
          </w:tcPr>
          <w:p w:rsidR="00AD4488" w:rsidRDefault="00D14F24" w:rsidP="00B37353">
            <w:pPr>
              <w:pStyle w:val="Tabletext"/>
              <w:rPr>
                <w:b/>
                <w:sz w:val="16"/>
                <w:szCs w:val="16"/>
              </w:rPr>
            </w:pPr>
            <w:r w:rsidRPr="00E57EDA">
              <w:rPr>
                <w:b/>
                <w:sz w:val="16"/>
                <w:szCs w:val="16"/>
              </w:rPr>
              <w:lastRenderedPageBreak/>
              <w:t>59</w:t>
            </w:r>
            <w:r w:rsidR="00AD4488" w:rsidRPr="00E57EDA">
              <w:rPr>
                <w:b/>
                <w:sz w:val="16"/>
                <w:szCs w:val="16"/>
              </w:rPr>
              <w:t>*</w:t>
            </w:r>
          </w:p>
          <w:p w:rsidR="00896A69" w:rsidRDefault="00896A69" w:rsidP="00B37353">
            <w:pPr>
              <w:pStyle w:val="Tabletext"/>
              <w:rPr>
                <w:b/>
                <w:sz w:val="16"/>
                <w:szCs w:val="16"/>
              </w:rPr>
            </w:pPr>
          </w:p>
          <w:p w:rsidR="00896A69" w:rsidRDefault="00896A69" w:rsidP="00B37353">
            <w:pPr>
              <w:pStyle w:val="Tabletext"/>
              <w:rPr>
                <w:b/>
                <w:sz w:val="16"/>
                <w:szCs w:val="16"/>
              </w:rPr>
            </w:pPr>
          </w:p>
          <w:p w:rsidR="00896A69" w:rsidRPr="00E57EDA" w:rsidRDefault="00896A69" w:rsidP="00B37353">
            <w:pPr>
              <w:pStyle w:val="Tabletext"/>
              <w:rPr>
                <w:b/>
                <w:sz w:val="16"/>
                <w:szCs w:val="16"/>
              </w:rPr>
            </w:pPr>
            <w:r>
              <w:rPr>
                <w:b/>
                <w:sz w:val="16"/>
                <w:szCs w:val="16"/>
              </w:rPr>
              <w:lastRenderedPageBreak/>
              <w:t>75</w:t>
            </w:r>
          </w:p>
          <w:p w:rsidR="00AD4488" w:rsidRPr="003D3EB6" w:rsidRDefault="00AD4488" w:rsidP="00B37353">
            <w:pPr>
              <w:pStyle w:val="Tabletext"/>
              <w:rPr>
                <w:b/>
                <w:sz w:val="16"/>
                <w:szCs w:val="16"/>
                <w:highlight w:val="yellow"/>
              </w:rPr>
            </w:pPr>
          </w:p>
        </w:tc>
        <w:tc>
          <w:tcPr>
            <w:tcW w:w="600" w:type="dxa"/>
            <w:tcBorders>
              <w:top w:val="single" w:sz="2" w:space="0" w:color="auto"/>
              <w:bottom w:val="single" w:sz="2" w:space="0" w:color="auto"/>
            </w:tcBorders>
            <w:shd w:val="clear" w:color="auto" w:fill="auto"/>
          </w:tcPr>
          <w:p w:rsidR="00AD4488" w:rsidRDefault="00AD4488" w:rsidP="00B37353">
            <w:pPr>
              <w:pStyle w:val="Tabletext"/>
              <w:rPr>
                <w:i/>
                <w:sz w:val="16"/>
                <w:szCs w:val="16"/>
              </w:rPr>
            </w:pPr>
            <w:r>
              <w:rPr>
                <w:i/>
                <w:sz w:val="16"/>
                <w:szCs w:val="16"/>
              </w:rPr>
              <w:lastRenderedPageBreak/>
              <w:t>75</w:t>
            </w:r>
          </w:p>
          <w:p w:rsidR="00896A69" w:rsidRDefault="00896A69" w:rsidP="00B37353">
            <w:pPr>
              <w:pStyle w:val="Tabletext"/>
              <w:rPr>
                <w:i/>
                <w:sz w:val="16"/>
                <w:szCs w:val="16"/>
              </w:rPr>
            </w:pPr>
          </w:p>
          <w:p w:rsidR="00896A69" w:rsidRDefault="00896A69" w:rsidP="00B37353">
            <w:pPr>
              <w:pStyle w:val="Tabletext"/>
              <w:rPr>
                <w:i/>
                <w:sz w:val="16"/>
                <w:szCs w:val="16"/>
              </w:rPr>
            </w:pPr>
          </w:p>
          <w:p w:rsidR="00896A69" w:rsidRPr="00D247EE" w:rsidRDefault="00896A69" w:rsidP="00B37353">
            <w:pPr>
              <w:pStyle w:val="Tabletext"/>
              <w:rPr>
                <w:i/>
                <w:sz w:val="16"/>
                <w:szCs w:val="16"/>
              </w:rPr>
            </w:pPr>
            <w:r>
              <w:rPr>
                <w:i/>
                <w:sz w:val="16"/>
                <w:szCs w:val="16"/>
              </w:rPr>
              <w:lastRenderedPageBreak/>
              <w:t>75</w:t>
            </w:r>
          </w:p>
        </w:tc>
      </w:tr>
      <w:tr w:rsidR="00AD4488" w:rsidRPr="00D247EE" w:rsidTr="003D5FCA">
        <w:trPr>
          <w:cantSplit/>
        </w:trPr>
        <w:tc>
          <w:tcPr>
            <w:tcW w:w="360" w:type="dxa"/>
            <w:gridSpan w:val="2"/>
            <w:tcBorders>
              <w:top w:val="single" w:sz="2" w:space="0" w:color="auto"/>
              <w:bottom w:val="single" w:sz="2" w:space="0" w:color="auto"/>
            </w:tcBorders>
            <w:shd w:val="clear" w:color="auto" w:fill="auto"/>
          </w:tcPr>
          <w:p w:rsidR="00AD4488" w:rsidRPr="00D247EE" w:rsidRDefault="00AD4488" w:rsidP="00B37353">
            <w:pPr>
              <w:pStyle w:val="Tabletext"/>
              <w:rPr>
                <w:sz w:val="16"/>
                <w:szCs w:val="16"/>
              </w:rPr>
            </w:pPr>
            <w:r w:rsidRPr="00D247EE">
              <w:rPr>
                <w:sz w:val="16"/>
                <w:szCs w:val="16"/>
              </w:rPr>
              <w:lastRenderedPageBreak/>
              <w:t>4</w:t>
            </w:r>
          </w:p>
        </w:tc>
        <w:tc>
          <w:tcPr>
            <w:tcW w:w="1800" w:type="dxa"/>
            <w:tcBorders>
              <w:top w:val="single" w:sz="2" w:space="0" w:color="auto"/>
              <w:bottom w:val="single" w:sz="2" w:space="0" w:color="auto"/>
            </w:tcBorders>
            <w:shd w:val="clear" w:color="auto" w:fill="auto"/>
          </w:tcPr>
          <w:p w:rsidR="00AD4488" w:rsidRDefault="00AD4488" w:rsidP="00B37353">
            <w:pPr>
              <w:pStyle w:val="Tabletext"/>
              <w:rPr>
                <w:sz w:val="16"/>
                <w:szCs w:val="16"/>
              </w:rPr>
            </w:pPr>
            <w:r>
              <w:rPr>
                <w:sz w:val="16"/>
                <w:szCs w:val="16"/>
              </w:rPr>
              <w:t>Communication between senior leaders and staff is effective.</w:t>
            </w:r>
          </w:p>
          <w:p w:rsidR="00AD4488" w:rsidRPr="00D247EE" w:rsidRDefault="00AD4488" w:rsidP="00B37353">
            <w:pPr>
              <w:pStyle w:val="Tabletext"/>
              <w:rPr>
                <w:sz w:val="16"/>
                <w:szCs w:val="16"/>
              </w:rPr>
            </w:pPr>
            <w:r>
              <w:rPr>
                <w:sz w:val="16"/>
                <w:szCs w:val="16"/>
              </w:rPr>
              <w:t>Employees are satisfied with the workplace attributes that impact on job satisfaction.</w:t>
            </w:r>
          </w:p>
        </w:tc>
        <w:tc>
          <w:tcPr>
            <w:tcW w:w="600" w:type="dxa"/>
            <w:tcBorders>
              <w:top w:val="single" w:sz="2" w:space="0" w:color="auto"/>
              <w:bottom w:val="single" w:sz="2" w:space="0" w:color="auto"/>
            </w:tcBorders>
            <w:shd w:val="clear" w:color="auto" w:fill="auto"/>
          </w:tcPr>
          <w:p w:rsidR="00AD4488" w:rsidRPr="00E57EDA" w:rsidRDefault="00E57EDA" w:rsidP="00B37353">
            <w:pPr>
              <w:pStyle w:val="Tabletext"/>
              <w:rPr>
                <w:b/>
                <w:sz w:val="16"/>
                <w:szCs w:val="16"/>
              </w:rPr>
            </w:pPr>
            <w:r w:rsidRPr="00E57EDA">
              <w:rPr>
                <w:b/>
                <w:sz w:val="16"/>
                <w:szCs w:val="16"/>
              </w:rPr>
              <w:t>68</w:t>
            </w:r>
            <w:r w:rsidR="0057050A" w:rsidRPr="00E57EDA">
              <w:rPr>
                <w:b/>
                <w:sz w:val="16"/>
                <w:szCs w:val="16"/>
              </w:rPr>
              <w:t>*</w:t>
            </w:r>
          </w:p>
          <w:p w:rsidR="00AD4488" w:rsidRPr="003D3EB6" w:rsidRDefault="00AD4488" w:rsidP="00B37353">
            <w:pPr>
              <w:pStyle w:val="Tabletext"/>
              <w:rPr>
                <w:b/>
                <w:sz w:val="16"/>
                <w:szCs w:val="16"/>
                <w:highlight w:val="yellow"/>
              </w:rPr>
            </w:pPr>
          </w:p>
          <w:p w:rsidR="00AD4488" w:rsidRPr="003D3EB6" w:rsidRDefault="00AD4488" w:rsidP="00B37353">
            <w:pPr>
              <w:pStyle w:val="Tabletext"/>
              <w:rPr>
                <w:b/>
                <w:sz w:val="16"/>
                <w:szCs w:val="16"/>
                <w:highlight w:val="yellow"/>
              </w:rPr>
            </w:pPr>
          </w:p>
          <w:p w:rsidR="00AD4488" w:rsidRPr="003D3EB6" w:rsidRDefault="004C12DC" w:rsidP="00B37353">
            <w:pPr>
              <w:pStyle w:val="Tabletext"/>
              <w:rPr>
                <w:b/>
                <w:sz w:val="16"/>
                <w:szCs w:val="16"/>
                <w:highlight w:val="yellow"/>
              </w:rPr>
            </w:pPr>
            <w:r w:rsidRPr="004C12DC">
              <w:rPr>
                <w:b/>
                <w:sz w:val="16"/>
                <w:szCs w:val="16"/>
              </w:rPr>
              <w:t>78</w:t>
            </w:r>
          </w:p>
        </w:tc>
        <w:tc>
          <w:tcPr>
            <w:tcW w:w="600" w:type="dxa"/>
            <w:tcBorders>
              <w:top w:val="single" w:sz="2" w:space="0" w:color="auto"/>
              <w:bottom w:val="single" w:sz="2" w:space="0" w:color="auto"/>
            </w:tcBorders>
            <w:shd w:val="clear" w:color="auto" w:fill="auto"/>
          </w:tcPr>
          <w:p w:rsidR="00AD4488" w:rsidRPr="00E57EDA" w:rsidRDefault="00AD4488" w:rsidP="00B37353">
            <w:pPr>
              <w:pStyle w:val="Tabletext"/>
              <w:rPr>
                <w:i/>
                <w:sz w:val="16"/>
                <w:szCs w:val="16"/>
              </w:rPr>
            </w:pPr>
            <w:r w:rsidRPr="00E57EDA">
              <w:rPr>
                <w:i/>
                <w:sz w:val="16"/>
                <w:szCs w:val="16"/>
              </w:rPr>
              <w:t>75</w:t>
            </w:r>
          </w:p>
          <w:p w:rsidR="00AD4488" w:rsidRPr="00E57EDA" w:rsidRDefault="00AD4488" w:rsidP="00B37353">
            <w:pPr>
              <w:pStyle w:val="Tabletext"/>
              <w:rPr>
                <w:i/>
                <w:sz w:val="16"/>
                <w:szCs w:val="16"/>
              </w:rPr>
            </w:pPr>
          </w:p>
          <w:p w:rsidR="00AD4488" w:rsidRPr="00E57EDA" w:rsidRDefault="00AD4488" w:rsidP="00B37353">
            <w:pPr>
              <w:pStyle w:val="Tabletext"/>
              <w:rPr>
                <w:i/>
                <w:sz w:val="16"/>
                <w:szCs w:val="16"/>
              </w:rPr>
            </w:pPr>
          </w:p>
          <w:p w:rsidR="00AD4488" w:rsidRPr="00E57EDA" w:rsidRDefault="00AD4488" w:rsidP="00B37353">
            <w:pPr>
              <w:pStyle w:val="Tabletext"/>
              <w:rPr>
                <w:i/>
                <w:sz w:val="16"/>
                <w:szCs w:val="16"/>
              </w:rPr>
            </w:pPr>
            <w:r w:rsidRPr="00E57EDA">
              <w:rPr>
                <w:i/>
                <w:sz w:val="16"/>
                <w:szCs w:val="16"/>
              </w:rPr>
              <w:t>75</w:t>
            </w:r>
          </w:p>
        </w:tc>
      </w:tr>
      <w:tr w:rsidR="00AD4488" w:rsidRPr="008138AB" w:rsidTr="00B37353">
        <w:tc>
          <w:tcPr>
            <w:tcW w:w="360" w:type="dxa"/>
            <w:gridSpan w:val="2"/>
            <w:tcBorders>
              <w:top w:val="single" w:sz="2" w:space="0" w:color="auto"/>
              <w:bottom w:val="single" w:sz="12" w:space="0" w:color="auto"/>
            </w:tcBorders>
            <w:shd w:val="clear" w:color="auto" w:fill="auto"/>
          </w:tcPr>
          <w:p w:rsidR="00AD4488" w:rsidRPr="00D247EE" w:rsidRDefault="00AD4488" w:rsidP="00B37353">
            <w:pPr>
              <w:pStyle w:val="Tabletext"/>
              <w:rPr>
                <w:sz w:val="16"/>
                <w:szCs w:val="16"/>
              </w:rPr>
            </w:pPr>
            <w:r w:rsidRPr="00D247EE">
              <w:rPr>
                <w:sz w:val="16"/>
                <w:szCs w:val="16"/>
              </w:rPr>
              <w:t>5</w:t>
            </w:r>
          </w:p>
        </w:tc>
        <w:tc>
          <w:tcPr>
            <w:tcW w:w="1800" w:type="dxa"/>
            <w:tcBorders>
              <w:top w:val="single" w:sz="2" w:space="0" w:color="auto"/>
              <w:bottom w:val="single" w:sz="12" w:space="0" w:color="auto"/>
            </w:tcBorders>
            <w:shd w:val="clear" w:color="auto" w:fill="auto"/>
          </w:tcPr>
          <w:p w:rsidR="00AD4488" w:rsidRDefault="00AD4488" w:rsidP="00B37353">
            <w:pPr>
              <w:pStyle w:val="Tabletext"/>
              <w:rPr>
                <w:sz w:val="16"/>
                <w:szCs w:val="16"/>
              </w:rPr>
            </w:pPr>
            <w:r>
              <w:rPr>
                <w:sz w:val="16"/>
                <w:szCs w:val="16"/>
              </w:rPr>
              <w:t>I would recommend OPC as a good place to work.</w:t>
            </w:r>
          </w:p>
          <w:p w:rsidR="00AD4488" w:rsidRPr="00D247EE" w:rsidRDefault="00AD4488" w:rsidP="00B37353">
            <w:pPr>
              <w:pStyle w:val="Tabletext"/>
              <w:rPr>
                <w:sz w:val="16"/>
                <w:szCs w:val="16"/>
              </w:rPr>
            </w:pPr>
            <w:r>
              <w:rPr>
                <w:sz w:val="16"/>
                <w:szCs w:val="16"/>
              </w:rPr>
              <w:t>Employees indicate that they have not been subjected to bullying or harassment.</w:t>
            </w:r>
          </w:p>
        </w:tc>
        <w:tc>
          <w:tcPr>
            <w:tcW w:w="600" w:type="dxa"/>
            <w:tcBorders>
              <w:top w:val="single" w:sz="2" w:space="0" w:color="auto"/>
              <w:bottom w:val="single" w:sz="12" w:space="0" w:color="auto"/>
            </w:tcBorders>
            <w:shd w:val="clear" w:color="auto" w:fill="auto"/>
          </w:tcPr>
          <w:p w:rsidR="00AD4488" w:rsidRPr="00E57EDA" w:rsidRDefault="00E57EDA" w:rsidP="00B37353">
            <w:pPr>
              <w:pStyle w:val="Tabletext"/>
              <w:rPr>
                <w:b/>
                <w:sz w:val="16"/>
                <w:szCs w:val="16"/>
              </w:rPr>
            </w:pPr>
            <w:r w:rsidRPr="00E57EDA">
              <w:rPr>
                <w:b/>
                <w:sz w:val="16"/>
                <w:szCs w:val="16"/>
              </w:rPr>
              <w:t>72</w:t>
            </w:r>
            <w:r w:rsidR="0057050A" w:rsidRPr="00E57EDA">
              <w:rPr>
                <w:b/>
                <w:sz w:val="16"/>
                <w:szCs w:val="16"/>
              </w:rPr>
              <w:t>*</w:t>
            </w:r>
          </w:p>
          <w:p w:rsidR="00AD4488" w:rsidRPr="003D3EB6" w:rsidRDefault="00AD4488" w:rsidP="00B37353">
            <w:pPr>
              <w:pStyle w:val="Tabletext"/>
              <w:rPr>
                <w:b/>
                <w:sz w:val="16"/>
                <w:szCs w:val="16"/>
                <w:highlight w:val="yellow"/>
              </w:rPr>
            </w:pPr>
          </w:p>
          <w:p w:rsidR="00AD4488" w:rsidRPr="003D3EB6" w:rsidRDefault="00E57EDA" w:rsidP="00D14F24">
            <w:pPr>
              <w:pStyle w:val="Tabletext"/>
              <w:rPr>
                <w:b/>
                <w:sz w:val="16"/>
                <w:szCs w:val="16"/>
                <w:highlight w:val="yellow"/>
              </w:rPr>
            </w:pPr>
            <w:r w:rsidRPr="00E57EDA">
              <w:rPr>
                <w:b/>
                <w:sz w:val="16"/>
                <w:szCs w:val="16"/>
              </w:rPr>
              <w:t>87</w:t>
            </w:r>
            <w:r w:rsidR="0057050A" w:rsidRPr="00E57EDA">
              <w:rPr>
                <w:b/>
                <w:sz w:val="16"/>
                <w:szCs w:val="16"/>
              </w:rPr>
              <w:t>*</w:t>
            </w:r>
          </w:p>
        </w:tc>
        <w:tc>
          <w:tcPr>
            <w:tcW w:w="600" w:type="dxa"/>
            <w:tcBorders>
              <w:top w:val="single" w:sz="2" w:space="0" w:color="auto"/>
              <w:bottom w:val="single" w:sz="12" w:space="0" w:color="auto"/>
            </w:tcBorders>
            <w:shd w:val="clear" w:color="auto" w:fill="auto"/>
          </w:tcPr>
          <w:p w:rsidR="00AD4488" w:rsidRDefault="00AD4488" w:rsidP="00B37353">
            <w:pPr>
              <w:pStyle w:val="Tabletext"/>
              <w:rPr>
                <w:i/>
                <w:sz w:val="16"/>
                <w:szCs w:val="16"/>
              </w:rPr>
            </w:pPr>
            <w:r>
              <w:rPr>
                <w:i/>
                <w:sz w:val="16"/>
                <w:szCs w:val="16"/>
              </w:rPr>
              <w:t>75</w:t>
            </w:r>
          </w:p>
          <w:p w:rsidR="00AD4488" w:rsidRDefault="00AD4488" w:rsidP="00B37353">
            <w:pPr>
              <w:pStyle w:val="Tabletext"/>
              <w:rPr>
                <w:i/>
                <w:sz w:val="16"/>
                <w:szCs w:val="16"/>
              </w:rPr>
            </w:pPr>
          </w:p>
          <w:p w:rsidR="00AD4488" w:rsidRPr="00D247EE" w:rsidRDefault="00AD4488" w:rsidP="00B37353">
            <w:pPr>
              <w:pStyle w:val="Tabletext"/>
              <w:rPr>
                <w:i/>
                <w:sz w:val="16"/>
                <w:szCs w:val="16"/>
              </w:rPr>
            </w:pPr>
            <w:r>
              <w:rPr>
                <w:i/>
                <w:sz w:val="16"/>
                <w:szCs w:val="16"/>
              </w:rPr>
              <w:t>90</w:t>
            </w:r>
          </w:p>
        </w:tc>
      </w:tr>
      <w:bookmarkEnd w:id="101"/>
    </w:tbl>
    <w:p w:rsidR="00AD4488" w:rsidRDefault="00AD4488" w:rsidP="00AD4488">
      <w:pPr>
        <w:pStyle w:val="FootnoteText"/>
        <w:rPr>
          <w:rFonts w:ascii="Arial" w:hAnsi="Arial" w:cs="Arial"/>
          <w:sz w:val="16"/>
          <w:szCs w:val="16"/>
        </w:rPr>
      </w:pPr>
    </w:p>
    <w:p w:rsidR="00AD4488" w:rsidRPr="00896A69" w:rsidRDefault="00AD4488" w:rsidP="00AD4488">
      <w:pPr>
        <w:pStyle w:val="BodyNum"/>
      </w:pPr>
      <w:proofErr w:type="spellStart"/>
      <w:r w:rsidRPr="00896A69">
        <w:t>OPC’s</w:t>
      </w:r>
      <w:proofErr w:type="spellEnd"/>
      <w:r w:rsidRPr="00896A69">
        <w:t xml:space="preserve"> results from the survey indicate that in </w:t>
      </w:r>
      <w:r w:rsidR="00D14F24" w:rsidRPr="00896A69">
        <w:t>most</w:t>
      </w:r>
      <w:r w:rsidRPr="00896A69">
        <w:t xml:space="preserve"> areas OPC is meeting the objectives of the Workplace Diversity Program.</w:t>
      </w:r>
    </w:p>
    <w:p w:rsidR="00AD4488" w:rsidRPr="00896A69" w:rsidRDefault="00AD4488" w:rsidP="00AD4488">
      <w:pPr>
        <w:pStyle w:val="BodyNum"/>
      </w:pPr>
      <w:r w:rsidRPr="00896A69">
        <w:t>However, there are some</w:t>
      </w:r>
      <w:r w:rsidR="001C6DD1" w:rsidRPr="00896A69">
        <w:t xml:space="preserve"> </w:t>
      </w:r>
      <w:r w:rsidRPr="00896A69">
        <w:t xml:space="preserve">areas where the results are </w:t>
      </w:r>
      <w:r w:rsidR="00D14F24" w:rsidRPr="00896A69">
        <w:t>still</w:t>
      </w:r>
      <w:r w:rsidRPr="00896A69">
        <w:t xml:space="preserve"> below </w:t>
      </w:r>
      <w:r w:rsidR="00D14F24" w:rsidRPr="00896A69">
        <w:t>the performance i</w:t>
      </w:r>
      <w:r w:rsidR="00896A69" w:rsidRPr="00896A69">
        <w:t xml:space="preserve">ndicator </w:t>
      </w:r>
      <w:r w:rsidRPr="00896A69">
        <w:t xml:space="preserve">(these are indicated by an * against the </w:t>
      </w:r>
      <w:r w:rsidR="00FD232C">
        <w:t>OPC result</w:t>
      </w:r>
      <w:r w:rsidRPr="00896A69">
        <w:t xml:space="preserve"> in the table above). </w:t>
      </w:r>
      <w:r w:rsidRPr="00896A69">
        <w:lastRenderedPageBreak/>
        <w:t xml:space="preserve">There </w:t>
      </w:r>
      <w:r w:rsidR="00FD0ECA" w:rsidRPr="00896A69">
        <w:t>continued to be</w:t>
      </w:r>
      <w:r w:rsidRPr="00896A69">
        <w:t xml:space="preserve"> a substantial </w:t>
      </w:r>
      <w:r w:rsidR="00FD0ECA" w:rsidRPr="00896A69">
        <w:t>number of</w:t>
      </w:r>
      <w:r w:rsidRPr="00896A69">
        <w:t xml:space="preserve"> neut</w:t>
      </w:r>
      <w:r w:rsidR="00DD75A2" w:rsidRPr="00896A69">
        <w:t>ral responses of “neither agree nor disagree</w:t>
      </w:r>
      <w:r w:rsidRPr="00896A69">
        <w:t>” for these survey questions which may mean that staff are unsure about these attributes of OPC.</w:t>
      </w:r>
    </w:p>
    <w:p w:rsidR="00AD4488" w:rsidRPr="00896A69" w:rsidRDefault="00AD4488" w:rsidP="00AD4488">
      <w:pPr>
        <w:pStyle w:val="BodyNum"/>
      </w:pPr>
      <w:r w:rsidRPr="00896A69">
        <w:t>These are areas that OPC</w:t>
      </w:r>
      <w:r w:rsidR="0014749D" w:rsidRPr="00896A69">
        <w:t xml:space="preserve"> is </w:t>
      </w:r>
      <w:r w:rsidR="00D14F24" w:rsidRPr="00896A69">
        <w:t xml:space="preserve">continuing </w:t>
      </w:r>
      <w:r w:rsidR="0014749D" w:rsidRPr="00896A69">
        <w:t>to address and</w:t>
      </w:r>
      <w:r w:rsidRPr="00896A69">
        <w:t xml:space="preserve"> will </w:t>
      </w:r>
      <w:r w:rsidR="0014749D" w:rsidRPr="00896A69">
        <w:t>look to improve on</w:t>
      </w:r>
      <w:r w:rsidRPr="00896A69">
        <w:t xml:space="preserve"> in the coming year.</w:t>
      </w:r>
    </w:p>
    <w:p w:rsidR="00AD4488" w:rsidRDefault="00AD4488" w:rsidP="00AD4488">
      <w:pPr>
        <w:pStyle w:val="Head4"/>
      </w:pPr>
      <w:proofErr w:type="spellStart"/>
      <w:r>
        <w:t>OPC’s</w:t>
      </w:r>
      <w:proofErr w:type="spellEnd"/>
      <w:r>
        <w:t xml:space="preserve"> Reconciliation Action Plan</w:t>
      </w:r>
    </w:p>
    <w:p w:rsidR="00AD4488" w:rsidRDefault="00AD4488" w:rsidP="00AD4488">
      <w:pPr>
        <w:pStyle w:val="BodyNum"/>
      </w:pPr>
      <w:bookmarkStart w:id="102" w:name="_Ref241317244"/>
      <w:r>
        <w:t>OPC is committed to the process of reconciliation between Indigenous and other Australians and recognises the importance of reconciliation to Australia’s future.</w:t>
      </w:r>
      <w:bookmarkEnd w:id="102"/>
    </w:p>
    <w:p w:rsidR="00AD4488" w:rsidRDefault="00AD4488" w:rsidP="00AD4488">
      <w:pPr>
        <w:pStyle w:val="BodyNum"/>
      </w:pPr>
      <w:proofErr w:type="spellStart"/>
      <w:r>
        <w:t>OPC’s</w:t>
      </w:r>
      <w:proofErr w:type="spellEnd"/>
      <w:r>
        <w:t xml:space="preserve"> Reconciliation Action Plan (</w:t>
      </w:r>
      <w:r w:rsidRPr="00761416">
        <w:rPr>
          <w:b/>
          <w:i/>
        </w:rPr>
        <w:t>RAP</w:t>
      </w:r>
      <w:r>
        <w:t xml:space="preserve">) was developed in consultation with staff to promote reconciliation both within OPC and across the broader Australian community. </w:t>
      </w:r>
      <w:proofErr w:type="spellStart"/>
      <w:r>
        <w:t>OPC’s</w:t>
      </w:r>
      <w:proofErr w:type="spellEnd"/>
      <w:r>
        <w:t xml:space="preserve"> RAP includes strategies for the recruitment and employment of Indigenous Australians and the promotion of an understanding of Indigenous culture and issues among all our staff.</w:t>
      </w:r>
    </w:p>
    <w:p w:rsidR="00AD4488" w:rsidRDefault="00AD4488" w:rsidP="00AD4488">
      <w:pPr>
        <w:pStyle w:val="BodyNum"/>
      </w:pPr>
      <w:r>
        <w:t>During the year, the activities undertaken as part of the RAP included: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rsidR="003D3EB6">
        <w:t>rev</w:t>
      </w:r>
      <w:r w:rsidR="0038537B">
        <w:t>ie</w:t>
      </w:r>
      <w:r w:rsidR="003D3EB6">
        <w:t>wing</w:t>
      </w:r>
      <w:r w:rsidR="00613DC1">
        <w:t xml:space="preserve"> the collection </w:t>
      </w:r>
      <w:r>
        <w:t xml:space="preserve">of Indigenous Australian art </w:t>
      </w:r>
      <w:r w:rsidR="00613DC1">
        <w:t xml:space="preserve">to </w:t>
      </w:r>
      <w:r w:rsidR="00613DC1">
        <w:lastRenderedPageBreak/>
        <w:t xml:space="preserve">display </w:t>
      </w:r>
      <w:r>
        <w:t xml:space="preserve">in public areas of </w:t>
      </w:r>
      <w:proofErr w:type="spellStart"/>
      <w:r>
        <w:t>OPC</w:t>
      </w:r>
      <w:r w:rsidR="00613DC1">
        <w:t>’s</w:t>
      </w:r>
      <w:proofErr w:type="spellEnd"/>
      <w:r w:rsidR="00613DC1">
        <w:t xml:space="preserve"> new premises</w:t>
      </w:r>
      <w:r>
        <w:t>;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 xml:space="preserve">provision of information on </w:t>
      </w:r>
      <w:proofErr w:type="spellStart"/>
      <w:r>
        <w:t>OPC’s</w:t>
      </w:r>
      <w:proofErr w:type="spellEnd"/>
      <w:r>
        <w:t xml:space="preserve"> RAP to all new employees as part of their induction program.</w:t>
      </w:r>
    </w:p>
    <w:p w:rsidR="00AD4488" w:rsidRDefault="00AD4488" w:rsidP="00AD4488">
      <w:pPr>
        <w:pStyle w:val="Head4"/>
      </w:pPr>
      <w:r>
        <w:t>Breastfeeding Friendly Workplace accreditation</w:t>
      </w:r>
    </w:p>
    <w:p w:rsidR="00AD4488" w:rsidRDefault="00AD4488" w:rsidP="00AD4488">
      <w:pPr>
        <w:pStyle w:val="BodyNum"/>
      </w:pPr>
      <w:bookmarkStart w:id="103" w:name="_Ref272842524"/>
      <w:r>
        <w:t>OPC has undertaken a</w:t>
      </w:r>
      <w:r w:rsidR="00812C1B">
        <w:t>n ongoing</w:t>
      </w:r>
      <w:r>
        <w:t xml:space="preserve"> commitment to provide a supportive environment for breastfeeding women.</w:t>
      </w:r>
      <w:bookmarkEnd w:id="103"/>
    </w:p>
    <w:p w:rsidR="00AD4488" w:rsidRDefault="00AD4488" w:rsidP="00AD4488">
      <w:pPr>
        <w:pStyle w:val="BodyNum"/>
      </w:pPr>
      <w:r>
        <w:t>OP</w:t>
      </w:r>
      <w:r w:rsidR="006D521B">
        <w:t>C maintains accreditation as a “</w:t>
      </w:r>
      <w:r>
        <w:t>Breastfeeding Friendly Workplace</w:t>
      </w:r>
      <w:r w:rsidR="006D521B">
        <w:t>”</w:t>
      </w:r>
      <w:r w:rsidR="00F55F5C">
        <w:t xml:space="preserve"> </w:t>
      </w:r>
      <w:r w:rsidR="00631C36">
        <w:t xml:space="preserve">from the Australian Breastfeeding Association </w:t>
      </w:r>
      <w:r>
        <w:t>by providing:</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guidance to staff about our workplace facilities and practices that support women to meet both their work and family commitments;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appropriate facilities that double as parenting rooms; and</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information to staff about our breastfeeding policies in our induction program and a “comeback pack” for staff commencing maternity leave.</w:t>
      </w:r>
    </w:p>
    <w:p w:rsidR="00AD4488" w:rsidRDefault="00AD4488" w:rsidP="00AD4488">
      <w:pPr>
        <w:pStyle w:val="Head4"/>
      </w:pPr>
      <w:r>
        <w:lastRenderedPageBreak/>
        <w:t>Changes to disability reporting in annual reports</w:t>
      </w:r>
    </w:p>
    <w:p w:rsidR="00AD4488" w:rsidRDefault="00AD4488" w:rsidP="00AD4488">
      <w:pPr>
        <w:pStyle w:val="BodyNum"/>
      </w:pPr>
      <w:bookmarkStart w:id="104" w:name="_Ref144888685"/>
      <w:r>
        <w:t xml:space="preserve">Since 1994, </w:t>
      </w:r>
      <w:r w:rsidR="00656F33">
        <w:t xml:space="preserve">non-corporate </w:t>
      </w:r>
      <w:r>
        <w:t xml:space="preserve">Commonwealth </w:t>
      </w:r>
      <w:r w:rsidR="00B6787F">
        <w:t>entities</w:t>
      </w:r>
      <w:r>
        <w:t xml:space="preserve"> have reported on their performance as policy adviser, purchaser, employer, regulator and provider under the Commonwealth Disability Strategy. In 2007-2008, reporting on the employer role was transferred to the </w:t>
      </w:r>
      <w:proofErr w:type="spellStart"/>
      <w:r>
        <w:t>APSC’s</w:t>
      </w:r>
      <w:proofErr w:type="spellEnd"/>
      <w:r>
        <w:t xml:space="preserve"> </w:t>
      </w:r>
      <w:r>
        <w:rPr>
          <w:i/>
        </w:rPr>
        <w:t>State of the Service Report</w:t>
      </w:r>
      <w:r>
        <w:t xml:space="preserve"> and the </w:t>
      </w:r>
      <w:r>
        <w:rPr>
          <w:i/>
        </w:rPr>
        <w:t>APS Statistical Bulletin</w:t>
      </w:r>
      <w:r>
        <w:t xml:space="preserve">. These reports are available at www.apsc.gov.au. From 2010-2011, </w:t>
      </w:r>
      <w:r w:rsidR="00B6787F">
        <w:t>entities have</w:t>
      </w:r>
      <w:r>
        <w:t xml:space="preserve"> no longer </w:t>
      </w:r>
      <w:r w:rsidR="00B6787F">
        <w:t xml:space="preserve">been </w:t>
      </w:r>
      <w:r>
        <w:t>required to report on these functions.</w:t>
      </w:r>
    </w:p>
    <w:p w:rsidR="00AD4488" w:rsidRDefault="00AD4488" w:rsidP="00F01C34">
      <w:pPr>
        <w:pStyle w:val="BodyNum"/>
      </w:pPr>
      <w:r>
        <w:t xml:space="preserve">The Commonwealth Disability Strategy has been overtaken by </w:t>
      </w:r>
      <w:r w:rsidR="00F01C34">
        <w:t>the</w:t>
      </w:r>
      <w:r>
        <w:t xml:space="preserve"> National Disability Strategy</w:t>
      </w:r>
      <w:r w:rsidR="00F01C34">
        <w:t xml:space="preserve"> 2010-2020,</w:t>
      </w:r>
      <w:r>
        <w:t xml:space="preserve"> which sets out a </w:t>
      </w:r>
      <w:r w:rsidR="00031644">
        <w:t>10</w:t>
      </w:r>
      <w:r>
        <w:t xml:space="preserve">-year national policy framework </w:t>
      </w:r>
      <w:r w:rsidR="00F01C34">
        <w:t>to</w:t>
      </w:r>
      <w:r>
        <w:t xml:space="preserve"> improv</w:t>
      </w:r>
      <w:r w:rsidR="00F01C34">
        <w:t>e the</w:t>
      </w:r>
      <w:r>
        <w:t xml:space="preserve"> li</w:t>
      </w:r>
      <w:r w:rsidR="00F01C34">
        <w:t>ves</w:t>
      </w:r>
      <w:r>
        <w:t xml:space="preserve"> </w:t>
      </w:r>
      <w:r w:rsidR="00F01C34">
        <w:t>of people with disability, promote participation and create a more inclusive society</w:t>
      </w:r>
      <w:r w:rsidR="00031644">
        <w:t>. A high-</w:t>
      </w:r>
      <w:r>
        <w:t>level</w:t>
      </w:r>
      <w:r w:rsidR="00F01C34">
        <w:t xml:space="preserve"> </w:t>
      </w:r>
      <w:r w:rsidR="00031644">
        <w:t>2</w:t>
      </w:r>
      <w:r w:rsidR="00F01C34">
        <w:t>-yearly</w:t>
      </w:r>
      <w:r>
        <w:t xml:space="preserve"> report </w:t>
      </w:r>
      <w:r w:rsidR="00F01C34">
        <w:t>will</w:t>
      </w:r>
      <w:r>
        <w:t xml:space="preserve"> track progress</w:t>
      </w:r>
      <w:r w:rsidR="00F01C34">
        <w:t xml:space="preserve"> against each of the </w:t>
      </w:r>
      <w:r w:rsidR="00031644">
        <w:t>6</w:t>
      </w:r>
      <w:r w:rsidR="00F01C34">
        <w:t xml:space="preserve"> outcome areas of the Strategy and present a picture of how</w:t>
      </w:r>
      <w:r>
        <w:t xml:space="preserve"> people with disability</w:t>
      </w:r>
      <w:r w:rsidR="00F01C34">
        <w:t xml:space="preserve"> are faring. The</w:t>
      </w:r>
      <w:r w:rsidR="00031644">
        <w:t xml:space="preserve"> </w:t>
      </w:r>
      <w:r w:rsidR="00F01C34">
        <w:t>first of these reports</w:t>
      </w:r>
      <w:r w:rsidR="00656F33">
        <w:t xml:space="preserve"> was published in 2014, and</w:t>
      </w:r>
      <w:r w:rsidR="00F01C34">
        <w:t xml:space="preserve"> can be found at </w:t>
      </w:r>
      <w:r>
        <w:t>www.</w:t>
      </w:r>
      <w:r w:rsidR="00F01C34">
        <w:t>dss</w:t>
      </w:r>
      <w:r>
        <w:t>.gov.au.</w:t>
      </w:r>
      <w:bookmarkEnd w:id="104"/>
    </w:p>
    <w:p w:rsidR="00AD4488" w:rsidRDefault="00AD4488" w:rsidP="00AD4488">
      <w:pPr>
        <w:pStyle w:val="Head3"/>
      </w:pPr>
      <w:bookmarkStart w:id="105" w:name="_Toc492656480"/>
      <w:r>
        <w:lastRenderedPageBreak/>
        <w:t>Work health and safety</w:t>
      </w:r>
      <w:bookmarkEnd w:id="105"/>
    </w:p>
    <w:p w:rsidR="00AD4488" w:rsidRDefault="00AD4488" w:rsidP="00AD4488">
      <w:pPr>
        <w:pStyle w:val="Head4"/>
      </w:pPr>
      <w:bookmarkStart w:id="106" w:name="_Ref144888880"/>
      <w:r>
        <w:t>Policy</w:t>
      </w:r>
    </w:p>
    <w:p w:rsidR="00AD4488" w:rsidRDefault="00AD4488" w:rsidP="00AD4488">
      <w:pPr>
        <w:pStyle w:val="BodyNum"/>
      </w:pPr>
      <w:bookmarkStart w:id="107" w:name="_Ref334530524"/>
      <w:r>
        <w:t>OPC commits itself to taking, at all times, reasonably practicable steps to ensure the health and safety of its workers (staff and contractors) and visitors to the workplace. In ensuring their health and safety, OPC:</w:t>
      </w:r>
      <w:bookmarkEnd w:id="106"/>
      <w:bookmarkEnd w:id="107"/>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provide</w:t>
      </w:r>
      <w:r w:rsidR="006D521B">
        <w:t>s</w:t>
      </w:r>
      <w:r>
        <w:t xml:space="preserve"> and maintain</w:t>
      </w:r>
      <w:r w:rsidR="006D521B">
        <w:t>s</w:t>
      </w:r>
      <w:r>
        <w:t xml:space="preserve"> a healthy and safe work environment;</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consult</w:t>
      </w:r>
      <w:r w:rsidR="006D521B">
        <w:t>s</w:t>
      </w:r>
      <w:r>
        <w:t xml:space="preserve"> and cooperate</w:t>
      </w:r>
      <w:r w:rsidR="006D521B">
        <w:t>s</w:t>
      </w:r>
      <w:r>
        <w:t xml:space="preserve"> with its workers, their health and safety representatives, and other duty holders, to achieve a healthy and safe workplace;</w:t>
      </w:r>
    </w:p>
    <w:p w:rsidR="00AD4488" w:rsidRDefault="00AD4488" w:rsidP="00AD4488">
      <w:pPr>
        <w:pStyle w:val="AnnualReportBullet"/>
        <w:tabs>
          <w:tab w:val="left" w:pos="360"/>
        </w:tabs>
        <w:ind w:left="360" w:hanging="360"/>
      </w:pPr>
      <w:r>
        <w:rPr>
          <w:rFonts w:ascii="Symbol" w:hAnsi="Symbol"/>
        </w:rPr>
        <w:t></w:t>
      </w:r>
      <w:r>
        <w:rPr>
          <w:rFonts w:ascii="Symbol" w:hAnsi="Symbol"/>
        </w:rPr>
        <w:tab/>
      </w:r>
      <w:r w:rsidR="006D521B">
        <w:t>complies</w:t>
      </w:r>
      <w:r>
        <w:t xml:space="preserve"> with the </w:t>
      </w:r>
      <w:r w:rsidRPr="00432334">
        <w:rPr>
          <w:i/>
        </w:rPr>
        <w:t xml:space="preserve">Work </w:t>
      </w:r>
      <w:r>
        <w:rPr>
          <w:i/>
        </w:rPr>
        <w:t>Health and Safety Act 2011</w:t>
      </w:r>
      <w:r>
        <w:t xml:space="preserve"> (</w:t>
      </w:r>
      <w:proofErr w:type="spellStart"/>
      <w:r>
        <w:rPr>
          <w:b/>
          <w:i/>
        </w:rPr>
        <w:t>WHS</w:t>
      </w:r>
      <w:proofErr w:type="spellEnd"/>
      <w:r>
        <w:rPr>
          <w:b/>
          <w:i/>
        </w:rPr>
        <w:t xml:space="preserve"> Act</w:t>
      </w:r>
      <w:r>
        <w:t>) as a minimum standard, and implement</w:t>
      </w:r>
      <w:r w:rsidR="006D521B">
        <w:t>s</w:t>
      </w:r>
      <w:r>
        <w:t xml:space="preserve"> in full the requi</w:t>
      </w:r>
      <w:r w:rsidR="00944C0F">
        <w:t xml:space="preserve">rements of the </w:t>
      </w:r>
      <w:proofErr w:type="spellStart"/>
      <w:r w:rsidR="00944C0F">
        <w:t>WHS</w:t>
      </w:r>
      <w:proofErr w:type="spellEnd"/>
      <w:r w:rsidR="00944C0F">
        <w:t xml:space="preserve"> Act and its r</w:t>
      </w:r>
      <w:r>
        <w:t>egulations;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ensure</w:t>
      </w:r>
      <w:r w:rsidR="006D521B">
        <w:t>s</w:t>
      </w:r>
      <w:r>
        <w:t xml:space="preserve"> that appropriate organisational arrangements are in place to facilitate the implementation of the </w:t>
      </w:r>
      <w:proofErr w:type="spellStart"/>
      <w:r>
        <w:t>WHS</w:t>
      </w:r>
      <w:proofErr w:type="spellEnd"/>
      <w:r>
        <w:t xml:space="preserve"> Act;</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provide</w:t>
      </w:r>
      <w:r w:rsidR="006D521B">
        <w:t>s</w:t>
      </w:r>
      <w:r>
        <w:t xml:space="preserve"> appropriate resources to ensure that necessary health and safety programs and activities are established and maintained; and</w:t>
      </w:r>
    </w:p>
    <w:p w:rsidR="00AD4488" w:rsidRDefault="00AD4488" w:rsidP="00AD4488">
      <w:pPr>
        <w:pStyle w:val="AnnualReportBullet"/>
        <w:tabs>
          <w:tab w:val="left" w:pos="360"/>
        </w:tabs>
        <w:ind w:left="360" w:hanging="360"/>
      </w:pPr>
      <w:r>
        <w:rPr>
          <w:rFonts w:ascii="Symbol" w:hAnsi="Symbol"/>
        </w:rPr>
        <w:lastRenderedPageBreak/>
        <w:t></w:t>
      </w:r>
      <w:r>
        <w:rPr>
          <w:rFonts w:ascii="Symbol" w:hAnsi="Symbol"/>
        </w:rPr>
        <w:tab/>
      </w:r>
      <w:r>
        <w:t>inform</w:t>
      </w:r>
      <w:r w:rsidR="006D521B">
        <w:t>s</w:t>
      </w:r>
      <w:r>
        <w:t xml:space="preserve"> all workers about relevant health and safety matters and provide</w:t>
      </w:r>
      <w:r w:rsidR="006D521B">
        <w:t>s</w:t>
      </w:r>
      <w:r>
        <w:t xml:space="preserve"> that information in languages other than English where this might be necessary.</w:t>
      </w:r>
    </w:p>
    <w:p w:rsidR="00AD4488" w:rsidRDefault="00AD4488" w:rsidP="00AD4488">
      <w:pPr>
        <w:pStyle w:val="Head4"/>
      </w:pPr>
      <w:r>
        <w:t>Health and safety committee</w:t>
      </w:r>
    </w:p>
    <w:p w:rsidR="00AD4488" w:rsidRDefault="00AD4488" w:rsidP="00AD4488">
      <w:pPr>
        <w:pStyle w:val="BodyNum"/>
      </w:pPr>
      <w:r>
        <w:t xml:space="preserve">The </w:t>
      </w:r>
      <w:proofErr w:type="spellStart"/>
      <w:r>
        <w:t>WHS</w:t>
      </w:r>
      <w:proofErr w:type="spellEnd"/>
      <w:r>
        <w:t xml:space="preserve"> Act requires the establishment of a health and safety committee at the request of a health and safety representative or 5 or more workers at the workplace. If a health and safety committee is not required to be established, other consultation procedures can be established for a workplace.</w:t>
      </w:r>
    </w:p>
    <w:p w:rsidR="00AD4488" w:rsidRDefault="00AD4488" w:rsidP="00AD4488">
      <w:pPr>
        <w:pStyle w:val="BodyNum"/>
      </w:pPr>
      <w:r>
        <w:t xml:space="preserve">In OPC, the </w:t>
      </w:r>
      <w:proofErr w:type="spellStart"/>
      <w:r>
        <w:t>WCC</w:t>
      </w:r>
      <w:proofErr w:type="spellEnd"/>
      <w:r>
        <w:t xml:space="preserve"> fulfils the requirements of the </w:t>
      </w:r>
      <w:proofErr w:type="spellStart"/>
      <w:r>
        <w:t>WHS</w:t>
      </w:r>
      <w:proofErr w:type="spellEnd"/>
      <w:r>
        <w:t xml:space="preserve"> Act with respect to consultation with workgroups on health and safety matters. In addition, the </w:t>
      </w:r>
      <w:proofErr w:type="spellStart"/>
      <w:r>
        <w:t>WCC</w:t>
      </w:r>
      <w:proofErr w:type="spellEnd"/>
      <w:r>
        <w:t xml:space="preserve"> has incorporated the functions of a health and safety committee as a standing agenda item. </w:t>
      </w:r>
      <w:r w:rsidR="004A10D1">
        <w:t>T</w:t>
      </w:r>
      <w:r>
        <w:t>he h</w:t>
      </w:r>
      <w:r w:rsidR="004A10D1">
        <w:t>ealth and safety representative</w:t>
      </w:r>
      <w:r>
        <w:t xml:space="preserve"> attends each </w:t>
      </w:r>
      <w:proofErr w:type="spellStart"/>
      <w:r>
        <w:t>WCC</w:t>
      </w:r>
      <w:proofErr w:type="spellEnd"/>
      <w:r>
        <w:t xml:space="preserve"> meeting.</w:t>
      </w:r>
    </w:p>
    <w:p w:rsidR="00AD4488" w:rsidRDefault="00AD4488" w:rsidP="004D1329">
      <w:pPr>
        <w:pStyle w:val="Head4"/>
      </w:pPr>
      <w:r>
        <w:t>Initiatives taken during the year</w:t>
      </w:r>
    </w:p>
    <w:p w:rsidR="00AD4488" w:rsidRDefault="00AD4488" w:rsidP="00AD4488">
      <w:pPr>
        <w:pStyle w:val="BodyNum"/>
      </w:pPr>
      <w:r>
        <w:t xml:space="preserve">A physiotherapist or occupational </w:t>
      </w:r>
      <w:r w:rsidR="00487265">
        <w:t xml:space="preserve">therapist visited OPC throughout the year </w:t>
      </w:r>
      <w:r w:rsidR="008A483F">
        <w:t xml:space="preserve">to conduct </w:t>
      </w:r>
      <w:r>
        <w:t>workstation assessments</w:t>
      </w:r>
      <w:r w:rsidR="00487265">
        <w:t xml:space="preserve">, particularly for new members of </w:t>
      </w:r>
      <w:r w:rsidR="00487265">
        <w:lastRenderedPageBreak/>
        <w:t>staff and staff returning from extended leave.</w:t>
      </w:r>
    </w:p>
    <w:p w:rsidR="00AD4488" w:rsidRDefault="00AD4488" w:rsidP="00AD4488">
      <w:pPr>
        <w:pStyle w:val="BodyNum"/>
      </w:pPr>
      <w:r>
        <w:t>During the year, OPC paid for influenza vaccinations</w:t>
      </w:r>
      <w:r w:rsidR="001D7A25">
        <w:t xml:space="preserve"> </w:t>
      </w:r>
      <w:r>
        <w:t>for interested staff.</w:t>
      </w:r>
    </w:p>
    <w:p w:rsidR="00AD4488" w:rsidRDefault="00AD4488" w:rsidP="00AD4488">
      <w:pPr>
        <w:pStyle w:val="BodyNum"/>
      </w:pPr>
      <w:r>
        <w:t>OPC maintained a policy of requiring staff to take an eye test, paid for by OPC, once every 2 years. OPC also provided reimbursement to staff for prescription eyewear up to the value of $5</w:t>
      </w:r>
      <w:r w:rsidR="004A10D1">
        <w:t>3</w:t>
      </w:r>
      <w:r>
        <w:t>0</w:t>
      </w:r>
      <w:r w:rsidR="006D521B">
        <w:t xml:space="preserve"> required</w:t>
      </w:r>
      <w:r>
        <w:t xml:space="preserve"> as a result of the eye tests.</w:t>
      </w:r>
    </w:p>
    <w:p w:rsidR="00AD4488" w:rsidRDefault="00AD4488" w:rsidP="00AD4488">
      <w:pPr>
        <w:pStyle w:val="BodyNum"/>
      </w:pPr>
      <w:r>
        <w:t xml:space="preserve">During the year, </w:t>
      </w:r>
      <w:r w:rsidR="008A483F">
        <w:t>OPC also provided reimbursement to staff of up to $2</w:t>
      </w:r>
      <w:r>
        <w:t xml:space="preserve">00 </w:t>
      </w:r>
      <w:r w:rsidR="008A483F">
        <w:t>to have an annual health and fitness assessment</w:t>
      </w:r>
      <w:r>
        <w:t>.</w:t>
      </w:r>
    </w:p>
    <w:p w:rsidR="00AD4488" w:rsidRDefault="00AD4488" w:rsidP="00AD4488">
      <w:pPr>
        <w:pStyle w:val="BodyNum"/>
      </w:pPr>
      <w:r>
        <w:t>The induction program for new members of staff includes a session specifically aimed at enhancing their awareness of the importance of health and safety issues in the workplace and emphasising the responsibilities of both staff and management in that regard.</w:t>
      </w:r>
    </w:p>
    <w:p w:rsidR="00AD4488" w:rsidRDefault="00AD4488" w:rsidP="00AD4488">
      <w:pPr>
        <w:pStyle w:val="BodyNum"/>
      </w:pPr>
      <w:r>
        <w:t>OPC maintains an appropriate collection of publications relating to health and safety in our library.</w:t>
      </w:r>
    </w:p>
    <w:p w:rsidR="00514877" w:rsidRDefault="00514877" w:rsidP="00514877">
      <w:pPr>
        <w:pStyle w:val="Head4"/>
      </w:pPr>
      <w:r>
        <w:lastRenderedPageBreak/>
        <w:t>Health and wellbeing program</w:t>
      </w:r>
    </w:p>
    <w:p w:rsidR="004A5E4B" w:rsidRPr="00503299" w:rsidRDefault="004A5E4B" w:rsidP="00AD4488">
      <w:pPr>
        <w:pStyle w:val="BodyNum"/>
      </w:pPr>
      <w:r w:rsidRPr="00503299">
        <w:t xml:space="preserve">On 1 July 2016, OPC received recognition from the ACT Government service </w:t>
      </w:r>
      <w:r w:rsidRPr="00503299">
        <w:rPr>
          <w:i/>
        </w:rPr>
        <w:t>Healthier Work</w:t>
      </w:r>
      <w:r w:rsidRPr="00503299">
        <w:t xml:space="preserve"> for our commitment to creating a healthier workplace by developing a 12-month Healthier Work Plan.</w:t>
      </w:r>
    </w:p>
    <w:p w:rsidR="00EC4491" w:rsidRPr="00503299" w:rsidRDefault="00487265" w:rsidP="00AD4488">
      <w:pPr>
        <w:pStyle w:val="BodyNum"/>
      </w:pPr>
      <w:r w:rsidRPr="00503299">
        <w:t xml:space="preserve">During the year, OPC </w:t>
      </w:r>
      <w:r w:rsidR="004A5E4B" w:rsidRPr="00503299">
        <w:t xml:space="preserve">implemented the activities from the </w:t>
      </w:r>
      <w:r w:rsidR="00E73967">
        <w:t>2016-17</w:t>
      </w:r>
      <w:r w:rsidR="004A5E4B" w:rsidRPr="00503299">
        <w:t xml:space="preserve"> Plan </w:t>
      </w:r>
      <w:r w:rsidR="00503299" w:rsidRPr="00503299">
        <w:t>which</w:t>
      </w:r>
      <w:r w:rsidR="004A5E4B" w:rsidRPr="00503299">
        <w:t xml:space="preserve"> promoted and supported the health areas of physical activity, healthy eating and social and emotional wellbeing.</w:t>
      </w:r>
    </w:p>
    <w:p w:rsidR="00EC4491" w:rsidRPr="00A53DE0" w:rsidRDefault="00E73967" w:rsidP="00AD4488">
      <w:pPr>
        <w:pStyle w:val="BodyNum"/>
      </w:pPr>
      <w:r w:rsidRPr="00A53DE0">
        <w:t xml:space="preserve">In June 2017, we surveyed staff to assist us in evaluating the 2016-17 Plan and developing a Healthier Work Plan for </w:t>
      </w:r>
      <w:r w:rsidR="00A53DE0">
        <w:t>the next 12-months</w:t>
      </w:r>
      <w:r w:rsidRPr="00A53DE0">
        <w:t>. The results</w:t>
      </w:r>
      <w:r w:rsidR="00A53DE0">
        <w:t xml:space="preserve"> of the survey</w:t>
      </w:r>
      <w:r w:rsidRPr="00A53DE0">
        <w:t xml:space="preserve"> were very positive and reflected the high participation rates</w:t>
      </w:r>
      <w:r w:rsidR="006B3CAA">
        <w:t xml:space="preserve"> for the activities</w:t>
      </w:r>
      <w:r w:rsidR="008D1D0E">
        <w:t>,</w:t>
      </w:r>
      <w:r w:rsidRPr="00A53DE0">
        <w:t xml:space="preserve"> and uptake of health and wellbeing i</w:t>
      </w:r>
      <w:r w:rsidR="00A53DE0">
        <w:t>nitiatives</w:t>
      </w:r>
      <w:r w:rsidR="008D1D0E">
        <w:t>,</w:t>
      </w:r>
      <w:r w:rsidR="00A53DE0">
        <w:t xml:space="preserve"> </w:t>
      </w:r>
      <w:r w:rsidR="008D1D0E">
        <w:t xml:space="preserve">conducted </w:t>
      </w:r>
      <w:r w:rsidR="00A53DE0">
        <w:t>throughout the year</w:t>
      </w:r>
      <w:r w:rsidRPr="00A53DE0">
        <w:t>.</w:t>
      </w:r>
    </w:p>
    <w:p w:rsidR="00A53DE0" w:rsidRPr="00A53DE0" w:rsidRDefault="00A53DE0" w:rsidP="00AD4488">
      <w:pPr>
        <w:pStyle w:val="BodyNum"/>
      </w:pPr>
      <w:r w:rsidRPr="00A53DE0">
        <w:t xml:space="preserve">On 28 June 2017, OPC received recognition of moving to “Silver Status” with the creation of the second year Healthier Work Plan which </w:t>
      </w:r>
      <w:r w:rsidR="006B3CAA">
        <w:t>will be implemented in 2017-2018</w:t>
      </w:r>
      <w:r w:rsidRPr="00A53DE0">
        <w:t>.</w:t>
      </w:r>
    </w:p>
    <w:p w:rsidR="00AD4488" w:rsidRDefault="00AD4488" w:rsidP="00AD4488">
      <w:pPr>
        <w:pStyle w:val="Head4"/>
      </w:pPr>
      <w:r w:rsidRPr="00855013">
        <w:t>Health and safety outcomes</w:t>
      </w:r>
    </w:p>
    <w:p w:rsidR="00AD4488" w:rsidRDefault="00AD4488" w:rsidP="00AD4488">
      <w:pPr>
        <w:pStyle w:val="BodyNum"/>
      </w:pPr>
      <w:r>
        <w:t xml:space="preserve">The following outcomes were achieved as a result of </w:t>
      </w:r>
      <w:r>
        <w:lastRenderedPageBreak/>
        <w:t>initiatives taken during the year or in past years: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comprehensive workstation assessments by qualified health professionals ensured good outcomes for staff retu</w:t>
      </w:r>
      <w:r w:rsidR="00855013">
        <w:t>rning to work from injuries;</w:t>
      </w:r>
    </w:p>
    <w:p w:rsidR="00AD4488" w:rsidRDefault="00AD4488" w:rsidP="00AD4488">
      <w:pPr>
        <w:pStyle w:val="AnnualReportBullet"/>
        <w:tabs>
          <w:tab w:val="left" w:pos="360"/>
        </w:tabs>
        <w:ind w:left="360" w:hanging="360"/>
      </w:pPr>
      <w:r>
        <w:rPr>
          <w:rFonts w:ascii="Symbol" w:hAnsi="Symbol"/>
        </w:rPr>
        <w:t></w:t>
      </w:r>
      <w:r>
        <w:rPr>
          <w:rFonts w:ascii="Symbol" w:hAnsi="Symbol"/>
        </w:rPr>
        <w:tab/>
      </w:r>
      <w:r>
        <w:t>staff awareness of the importance of health</w:t>
      </w:r>
      <w:r w:rsidR="008D1D0E">
        <w:t xml:space="preserve">, wellbeing </w:t>
      </w:r>
      <w:r>
        <w:t>and saf</w:t>
      </w:r>
      <w:r w:rsidR="00855013">
        <w:t>ety in the workplace was raised</w:t>
      </w:r>
      <w:r w:rsidR="004A2AF3">
        <w:t xml:space="preserve">, particularly through the </w:t>
      </w:r>
      <w:r w:rsidR="000277B4">
        <w:t>new Healthier Work Plan initiatives</w:t>
      </w:r>
      <w:r w:rsidR="00855013">
        <w:t>; and</w:t>
      </w:r>
    </w:p>
    <w:p w:rsidR="00855013" w:rsidRDefault="00855013" w:rsidP="00855013">
      <w:pPr>
        <w:pStyle w:val="AnnualReportBullet"/>
        <w:tabs>
          <w:tab w:val="left" w:pos="360"/>
        </w:tabs>
        <w:ind w:left="360" w:hanging="360"/>
      </w:pPr>
      <w:r>
        <w:rPr>
          <w:rFonts w:ascii="Symbol" w:hAnsi="Symbol"/>
        </w:rPr>
        <w:t></w:t>
      </w:r>
      <w:r>
        <w:rPr>
          <w:rFonts w:ascii="Symbol" w:hAnsi="Symbol"/>
        </w:rPr>
        <w:tab/>
      </w:r>
      <w:r w:rsidR="004A2AF3">
        <w:t>staff survey results showed a high</w:t>
      </w:r>
      <w:r w:rsidR="000277B4">
        <w:t xml:space="preserve"> level of satisfaction with health and wellbeing in the workplace.</w:t>
      </w:r>
    </w:p>
    <w:p w:rsidR="00AD4488" w:rsidRDefault="00AD4488" w:rsidP="00AD4488">
      <w:pPr>
        <w:pStyle w:val="BodyNum"/>
      </w:pPr>
      <w:r>
        <w:t xml:space="preserve">Although hard to measure, OPC considers that modest outlays </w:t>
      </w:r>
      <w:r>
        <w:lastRenderedPageBreak/>
        <w:t>on health promotion activities provide good value for money, given the potential lost work time annually due to the effects of health issues.</w:t>
      </w:r>
    </w:p>
    <w:p w:rsidR="00AD4488" w:rsidRDefault="00AD4488" w:rsidP="00AD4488">
      <w:pPr>
        <w:pStyle w:val="Head4"/>
      </w:pPr>
      <w:r>
        <w:t>Notifiable incidents</w:t>
      </w:r>
    </w:p>
    <w:p w:rsidR="00AD4488" w:rsidRPr="004C0F06" w:rsidRDefault="00AD4488" w:rsidP="00AD4488">
      <w:pPr>
        <w:pStyle w:val="BodyNum"/>
      </w:pPr>
      <w:r w:rsidRPr="004C0F06">
        <w:t>There were no</w:t>
      </w:r>
      <w:r>
        <w:t xml:space="preserve"> notifiable</w:t>
      </w:r>
      <w:r w:rsidRPr="004C0F06">
        <w:t xml:space="preserve"> </w:t>
      </w:r>
      <w:r>
        <w:t xml:space="preserve">incidents </w:t>
      </w:r>
      <w:r w:rsidRPr="004C0F06">
        <w:t>during the year requiring notification under section </w:t>
      </w:r>
      <w:r>
        <w:t>3</w:t>
      </w:r>
      <w:r w:rsidRPr="004C0F06">
        <w:t xml:space="preserve">8 of the </w:t>
      </w:r>
      <w:proofErr w:type="spellStart"/>
      <w:r>
        <w:t>W</w:t>
      </w:r>
      <w:r w:rsidRPr="004C0F06">
        <w:t>HS</w:t>
      </w:r>
      <w:proofErr w:type="spellEnd"/>
      <w:r w:rsidRPr="004C0F06">
        <w:t xml:space="preserve"> Act.</w:t>
      </w:r>
    </w:p>
    <w:p w:rsidR="00AD4488" w:rsidRDefault="00AD4488" w:rsidP="00AD4488">
      <w:pPr>
        <w:pStyle w:val="Head4"/>
      </w:pPr>
      <w:r>
        <w:t>Investigations</w:t>
      </w:r>
    </w:p>
    <w:p w:rsidR="00AD4488" w:rsidRDefault="00AD4488" w:rsidP="00AD4488">
      <w:pPr>
        <w:pStyle w:val="BodyNum"/>
        <w:sectPr w:rsidR="00AD4488">
          <w:headerReference w:type="even" r:id="rId73"/>
          <w:headerReference w:type="default" r:id="rId74"/>
          <w:footerReference w:type="even" r:id="rId75"/>
          <w:footerReference w:type="default" r:id="rId76"/>
          <w:type w:val="continuous"/>
          <w:pgSz w:w="11907" w:h="16839" w:code="9"/>
          <w:pgMar w:top="1134" w:right="2410" w:bottom="4253" w:left="2410" w:header="510" w:footer="3402" w:gutter="0"/>
          <w:cols w:num="2" w:space="709"/>
          <w:docGrid w:linePitch="326"/>
        </w:sectPr>
      </w:pPr>
      <w:r>
        <w:t xml:space="preserve">OPC has not been the subject of any investigation and no notices have been issued to OPC during the year under Part 10 of the </w:t>
      </w:r>
      <w:proofErr w:type="spellStart"/>
      <w:r>
        <w:t>WHS</w:t>
      </w:r>
      <w:proofErr w:type="spellEnd"/>
      <w:r>
        <w:t xml:space="preserve"> Act.</w:t>
      </w:r>
    </w:p>
    <w:p w:rsidR="00AD4488" w:rsidRDefault="00AD4488" w:rsidP="00AD4488">
      <w:pPr>
        <w:sectPr w:rsidR="00AD4488">
          <w:type w:val="continuous"/>
          <w:pgSz w:w="11907" w:h="16839" w:code="9"/>
          <w:pgMar w:top="1134" w:right="2410" w:bottom="4253" w:left="2410" w:header="510" w:footer="3402" w:gutter="0"/>
          <w:cols w:num="2" w:space="709"/>
          <w:docGrid w:linePitch="326"/>
        </w:sectPr>
      </w:pPr>
    </w:p>
    <w:p w:rsidR="00CB554F" w:rsidRDefault="00CB554F">
      <w:pPr>
        <w:sectPr w:rsidR="00CB554F">
          <w:headerReference w:type="even" r:id="rId77"/>
          <w:headerReference w:type="default" r:id="rId78"/>
          <w:footerReference w:type="even" r:id="rId79"/>
          <w:footerReference w:type="default" r:id="rId80"/>
          <w:type w:val="continuous"/>
          <w:pgSz w:w="11907" w:h="16839" w:code="9"/>
          <w:pgMar w:top="1134" w:right="2410" w:bottom="4253" w:left="2410" w:header="510" w:footer="3402" w:gutter="0"/>
          <w:cols w:num="2" w:space="709"/>
          <w:docGrid w:linePitch="326"/>
        </w:sectPr>
      </w:pPr>
    </w:p>
    <w:p w:rsidR="007E5114" w:rsidRDefault="007E5114" w:rsidP="007E5114">
      <w:pPr>
        <w:pStyle w:val="Head2"/>
        <w:sectPr w:rsidR="007E5114">
          <w:headerReference w:type="even" r:id="rId81"/>
          <w:headerReference w:type="default" r:id="rId82"/>
          <w:footerReference w:type="even" r:id="rId83"/>
          <w:footerReference w:type="default" r:id="rId84"/>
          <w:pgSz w:w="11907" w:h="16839" w:code="9"/>
          <w:pgMar w:top="1134" w:right="2410" w:bottom="4253" w:left="2410" w:header="510" w:footer="3402" w:gutter="0"/>
          <w:cols w:space="709"/>
          <w:docGrid w:linePitch="326"/>
        </w:sectPr>
      </w:pPr>
      <w:bookmarkStart w:id="108" w:name="_Toc492656481"/>
      <w:r>
        <w:lastRenderedPageBreak/>
        <w:t>Chapter 5—Purchasing and consultants</w:t>
      </w:r>
      <w:bookmarkEnd w:id="108"/>
    </w:p>
    <w:p w:rsidR="007E5114" w:rsidRDefault="007E5114" w:rsidP="007E5114">
      <w:pPr>
        <w:pStyle w:val="Head3"/>
      </w:pPr>
      <w:bookmarkStart w:id="109" w:name="_Toc492656482"/>
      <w:r>
        <w:lastRenderedPageBreak/>
        <w:t>Purchasing</w:t>
      </w:r>
      <w:bookmarkEnd w:id="109"/>
    </w:p>
    <w:p w:rsidR="003A5458" w:rsidRDefault="001D7A25" w:rsidP="003A5458">
      <w:pPr>
        <w:pStyle w:val="BodyNum"/>
      </w:pPr>
      <w:bookmarkStart w:id="110" w:name="_Ref113169325"/>
      <w:r>
        <w:t>D</w:t>
      </w:r>
      <w:r w:rsidR="009B6B05">
        <w:t>uring the year,</w:t>
      </w:r>
      <w:r w:rsidR="007E5114">
        <w:t xml:space="preserve"> </w:t>
      </w:r>
      <w:r>
        <w:t xml:space="preserve">OPC finalised </w:t>
      </w:r>
      <w:r w:rsidR="00991DAB">
        <w:t xml:space="preserve">the </w:t>
      </w:r>
      <w:r w:rsidR="008D1D0E">
        <w:t>2</w:t>
      </w:r>
      <w:r w:rsidR="00991DAB">
        <w:t xml:space="preserve"> open tender procurement processes</w:t>
      </w:r>
      <w:r w:rsidR="003A5458">
        <w:t xml:space="preserve"> for</w:t>
      </w:r>
      <w:r w:rsidR="005E7C9A">
        <w:t xml:space="preserve"> clea</w:t>
      </w:r>
      <w:r w:rsidR="00410362">
        <w:t>ning and printing services.</w:t>
      </w:r>
    </w:p>
    <w:p w:rsidR="007E5114" w:rsidRDefault="00753EC0" w:rsidP="007E5114">
      <w:pPr>
        <w:pStyle w:val="BodyNum"/>
      </w:pPr>
      <w:r>
        <w:t>T</w:t>
      </w:r>
      <w:r w:rsidR="001D7A25">
        <w:t xml:space="preserve">he majority of other </w:t>
      </w:r>
      <w:r w:rsidR="007E5114">
        <w:t>purchasing</w:t>
      </w:r>
      <w:r w:rsidR="001D7A25">
        <w:t xml:space="preserve"> continued to be</w:t>
      </w:r>
      <w:r w:rsidR="007E5114">
        <w:t xml:space="preserve"> confined to simple procurement processes. </w:t>
      </w:r>
      <w:bookmarkEnd w:id="110"/>
      <w:r w:rsidR="007E5114">
        <w:t xml:space="preserve">Given the nature and extent of </w:t>
      </w:r>
      <w:proofErr w:type="spellStart"/>
      <w:r w:rsidR="007E5114">
        <w:t>OPC’s</w:t>
      </w:r>
      <w:proofErr w:type="spellEnd"/>
      <w:r w:rsidR="007E5114">
        <w:t xml:space="preserve"> procurement activity, there is no current need to establish an accredited procurement unit within OPC.</w:t>
      </w:r>
    </w:p>
    <w:p w:rsidR="007E5114" w:rsidRDefault="007E5114" w:rsidP="007E5114">
      <w:pPr>
        <w:pStyle w:val="BodyNum"/>
      </w:pPr>
      <w:r>
        <w:t>OPC continues to consider cooperative agency procurement as an option when procuring property and services. A number of contracts are in place where a cooperative arrangement has been used, with OPC benefiting from support and savings, and reduced procurement costs</w:t>
      </w:r>
      <w:r w:rsidR="004D7BCC">
        <w:t>,</w:t>
      </w:r>
      <w:r>
        <w:t xml:space="preserve"> by accessing contracts from larger portfolio agencies.</w:t>
      </w:r>
    </w:p>
    <w:p w:rsidR="007E5114" w:rsidRDefault="007E5114" w:rsidP="007E5114">
      <w:pPr>
        <w:pStyle w:val="BodyNum"/>
      </w:pPr>
      <w:r>
        <w:t>OPC has complied with the core policies and practices as identified in the</w:t>
      </w:r>
      <w:r w:rsidR="004D7BCC">
        <w:t xml:space="preserve"> Commonwealth Procurement Rules and</w:t>
      </w:r>
      <w:r>
        <w:t xml:space="preserve"> </w:t>
      </w:r>
      <w:proofErr w:type="spellStart"/>
      <w:r>
        <w:t>OPC’s</w:t>
      </w:r>
      <w:proofErr w:type="spellEnd"/>
      <w:r>
        <w:t xml:space="preserve"> </w:t>
      </w:r>
      <w:r w:rsidR="001D7A25">
        <w:t>Accountable Authority</w:t>
      </w:r>
      <w:r>
        <w:t xml:space="preserve"> Instructions a</w:t>
      </w:r>
      <w:r w:rsidR="009B6B05">
        <w:t>nd Office Procedural Circulars.</w:t>
      </w:r>
    </w:p>
    <w:p w:rsidR="007E5114" w:rsidRPr="005B1C0F" w:rsidRDefault="007E5114" w:rsidP="007E5114">
      <w:pPr>
        <w:pStyle w:val="BodyNum"/>
      </w:pPr>
      <w:proofErr w:type="spellStart"/>
      <w:r w:rsidRPr="005B1C0F">
        <w:lastRenderedPageBreak/>
        <w:t>OPC’s</w:t>
      </w:r>
      <w:proofErr w:type="spellEnd"/>
      <w:r w:rsidRPr="005B1C0F">
        <w:t xml:space="preserve"> Annual Procurement Plan </w:t>
      </w:r>
      <w:r w:rsidR="005B1C0F" w:rsidRPr="005B1C0F">
        <w:t>is reviewed annually and</w:t>
      </w:r>
      <w:r w:rsidRPr="005B1C0F">
        <w:t xml:space="preserve"> published on</w:t>
      </w:r>
      <w:r w:rsidR="00944C0F" w:rsidRPr="005B1C0F">
        <w:t xml:space="preserve"> the</w:t>
      </w:r>
      <w:r w:rsidRPr="005B1C0F">
        <w:t xml:space="preserve"> </w:t>
      </w:r>
      <w:proofErr w:type="spellStart"/>
      <w:r w:rsidRPr="005B1C0F">
        <w:t>AusTender</w:t>
      </w:r>
      <w:proofErr w:type="spellEnd"/>
      <w:r w:rsidR="00944C0F" w:rsidRPr="005B1C0F">
        <w:t xml:space="preserve"> website at www.tenders.gov.au</w:t>
      </w:r>
      <w:r w:rsidRPr="005B1C0F">
        <w:t>.</w:t>
      </w:r>
    </w:p>
    <w:p w:rsidR="001D7A25" w:rsidRDefault="001D7A25" w:rsidP="001D7A25">
      <w:pPr>
        <w:pStyle w:val="Head3"/>
      </w:pPr>
      <w:bookmarkStart w:id="111" w:name="_Toc492656483"/>
      <w:r>
        <w:t>Procurement initiatives to support small business</w:t>
      </w:r>
      <w:bookmarkEnd w:id="111"/>
    </w:p>
    <w:p w:rsidR="001D7A25" w:rsidRDefault="001D7A25" w:rsidP="001D7A25">
      <w:pPr>
        <w:pStyle w:val="BodyNum"/>
      </w:pPr>
      <w:r>
        <w:t>OPC supports small business participation in the Commonwealth Government procurement market. Small and Medium Enterprises (</w:t>
      </w:r>
      <w:r w:rsidRPr="001D7A25">
        <w:rPr>
          <w:b/>
          <w:i/>
        </w:rPr>
        <w:t>SME</w:t>
      </w:r>
      <w:r>
        <w:t>)</w:t>
      </w:r>
      <w:r w:rsidR="00591D8E">
        <w:t xml:space="preserve"> and Small Enterprise participation statistics are available on the Department of Finance’s website at www.finance.gov.au/procurement/statistics-on-commonwealth-purchasing-contracts/.</w:t>
      </w:r>
    </w:p>
    <w:p w:rsidR="001D7A25" w:rsidRDefault="00591D8E" w:rsidP="007E5114">
      <w:pPr>
        <w:pStyle w:val="BodyNum"/>
      </w:pPr>
      <w:proofErr w:type="spellStart"/>
      <w:r w:rsidRPr="005B1C0F">
        <w:t>OPC’s</w:t>
      </w:r>
      <w:proofErr w:type="spellEnd"/>
      <w:r w:rsidRPr="005B1C0F">
        <w:t xml:space="preserve"> procurement practices support SMEs by using the Commonwealth</w:t>
      </w:r>
      <w:r w:rsidR="005B1C0F" w:rsidRPr="005B1C0F">
        <w:t xml:space="preserve"> Contracting Suite</w:t>
      </w:r>
      <w:r w:rsidRPr="005B1C0F">
        <w:t xml:space="preserve"> and the use of electronic</w:t>
      </w:r>
      <w:r>
        <w:t xml:space="preserve"> systems and processes used to facilitate on-time payment performance, including the use of payment cards.</w:t>
      </w:r>
    </w:p>
    <w:p w:rsidR="007E5114" w:rsidRDefault="007E5114" w:rsidP="007E5114">
      <w:pPr>
        <w:pStyle w:val="Head3"/>
      </w:pPr>
      <w:bookmarkStart w:id="112" w:name="_Toc492656484"/>
      <w:r>
        <w:t>Consultants</w:t>
      </w:r>
      <w:bookmarkEnd w:id="112"/>
    </w:p>
    <w:p w:rsidR="002D48EF" w:rsidRDefault="007E5114" w:rsidP="007E5114">
      <w:pPr>
        <w:pStyle w:val="BodyNum"/>
      </w:pPr>
      <w:bookmarkStart w:id="113" w:name="_Ref113168706"/>
      <w:r>
        <w:t xml:space="preserve">OPC engages consultants where it lacks specialist expertise or when independent research, review or assessment is required. </w:t>
      </w:r>
      <w:r>
        <w:lastRenderedPageBreak/>
        <w:t>Consultants are typically engaged to</w:t>
      </w:r>
      <w:r w:rsidR="004D7BCC">
        <w:t>:</w:t>
      </w:r>
    </w:p>
    <w:p w:rsidR="002D48EF" w:rsidRDefault="002D48EF" w:rsidP="002D48EF">
      <w:pPr>
        <w:pStyle w:val="AnnualReportBullet"/>
        <w:tabs>
          <w:tab w:val="left" w:pos="360"/>
        </w:tabs>
        <w:ind w:left="360" w:hanging="360"/>
      </w:pPr>
      <w:r>
        <w:rPr>
          <w:rFonts w:ascii="Symbol" w:hAnsi="Symbol"/>
        </w:rPr>
        <w:t></w:t>
      </w:r>
      <w:r>
        <w:rPr>
          <w:rFonts w:ascii="Symbol" w:hAnsi="Symbol"/>
        </w:rPr>
        <w:tab/>
      </w:r>
      <w:r w:rsidR="007E5114">
        <w:t>investigate or diagn</w:t>
      </w:r>
      <w:r>
        <w:t>ose a defined issue or problem;</w:t>
      </w:r>
    </w:p>
    <w:p w:rsidR="002D48EF" w:rsidRDefault="002D48EF" w:rsidP="002D48EF">
      <w:pPr>
        <w:pStyle w:val="AnnualReportBullet"/>
        <w:tabs>
          <w:tab w:val="left" w:pos="360"/>
        </w:tabs>
        <w:ind w:left="360" w:hanging="360"/>
      </w:pPr>
      <w:r>
        <w:rPr>
          <w:rFonts w:ascii="Symbol" w:hAnsi="Symbol"/>
        </w:rPr>
        <w:t></w:t>
      </w:r>
      <w:r>
        <w:rPr>
          <w:rFonts w:ascii="Symbol" w:hAnsi="Symbol"/>
        </w:rPr>
        <w:tab/>
      </w:r>
      <w:r w:rsidR="007E5114">
        <w:t>carry out def</w:t>
      </w:r>
      <w:r>
        <w:t>ined reviews or evaluations; or</w:t>
      </w:r>
    </w:p>
    <w:p w:rsidR="007E5114" w:rsidRPr="002D48EF" w:rsidRDefault="002D48EF" w:rsidP="002D48EF">
      <w:pPr>
        <w:pStyle w:val="AnnualReportBullet"/>
        <w:tabs>
          <w:tab w:val="left" w:pos="360"/>
        </w:tabs>
        <w:ind w:left="360" w:hanging="360"/>
        <w:rPr>
          <w:rFonts w:ascii="Symbol" w:hAnsi="Symbol"/>
        </w:rPr>
      </w:pPr>
      <w:r>
        <w:rPr>
          <w:rFonts w:ascii="Symbol" w:hAnsi="Symbol"/>
        </w:rPr>
        <w:t></w:t>
      </w:r>
      <w:r>
        <w:rPr>
          <w:rFonts w:ascii="Symbol" w:hAnsi="Symbol"/>
        </w:rPr>
        <w:tab/>
      </w:r>
      <w:r w:rsidR="007E5114">
        <w:t>provide independent advice, information or creative sol</w:t>
      </w:r>
      <w:r w:rsidR="00944C0F">
        <w:t xml:space="preserve">utions to assist </w:t>
      </w:r>
      <w:proofErr w:type="spellStart"/>
      <w:r w:rsidR="00944C0F">
        <w:t>OPC’s</w:t>
      </w:r>
      <w:proofErr w:type="spellEnd"/>
      <w:r w:rsidR="00944C0F">
        <w:t xml:space="preserve"> decision-</w:t>
      </w:r>
      <w:r w:rsidR="007E5114">
        <w:t>making.</w:t>
      </w:r>
      <w:bookmarkEnd w:id="113"/>
    </w:p>
    <w:p w:rsidR="007E5114" w:rsidRDefault="007E5114" w:rsidP="007E5114">
      <w:pPr>
        <w:pStyle w:val="BodyNum"/>
      </w:pPr>
      <w:r>
        <w:t xml:space="preserve">Prior to engaging consultants, OPC takes into account the skills and resources required for the task, the skills available internally, and the cost-effectiveness of engaging external expertise. The decision to engage a consultant is made in accordance with the </w:t>
      </w:r>
      <w:r w:rsidR="00B50968">
        <w:rPr>
          <w:i/>
        </w:rPr>
        <w:t>Public Governance, Performance and Accountability</w:t>
      </w:r>
      <w:r w:rsidRPr="00263859">
        <w:rPr>
          <w:i/>
        </w:rPr>
        <w:t xml:space="preserve"> Act </w:t>
      </w:r>
      <w:r w:rsidR="00B50968">
        <w:rPr>
          <w:i/>
        </w:rPr>
        <w:t>2013</w:t>
      </w:r>
      <w:r>
        <w:t>, related regulations, the Commonwealth Procurement Rules and relevant internal policies.</w:t>
      </w:r>
    </w:p>
    <w:p w:rsidR="007E5114" w:rsidRDefault="007E5114" w:rsidP="007E5114">
      <w:pPr>
        <w:pStyle w:val="BodyNum"/>
      </w:pPr>
      <w:r>
        <w:lastRenderedPageBreak/>
        <w:t>During 201</w:t>
      </w:r>
      <w:r w:rsidR="0022550B">
        <w:t>6</w:t>
      </w:r>
      <w:r>
        <w:t>-201</w:t>
      </w:r>
      <w:r w:rsidR="0022550B">
        <w:t>7</w:t>
      </w:r>
      <w:r>
        <w:t xml:space="preserve">, </w:t>
      </w:r>
      <w:r w:rsidR="00E429E5">
        <w:t>one</w:t>
      </w:r>
      <w:r>
        <w:t xml:space="preserve"> new consultancy contra</w:t>
      </w:r>
      <w:r w:rsidR="00E429E5">
        <w:t>ct</w:t>
      </w:r>
      <w:r>
        <w:t xml:space="preserve"> for </w:t>
      </w:r>
      <w:r w:rsidR="008D1D0E">
        <w:t xml:space="preserve">analysis of </w:t>
      </w:r>
      <w:proofErr w:type="spellStart"/>
      <w:r w:rsidR="008D1D0E">
        <w:t>OPC’s</w:t>
      </w:r>
      <w:proofErr w:type="spellEnd"/>
      <w:r w:rsidR="008D1D0E">
        <w:t xml:space="preserve"> </w:t>
      </w:r>
      <w:r w:rsidR="00081ED7">
        <w:t>tenancy energy rating</w:t>
      </w:r>
      <w:r w:rsidR="008D1D0E">
        <w:t>s</w:t>
      </w:r>
      <w:r w:rsidR="00E429E5">
        <w:t xml:space="preserve"> was</w:t>
      </w:r>
      <w:r>
        <w:t xml:space="preserve"> entered into</w:t>
      </w:r>
      <w:r w:rsidR="007B6847">
        <w:t xml:space="preserve"> </w:t>
      </w:r>
      <w:r w:rsidR="00081ED7">
        <w:t xml:space="preserve">involving total actual </w:t>
      </w:r>
      <w:r w:rsidR="007B6847">
        <w:t>expenditure of $</w:t>
      </w:r>
      <w:r w:rsidR="00081ED7">
        <w:t>1</w:t>
      </w:r>
      <w:r w:rsidR="007B6847">
        <w:t>,</w:t>
      </w:r>
      <w:r w:rsidR="00081ED7">
        <w:t>485</w:t>
      </w:r>
      <w:r w:rsidR="007B6847">
        <w:t xml:space="preserve"> (including GST).</w:t>
      </w:r>
    </w:p>
    <w:p w:rsidR="007E5114" w:rsidRPr="00632B36" w:rsidRDefault="007E5114" w:rsidP="007E5114">
      <w:pPr>
        <w:pStyle w:val="BodyNum"/>
      </w:pPr>
      <w:r w:rsidRPr="00632B36">
        <w:t xml:space="preserve">The </w:t>
      </w:r>
      <w:r>
        <w:t xml:space="preserve">procurement method </w:t>
      </w:r>
      <w:r w:rsidRPr="00632B36">
        <w:t xml:space="preserve">for the </w:t>
      </w:r>
      <w:r w:rsidR="00E429E5">
        <w:t>consultancy contract</w:t>
      </w:r>
      <w:r>
        <w:t xml:space="preserve"> was</w:t>
      </w:r>
      <w:r w:rsidRPr="00632B36">
        <w:t xml:space="preserve"> by </w:t>
      </w:r>
      <w:r w:rsidR="00081ED7">
        <w:t>direct sourcing</w:t>
      </w:r>
      <w:r w:rsidR="007B6847">
        <w:t>.</w:t>
      </w:r>
    </w:p>
    <w:p w:rsidR="007E5114" w:rsidRDefault="007E5114" w:rsidP="007E5114">
      <w:pPr>
        <w:pStyle w:val="BodyNum"/>
      </w:pPr>
      <w:r>
        <w:t xml:space="preserve">In addition, </w:t>
      </w:r>
      <w:r w:rsidR="00487870">
        <w:t>one</w:t>
      </w:r>
      <w:r>
        <w:t xml:space="preserve"> ongoing consultancy contract for internal audit services </w:t>
      </w:r>
      <w:r w:rsidR="007B6847">
        <w:t>was</w:t>
      </w:r>
      <w:r>
        <w:t xml:space="preserve"> active during the 201</w:t>
      </w:r>
      <w:r w:rsidR="00081ED7">
        <w:t>6</w:t>
      </w:r>
      <w:r>
        <w:t>-201</w:t>
      </w:r>
      <w:r w:rsidR="00081ED7">
        <w:t>7</w:t>
      </w:r>
      <w:r>
        <w:t xml:space="preserve"> year, involving </w:t>
      </w:r>
      <w:r w:rsidR="00131DE7">
        <w:t>total actual expenditure</w:t>
      </w:r>
      <w:r w:rsidR="00081ED7">
        <w:t xml:space="preserve"> of $43,895</w:t>
      </w:r>
      <w:r>
        <w:t>.</w:t>
      </w:r>
    </w:p>
    <w:p w:rsidR="007E5114" w:rsidRDefault="007E5114" w:rsidP="007E5114">
      <w:pPr>
        <w:pStyle w:val="BodyNum"/>
        <w:sectPr w:rsidR="007E5114">
          <w:headerReference w:type="even" r:id="rId85"/>
          <w:headerReference w:type="default" r:id="rId86"/>
          <w:footerReference w:type="even" r:id="rId87"/>
          <w:footerReference w:type="default" r:id="rId88"/>
          <w:type w:val="continuous"/>
          <w:pgSz w:w="11907" w:h="16839" w:code="9"/>
          <w:pgMar w:top="1134" w:right="2410" w:bottom="4253" w:left="2410" w:header="510" w:footer="3402" w:gutter="0"/>
          <w:cols w:num="2" w:space="709"/>
          <w:docGrid w:linePitch="326"/>
        </w:sectPr>
      </w:pPr>
      <w:r>
        <w:t xml:space="preserve">Annual reports contain information about actual expenditure on contracts for consultancies. Information on the value of contracts and consultancies is available on the </w:t>
      </w:r>
      <w:proofErr w:type="spellStart"/>
      <w:r>
        <w:t>AusTender</w:t>
      </w:r>
      <w:proofErr w:type="spellEnd"/>
      <w:r>
        <w:t xml:space="preserve"> website at www.tenders.gov.au or from the OPC Documents menu on </w:t>
      </w:r>
      <w:proofErr w:type="spellStart"/>
      <w:r>
        <w:t>OPC’s</w:t>
      </w:r>
      <w:proofErr w:type="spellEnd"/>
      <w:r>
        <w:t xml:space="preserve"> website at www.opc.gov.au.</w:t>
      </w:r>
    </w:p>
    <w:p w:rsidR="007E5114" w:rsidRPr="00DD4DD8" w:rsidRDefault="007E5114" w:rsidP="007E5114">
      <w:pPr>
        <w:rPr>
          <w:sz w:val="16"/>
          <w:szCs w:val="16"/>
        </w:rPr>
      </w:pPr>
    </w:p>
    <w:p w:rsidR="00CB554F" w:rsidRDefault="00CB554F">
      <w:pPr>
        <w:sectPr w:rsidR="00CB554F">
          <w:headerReference w:type="even" r:id="rId89"/>
          <w:headerReference w:type="default" r:id="rId90"/>
          <w:footerReference w:type="even" r:id="rId91"/>
          <w:footerReference w:type="default" r:id="rId92"/>
          <w:type w:val="continuous"/>
          <w:pgSz w:w="11907" w:h="16839" w:code="9"/>
          <w:pgMar w:top="1134" w:right="2410" w:bottom="4253" w:left="2410" w:header="510" w:footer="3402" w:gutter="0"/>
          <w:cols w:num="2" w:space="709"/>
          <w:docGrid w:linePitch="326"/>
        </w:sectPr>
      </w:pPr>
    </w:p>
    <w:p w:rsidR="00F358F9" w:rsidRDefault="00F358F9" w:rsidP="00F358F9">
      <w:pPr>
        <w:pStyle w:val="Head2"/>
        <w:sectPr w:rsidR="00F358F9">
          <w:headerReference w:type="default" r:id="rId93"/>
          <w:footerReference w:type="default" r:id="rId94"/>
          <w:pgSz w:w="11907" w:h="16839" w:code="9"/>
          <w:pgMar w:top="1134" w:right="2410" w:bottom="4253" w:left="2410" w:header="510" w:footer="3402" w:gutter="0"/>
          <w:cols w:space="709"/>
          <w:docGrid w:linePitch="326"/>
        </w:sectPr>
      </w:pPr>
      <w:bookmarkStart w:id="114" w:name="_Toc492656485"/>
      <w:r>
        <w:lastRenderedPageBreak/>
        <w:t>Chapter 6—Miscellaneous</w:t>
      </w:r>
      <w:bookmarkEnd w:id="114"/>
    </w:p>
    <w:p w:rsidR="00F358F9" w:rsidRDefault="00F358F9" w:rsidP="00F358F9">
      <w:pPr>
        <w:pStyle w:val="Head3"/>
      </w:pPr>
      <w:bookmarkStart w:id="115" w:name="_Toc492656486"/>
      <w:r>
        <w:lastRenderedPageBreak/>
        <w:t>Freedom of information</w:t>
      </w:r>
      <w:bookmarkEnd w:id="115"/>
    </w:p>
    <w:p w:rsidR="00F358F9" w:rsidRPr="00AD12AA" w:rsidRDefault="00F358F9" w:rsidP="00F358F9">
      <w:pPr>
        <w:pStyle w:val="BodyNum"/>
      </w:pPr>
      <w:bookmarkStart w:id="116" w:name="_Ref113169149"/>
      <w:r w:rsidRPr="00AD12AA">
        <w:t xml:space="preserve">Agencies subject to the </w:t>
      </w:r>
      <w:r w:rsidRPr="000E5B22">
        <w:rPr>
          <w:i/>
        </w:rPr>
        <w:t>Freedom of Information Act 1982</w:t>
      </w:r>
      <w:r w:rsidRPr="00AD12AA">
        <w:t xml:space="preserve"> (</w:t>
      </w:r>
      <w:r w:rsidRPr="00EC0372">
        <w:rPr>
          <w:b/>
          <w:i/>
        </w:rPr>
        <w:t>FOI Act</w:t>
      </w:r>
      <w:r w:rsidRPr="00AD12AA">
        <w:t>) are required to publish information to the public as part of the Information Publication Scheme (</w:t>
      </w:r>
      <w:r w:rsidRPr="00EC0372">
        <w:rPr>
          <w:b/>
          <w:i/>
        </w:rPr>
        <w:t>IPS</w:t>
      </w:r>
      <w:r>
        <w:t xml:space="preserve">). </w:t>
      </w:r>
      <w:r w:rsidRPr="00AD12AA">
        <w:t xml:space="preserve">This requirement is in Part II of the </w:t>
      </w:r>
      <w:r>
        <w:t xml:space="preserve">FOI </w:t>
      </w:r>
      <w:r w:rsidRPr="00AD12AA">
        <w:t>Act and has replaced the former requirement to publish a section 8 statement in an annual report. Each agency must display on its website a plan showing what information it publishes in accordance with the IPS requirements.</w:t>
      </w:r>
    </w:p>
    <w:p w:rsidR="00F358F9" w:rsidRDefault="00F358F9" w:rsidP="00F358F9">
      <w:pPr>
        <w:pStyle w:val="Head3"/>
      </w:pPr>
      <w:bookmarkStart w:id="117" w:name="_Toc492656487"/>
      <w:bookmarkEnd w:id="116"/>
      <w:r>
        <w:t>Advertising and market research etc.</w:t>
      </w:r>
      <w:bookmarkEnd w:id="117"/>
    </w:p>
    <w:p w:rsidR="00F358F9" w:rsidRPr="00AD12AA" w:rsidRDefault="00F358F9" w:rsidP="00F358F9">
      <w:pPr>
        <w:pStyle w:val="BodyNum"/>
      </w:pPr>
      <w:bookmarkStart w:id="118" w:name="_Ref113168612"/>
      <w:r w:rsidRPr="00AD12AA">
        <w:t xml:space="preserve">The following information is required to be given by section 311A of the </w:t>
      </w:r>
      <w:r w:rsidRPr="000E5B22">
        <w:rPr>
          <w:i/>
        </w:rPr>
        <w:t>Commonwealth Electoral Act 1918</w:t>
      </w:r>
      <w:r w:rsidRPr="00AD12AA">
        <w:t>.</w:t>
      </w:r>
      <w:bookmarkEnd w:id="118"/>
    </w:p>
    <w:p w:rsidR="00F358F9" w:rsidRDefault="00F358F9" w:rsidP="00F358F9">
      <w:pPr>
        <w:pStyle w:val="BodyNum"/>
      </w:pPr>
      <w:bookmarkStart w:id="119" w:name="_Ref113167172"/>
      <w:r>
        <w:t>During 201</w:t>
      </w:r>
      <w:r w:rsidR="005E7C9A">
        <w:t>6</w:t>
      </w:r>
      <w:r>
        <w:t>-201</w:t>
      </w:r>
      <w:r w:rsidR="005E7C9A">
        <w:t>7</w:t>
      </w:r>
      <w:r>
        <w:t xml:space="preserve">, </w:t>
      </w:r>
      <w:r w:rsidR="007830DC">
        <w:t>vacant positio</w:t>
      </w:r>
      <w:r w:rsidR="00D77BA9">
        <w:t>ns in OPC were advertised on recruitment sites</w:t>
      </w:r>
      <w:r w:rsidR="003F7CDE">
        <w:t xml:space="preserve"> through</w:t>
      </w:r>
      <w:r w:rsidR="00D77BA9">
        <w:t xml:space="preserve"> </w:t>
      </w:r>
      <w:r w:rsidR="003F7CDE">
        <w:t xml:space="preserve">the government master advertising agency, </w:t>
      </w:r>
      <w:proofErr w:type="spellStart"/>
      <w:r w:rsidR="00E8465A">
        <w:t>Dentsu</w:t>
      </w:r>
      <w:proofErr w:type="spellEnd"/>
      <w:r w:rsidR="00E8465A">
        <w:t xml:space="preserve"> </w:t>
      </w:r>
      <w:r w:rsidR="003F7CDE">
        <w:t>Mitchell</w:t>
      </w:r>
      <w:r w:rsidR="00D77BA9">
        <w:t>. N</w:t>
      </w:r>
      <w:r w:rsidRPr="00AD12AA">
        <w:t xml:space="preserve">o money was paid by, or on behalf of, OPC to </w:t>
      </w:r>
      <w:r w:rsidR="00D77BA9">
        <w:t>any other advertising agency</w:t>
      </w:r>
      <w:r w:rsidR="004D7BCC">
        <w:t>,</w:t>
      </w:r>
      <w:r w:rsidRPr="00AD12AA">
        <w:t xml:space="preserve"> </w:t>
      </w:r>
      <w:r w:rsidRPr="00AD12AA">
        <w:lastRenderedPageBreak/>
        <w:t>market research organisation, polling organisation, direct mail organisation or media advertising organisation.</w:t>
      </w:r>
    </w:p>
    <w:p w:rsidR="00F358F9" w:rsidRDefault="00F358F9" w:rsidP="00F358F9">
      <w:pPr>
        <w:pStyle w:val="Head3"/>
      </w:pPr>
      <w:bookmarkStart w:id="120" w:name="_Toc492656488"/>
      <w:bookmarkEnd w:id="119"/>
      <w:r>
        <w:t>Ecologically sustainable development and environmental performance</w:t>
      </w:r>
      <w:bookmarkEnd w:id="120"/>
    </w:p>
    <w:p w:rsidR="00F358F9" w:rsidRDefault="00F358F9" w:rsidP="00F358F9">
      <w:pPr>
        <w:pStyle w:val="BodyNum"/>
      </w:pPr>
      <w:bookmarkStart w:id="121" w:name="_Ref113168763"/>
      <w:r>
        <w:t xml:space="preserve">Reporting required by section 516A of the </w:t>
      </w:r>
      <w:r>
        <w:rPr>
          <w:i/>
        </w:rPr>
        <w:t>Environment Protection and Biodiversity Conservation Act 1999</w:t>
      </w:r>
      <w:r>
        <w:t xml:space="preserve"> is set out in Appendix C.</w:t>
      </w:r>
      <w:bookmarkEnd w:id="121"/>
    </w:p>
    <w:p w:rsidR="00F358F9" w:rsidRDefault="00F358F9" w:rsidP="00F358F9">
      <w:pPr>
        <w:pStyle w:val="Head3"/>
      </w:pPr>
      <w:bookmarkStart w:id="122" w:name="_Toc492656489"/>
      <w:r>
        <w:t>Additional information</w:t>
      </w:r>
      <w:bookmarkEnd w:id="122"/>
    </w:p>
    <w:p w:rsidR="00F358F9" w:rsidRPr="00AD12AA" w:rsidRDefault="00F358F9" w:rsidP="00F358F9">
      <w:pPr>
        <w:pStyle w:val="BodyNum"/>
      </w:pPr>
      <w:bookmarkStart w:id="123" w:name="_Ref113168722"/>
      <w:r w:rsidRPr="00AD12AA">
        <w:t xml:space="preserve">The contact officer for additional information about OPC is the General Manager, Ms Susan </w:t>
      </w:r>
      <w:r w:rsidR="00591D8E">
        <w:t>Roberts</w:t>
      </w:r>
      <w:r w:rsidRPr="00AD12AA">
        <w:t>, who can be contacted by telephone on (02) 6</w:t>
      </w:r>
      <w:r w:rsidR="00591D8E">
        <w:t>12</w:t>
      </w:r>
      <w:r w:rsidRPr="00AD12AA">
        <w:t>0 1486, by fax on (02) 6</w:t>
      </w:r>
      <w:r w:rsidR="00591D8E">
        <w:t>12</w:t>
      </w:r>
      <w:r w:rsidRPr="00AD12AA">
        <w:t>0 1403 and by email at admin@opc.gov.au.</w:t>
      </w:r>
      <w:bookmarkEnd w:id="123"/>
    </w:p>
    <w:p w:rsidR="00AD12AA" w:rsidRPr="00AD12AA" w:rsidRDefault="00F358F9" w:rsidP="00F358F9">
      <w:pPr>
        <w:pStyle w:val="BodyNum"/>
      </w:pPr>
      <w:bookmarkStart w:id="124" w:name="_Ref113264713"/>
      <w:proofErr w:type="spellStart"/>
      <w:r w:rsidRPr="00AD12AA">
        <w:t>OP</w:t>
      </w:r>
      <w:bookmarkStart w:id="125" w:name="opcCurrentLocation"/>
      <w:bookmarkEnd w:id="125"/>
      <w:r w:rsidRPr="00AD12AA">
        <w:t>C</w:t>
      </w:r>
      <w:r>
        <w:t>’</w:t>
      </w:r>
      <w:r w:rsidRPr="00AD12AA">
        <w:t>s</w:t>
      </w:r>
      <w:proofErr w:type="spellEnd"/>
      <w:r w:rsidRPr="00AD12AA">
        <w:t xml:space="preserve"> website address is www.opc.gov.au. This report is available on that site at www.opc.gov.au/about/documents.htm.</w:t>
      </w:r>
      <w:bookmarkEnd w:id="124"/>
    </w:p>
    <w:p w:rsidR="00CB554F" w:rsidRDefault="00CB554F" w:rsidP="00A80292">
      <w:pPr>
        <w:pStyle w:val="BodyNum"/>
        <w:sectPr w:rsidR="00CB554F">
          <w:headerReference w:type="even" r:id="rId95"/>
          <w:headerReference w:type="default" r:id="rId96"/>
          <w:footerReference w:type="even" r:id="rId97"/>
          <w:footerReference w:type="default" r:id="rId98"/>
          <w:type w:val="continuous"/>
          <w:pgSz w:w="11907" w:h="16839" w:code="9"/>
          <w:pgMar w:top="1134" w:right="2410" w:bottom="4253" w:left="2410" w:header="510" w:footer="3402" w:gutter="0"/>
          <w:cols w:num="2" w:space="709"/>
          <w:docGrid w:linePitch="326"/>
        </w:sectPr>
      </w:pPr>
    </w:p>
    <w:p w:rsidR="00CB554F" w:rsidRDefault="00CB554F">
      <w:pPr>
        <w:pStyle w:val="Head2"/>
        <w:sectPr w:rsidR="00CB554F">
          <w:type w:val="continuous"/>
          <w:pgSz w:w="11907" w:h="16839" w:code="9"/>
          <w:pgMar w:top="1134" w:right="2410" w:bottom="4253" w:left="2410" w:header="510" w:footer="3402" w:gutter="0"/>
          <w:cols w:num="2" w:space="709"/>
          <w:docGrid w:linePitch="326"/>
        </w:sectPr>
      </w:pPr>
    </w:p>
    <w:p w:rsidR="00CB554F" w:rsidRDefault="00CB554F">
      <w:pPr>
        <w:pStyle w:val="Head2"/>
      </w:pPr>
      <w:bookmarkStart w:id="126" w:name="_Toc492656490"/>
      <w:r>
        <w:lastRenderedPageBreak/>
        <w:t>Appendix A—</w:t>
      </w:r>
      <w:r w:rsidR="00DB5203">
        <w:t>Entity</w:t>
      </w:r>
      <w:r w:rsidR="00950334">
        <w:t xml:space="preserve"> </w:t>
      </w:r>
      <w:r>
        <w:t xml:space="preserve">resource </w:t>
      </w:r>
      <w:r w:rsidR="00950334">
        <w:t xml:space="preserve">statement and </w:t>
      </w:r>
      <w:r w:rsidR="00167D7B">
        <w:t xml:space="preserve">Expenses </w:t>
      </w:r>
      <w:r w:rsidR="00A23768">
        <w:t>by</w:t>
      </w:r>
      <w:r w:rsidR="00950334">
        <w:t xml:space="preserve"> </w:t>
      </w:r>
      <w:r>
        <w:t>outcome</w:t>
      </w:r>
      <w:bookmarkEnd w:id="126"/>
    </w:p>
    <w:p w:rsidR="00364A43" w:rsidRDefault="00C66759" w:rsidP="00364A43">
      <w:pPr>
        <w:pStyle w:val="Head4"/>
        <w:spacing w:after="0"/>
      </w:pPr>
      <w:r>
        <w:t>Entity</w:t>
      </w:r>
      <w:r w:rsidR="006B2223">
        <w:t xml:space="preserve"> resource statement</w:t>
      </w:r>
    </w:p>
    <w:tbl>
      <w:tblPr>
        <w:tblW w:w="7245" w:type="dxa"/>
        <w:tblInd w:w="93" w:type="dxa"/>
        <w:tblLook w:val="04A0" w:firstRow="1" w:lastRow="0" w:firstColumn="1" w:lastColumn="0" w:noHBand="0" w:noVBand="1"/>
      </w:tblPr>
      <w:tblGrid>
        <w:gridCol w:w="3134"/>
        <w:gridCol w:w="1417"/>
        <w:gridCol w:w="1276"/>
        <w:gridCol w:w="1418"/>
      </w:tblGrid>
      <w:tr w:rsidR="00B40940" w:rsidRPr="00364A43" w:rsidTr="008610A0">
        <w:trPr>
          <w:trHeight w:val="1275"/>
        </w:trPr>
        <w:tc>
          <w:tcPr>
            <w:tcW w:w="3134" w:type="dxa"/>
            <w:tcBorders>
              <w:top w:val="single" w:sz="12" w:space="0" w:color="auto"/>
              <w:left w:val="nil"/>
              <w:bottom w:val="nil"/>
              <w:right w:val="nil"/>
            </w:tcBorders>
            <w:shd w:val="clear" w:color="auto" w:fill="auto"/>
            <w:noWrap/>
            <w:vAlign w:val="bottom"/>
            <w:hideMark/>
          </w:tcPr>
          <w:p w:rsidR="00B40940" w:rsidRPr="00364A43" w:rsidRDefault="00B40940" w:rsidP="00364A43">
            <w:pPr>
              <w:pStyle w:val="TableBodyText"/>
              <w:rPr>
                <w:rFonts w:ascii="Arial" w:hAnsi="Arial" w:cs="Arial"/>
                <w:color w:val="0000FF"/>
                <w:sz w:val="18"/>
                <w:szCs w:val="18"/>
              </w:rPr>
            </w:pPr>
            <w:r w:rsidRPr="00364A43">
              <w:rPr>
                <w:rFonts w:ascii="Arial" w:hAnsi="Arial" w:cs="Arial"/>
                <w:color w:val="0000FF"/>
                <w:sz w:val="18"/>
                <w:szCs w:val="18"/>
              </w:rPr>
              <w:t> </w:t>
            </w:r>
          </w:p>
        </w:tc>
        <w:tc>
          <w:tcPr>
            <w:tcW w:w="1417" w:type="dxa"/>
            <w:tcBorders>
              <w:top w:val="single" w:sz="12" w:space="0" w:color="auto"/>
              <w:left w:val="nil"/>
              <w:bottom w:val="single" w:sz="4" w:space="0" w:color="auto"/>
              <w:right w:val="nil"/>
            </w:tcBorders>
            <w:shd w:val="clear" w:color="auto" w:fill="auto"/>
            <w:vAlign w:val="bottom"/>
            <w:hideMark/>
          </w:tcPr>
          <w:p w:rsidR="00B40940" w:rsidRPr="00364A43" w:rsidRDefault="00B40940" w:rsidP="00441C41">
            <w:pPr>
              <w:pStyle w:val="TableBodyText"/>
              <w:jc w:val="right"/>
              <w:rPr>
                <w:rFonts w:ascii="Arial" w:hAnsi="Arial" w:cs="Arial"/>
                <w:b/>
                <w:color w:val="0000FF"/>
                <w:sz w:val="18"/>
                <w:szCs w:val="18"/>
              </w:rPr>
            </w:pPr>
            <w:r w:rsidRPr="00364A43">
              <w:rPr>
                <w:rFonts w:ascii="Arial" w:hAnsi="Arial" w:cs="Arial"/>
                <w:b/>
                <w:color w:val="0000FF"/>
                <w:sz w:val="18"/>
                <w:szCs w:val="18"/>
              </w:rPr>
              <w:t xml:space="preserve">Actual </w:t>
            </w:r>
            <w:r w:rsidR="006B2223">
              <w:rPr>
                <w:rFonts w:ascii="Arial" w:hAnsi="Arial" w:cs="Arial"/>
                <w:b/>
                <w:color w:val="0000FF"/>
                <w:sz w:val="18"/>
                <w:szCs w:val="18"/>
              </w:rPr>
              <w:t>a</w:t>
            </w:r>
            <w:r w:rsidRPr="00364A43">
              <w:rPr>
                <w:rFonts w:ascii="Arial" w:hAnsi="Arial" w:cs="Arial"/>
                <w:b/>
                <w:color w:val="0000FF"/>
                <w:sz w:val="18"/>
                <w:szCs w:val="18"/>
              </w:rPr>
              <w:t xml:space="preserve">vailable </w:t>
            </w:r>
            <w:r w:rsidR="006B2223">
              <w:rPr>
                <w:rFonts w:ascii="Arial" w:hAnsi="Arial" w:cs="Arial"/>
                <w:b/>
                <w:color w:val="0000FF"/>
                <w:sz w:val="18"/>
                <w:szCs w:val="18"/>
              </w:rPr>
              <w:t>a</w:t>
            </w:r>
            <w:r w:rsidRPr="00364A43">
              <w:rPr>
                <w:rFonts w:ascii="Arial" w:hAnsi="Arial" w:cs="Arial"/>
                <w:b/>
                <w:color w:val="0000FF"/>
                <w:sz w:val="18"/>
                <w:szCs w:val="18"/>
              </w:rPr>
              <w:t>ppropriation for 20</w:t>
            </w:r>
            <w:r>
              <w:rPr>
                <w:rFonts w:ascii="Arial" w:hAnsi="Arial" w:cs="Arial"/>
                <w:b/>
                <w:color w:val="0000FF"/>
                <w:sz w:val="18"/>
                <w:szCs w:val="18"/>
              </w:rPr>
              <w:t>1</w:t>
            </w:r>
            <w:r w:rsidR="0038537B">
              <w:rPr>
                <w:rFonts w:ascii="Arial" w:hAnsi="Arial" w:cs="Arial"/>
                <w:b/>
                <w:color w:val="0000FF"/>
                <w:sz w:val="18"/>
                <w:szCs w:val="18"/>
              </w:rPr>
              <w:t>6</w:t>
            </w:r>
            <w:r w:rsidRPr="00364A43">
              <w:rPr>
                <w:rFonts w:ascii="Arial" w:hAnsi="Arial" w:cs="Arial"/>
                <w:b/>
                <w:color w:val="0000FF"/>
                <w:sz w:val="18"/>
                <w:szCs w:val="18"/>
              </w:rPr>
              <w:t>-</w:t>
            </w:r>
            <w:r>
              <w:rPr>
                <w:rFonts w:ascii="Arial" w:hAnsi="Arial" w:cs="Arial"/>
                <w:b/>
                <w:color w:val="0000FF"/>
                <w:sz w:val="18"/>
                <w:szCs w:val="18"/>
              </w:rPr>
              <w:t>1</w:t>
            </w:r>
            <w:r w:rsidR="0038537B">
              <w:rPr>
                <w:rFonts w:ascii="Arial" w:hAnsi="Arial" w:cs="Arial"/>
                <w:b/>
                <w:color w:val="0000FF"/>
                <w:sz w:val="18"/>
                <w:szCs w:val="18"/>
              </w:rPr>
              <w:t>7</w:t>
            </w:r>
            <w:r w:rsidRPr="00364A43">
              <w:rPr>
                <w:rFonts w:ascii="Arial" w:hAnsi="Arial" w:cs="Arial"/>
                <w:b/>
                <w:color w:val="0000FF"/>
                <w:sz w:val="18"/>
                <w:szCs w:val="18"/>
              </w:rPr>
              <w:br/>
            </w:r>
            <w:r w:rsidRPr="00151EAE">
              <w:rPr>
                <w:rFonts w:ascii="Arial" w:hAnsi="Arial" w:cs="Arial"/>
                <w:b/>
                <w:color w:val="0000FF"/>
                <w:sz w:val="18"/>
                <w:szCs w:val="18"/>
              </w:rPr>
              <w:t>$’000</w:t>
            </w:r>
          </w:p>
        </w:tc>
        <w:tc>
          <w:tcPr>
            <w:tcW w:w="1276" w:type="dxa"/>
            <w:tcBorders>
              <w:top w:val="single" w:sz="12" w:space="0" w:color="auto"/>
              <w:left w:val="nil"/>
              <w:bottom w:val="single" w:sz="4" w:space="0" w:color="auto"/>
              <w:right w:val="nil"/>
            </w:tcBorders>
            <w:shd w:val="clear" w:color="auto" w:fill="auto"/>
            <w:vAlign w:val="bottom"/>
            <w:hideMark/>
          </w:tcPr>
          <w:p w:rsidR="00B40940" w:rsidRPr="00364A43" w:rsidRDefault="00B40940" w:rsidP="0038537B">
            <w:pPr>
              <w:pStyle w:val="TableBodyText"/>
              <w:jc w:val="right"/>
              <w:rPr>
                <w:rFonts w:ascii="Arial" w:hAnsi="Arial" w:cs="Arial"/>
                <w:b/>
                <w:color w:val="0000FF"/>
                <w:sz w:val="18"/>
                <w:szCs w:val="18"/>
              </w:rPr>
            </w:pPr>
            <w:r>
              <w:rPr>
                <w:rFonts w:ascii="Arial" w:hAnsi="Arial" w:cs="Arial"/>
                <w:b/>
                <w:color w:val="0000FF"/>
                <w:sz w:val="18"/>
                <w:szCs w:val="18"/>
              </w:rPr>
              <w:t>Payments</w:t>
            </w:r>
            <w:r>
              <w:rPr>
                <w:rFonts w:ascii="Arial" w:hAnsi="Arial" w:cs="Arial"/>
                <w:b/>
                <w:color w:val="0000FF"/>
                <w:sz w:val="18"/>
                <w:szCs w:val="18"/>
              </w:rPr>
              <w:br/>
            </w:r>
            <w:r w:rsidR="006B2223">
              <w:rPr>
                <w:rFonts w:ascii="Arial" w:hAnsi="Arial" w:cs="Arial"/>
                <w:b/>
                <w:color w:val="0000FF"/>
                <w:sz w:val="18"/>
                <w:szCs w:val="18"/>
              </w:rPr>
              <w:t>m</w:t>
            </w:r>
            <w:r>
              <w:rPr>
                <w:rFonts w:ascii="Arial" w:hAnsi="Arial" w:cs="Arial"/>
                <w:b/>
                <w:color w:val="0000FF"/>
                <w:sz w:val="18"/>
                <w:szCs w:val="18"/>
              </w:rPr>
              <w:t>ade</w:t>
            </w:r>
            <w:r>
              <w:rPr>
                <w:rFonts w:ascii="Arial" w:hAnsi="Arial" w:cs="Arial"/>
                <w:b/>
                <w:color w:val="0000FF"/>
                <w:sz w:val="18"/>
                <w:szCs w:val="18"/>
              </w:rPr>
              <w:br/>
              <w:t>201</w:t>
            </w:r>
            <w:r w:rsidR="0038537B">
              <w:rPr>
                <w:rFonts w:ascii="Arial" w:hAnsi="Arial" w:cs="Arial"/>
                <w:b/>
                <w:color w:val="0000FF"/>
                <w:sz w:val="18"/>
                <w:szCs w:val="18"/>
              </w:rPr>
              <w:t>6</w:t>
            </w:r>
            <w:r w:rsidRPr="00364A43">
              <w:rPr>
                <w:rFonts w:ascii="Arial" w:hAnsi="Arial" w:cs="Arial"/>
                <w:b/>
                <w:color w:val="0000FF"/>
                <w:sz w:val="18"/>
                <w:szCs w:val="18"/>
              </w:rPr>
              <w:t>-</w:t>
            </w:r>
            <w:r>
              <w:rPr>
                <w:rFonts w:ascii="Arial" w:hAnsi="Arial" w:cs="Arial"/>
                <w:b/>
                <w:color w:val="0000FF"/>
                <w:sz w:val="18"/>
                <w:szCs w:val="18"/>
              </w:rPr>
              <w:t>1</w:t>
            </w:r>
            <w:r w:rsidR="0038537B">
              <w:rPr>
                <w:rFonts w:ascii="Arial" w:hAnsi="Arial" w:cs="Arial"/>
                <w:b/>
                <w:color w:val="0000FF"/>
                <w:sz w:val="18"/>
                <w:szCs w:val="18"/>
              </w:rPr>
              <w:t>7</w:t>
            </w:r>
            <w:r w:rsidRPr="00364A43">
              <w:rPr>
                <w:rFonts w:ascii="Arial" w:hAnsi="Arial" w:cs="Arial"/>
                <w:b/>
                <w:color w:val="0000FF"/>
                <w:sz w:val="18"/>
                <w:szCs w:val="18"/>
              </w:rPr>
              <w:br/>
            </w:r>
            <w:r w:rsidRPr="00151EAE">
              <w:rPr>
                <w:rFonts w:ascii="Arial" w:hAnsi="Arial" w:cs="Arial"/>
                <w:b/>
                <w:color w:val="0000FF"/>
                <w:sz w:val="18"/>
                <w:szCs w:val="18"/>
              </w:rPr>
              <w:t>$’000</w:t>
            </w:r>
          </w:p>
        </w:tc>
        <w:tc>
          <w:tcPr>
            <w:tcW w:w="1418" w:type="dxa"/>
            <w:tcBorders>
              <w:top w:val="single" w:sz="12" w:space="0" w:color="auto"/>
              <w:left w:val="nil"/>
              <w:bottom w:val="single" w:sz="4" w:space="0" w:color="auto"/>
              <w:right w:val="nil"/>
            </w:tcBorders>
            <w:shd w:val="clear" w:color="auto" w:fill="auto"/>
            <w:vAlign w:val="bottom"/>
            <w:hideMark/>
          </w:tcPr>
          <w:p w:rsidR="00B40940" w:rsidRPr="00364A43" w:rsidRDefault="006B2223" w:rsidP="0038537B">
            <w:pPr>
              <w:pStyle w:val="TableBodyText"/>
              <w:jc w:val="right"/>
              <w:rPr>
                <w:rFonts w:ascii="Arial" w:hAnsi="Arial" w:cs="Arial"/>
                <w:b/>
                <w:color w:val="0000FF"/>
                <w:sz w:val="18"/>
                <w:szCs w:val="18"/>
              </w:rPr>
            </w:pPr>
            <w:r>
              <w:rPr>
                <w:rFonts w:ascii="Arial" w:hAnsi="Arial" w:cs="Arial"/>
                <w:b/>
                <w:color w:val="0000FF"/>
                <w:sz w:val="18"/>
                <w:szCs w:val="18"/>
              </w:rPr>
              <w:t>Balance r</w:t>
            </w:r>
            <w:r w:rsidR="00B40940" w:rsidRPr="00364A43">
              <w:rPr>
                <w:rFonts w:ascii="Arial" w:hAnsi="Arial" w:cs="Arial"/>
                <w:b/>
                <w:color w:val="0000FF"/>
                <w:sz w:val="18"/>
                <w:szCs w:val="18"/>
              </w:rPr>
              <w:t>emaining</w:t>
            </w:r>
            <w:r w:rsidR="00151EAE">
              <w:rPr>
                <w:rFonts w:ascii="Arial" w:hAnsi="Arial" w:cs="Arial"/>
                <w:b/>
                <w:color w:val="0000FF"/>
                <w:sz w:val="18"/>
                <w:szCs w:val="18"/>
              </w:rPr>
              <w:t xml:space="preserve"> 201</w:t>
            </w:r>
            <w:r w:rsidR="0038537B">
              <w:rPr>
                <w:rFonts w:ascii="Arial" w:hAnsi="Arial" w:cs="Arial"/>
                <w:b/>
                <w:color w:val="0000FF"/>
                <w:sz w:val="18"/>
                <w:szCs w:val="18"/>
              </w:rPr>
              <w:t>6</w:t>
            </w:r>
            <w:r w:rsidR="00151EAE">
              <w:rPr>
                <w:rFonts w:ascii="Arial" w:hAnsi="Arial" w:cs="Arial"/>
                <w:b/>
                <w:color w:val="0000FF"/>
                <w:sz w:val="18"/>
                <w:szCs w:val="18"/>
              </w:rPr>
              <w:t>-1</w:t>
            </w:r>
            <w:r w:rsidR="0038537B">
              <w:rPr>
                <w:rFonts w:ascii="Arial" w:hAnsi="Arial" w:cs="Arial"/>
                <w:b/>
                <w:color w:val="0000FF"/>
                <w:sz w:val="18"/>
                <w:szCs w:val="18"/>
              </w:rPr>
              <w:t>7</w:t>
            </w:r>
            <w:r w:rsidR="00C66759">
              <w:rPr>
                <w:rFonts w:ascii="Arial" w:hAnsi="Arial" w:cs="Arial"/>
                <w:b/>
                <w:color w:val="0000FF"/>
                <w:sz w:val="18"/>
                <w:szCs w:val="18"/>
                <w:vertAlign w:val="superscript"/>
              </w:rPr>
              <w:t>2</w:t>
            </w:r>
            <w:r w:rsidR="00B40940">
              <w:rPr>
                <w:rFonts w:ascii="Arial" w:hAnsi="Arial" w:cs="Arial"/>
                <w:b/>
                <w:color w:val="0000FF"/>
                <w:sz w:val="18"/>
                <w:szCs w:val="18"/>
              </w:rPr>
              <w:br/>
            </w:r>
            <w:r w:rsidR="00B40940" w:rsidRPr="00151EAE">
              <w:rPr>
                <w:rFonts w:ascii="Arial" w:hAnsi="Arial" w:cs="Arial"/>
                <w:b/>
                <w:color w:val="0000FF"/>
                <w:sz w:val="18"/>
                <w:szCs w:val="18"/>
              </w:rPr>
              <w:t>$’000</w:t>
            </w:r>
          </w:p>
        </w:tc>
      </w:tr>
      <w:tr w:rsidR="00364A43" w:rsidRPr="00364A43" w:rsidTr="00364A43">
        <w:trPr>
          <w:trHeight w:val="300"/>
        </w:trPr>
        <w:tc>
          <w:tcPr>
            <w:tcW w:w="3134" w:type="dxa"/>
            <w:tcBorders>
              <w:top w:val="nil"/>
              <w:left w:val="nil"/>
              <w:bottom w:val="nil"/>
              <w:right w:val="nil"/>
            </w:tcBorders>
            <w:shd w:val="clear" w:color="auto" w:fill="auto"/>
            <w:noWrap/>
            <w:vAlign w:val="bottom"/>
            <w:hideMark/>
          </w:tcPr>
          <w:p w:rsidR="00364A43" w:rsidRPr="00364A43" w:rsidRDefault="00364A43" w:rsidP="00364A43">
            <w:pPr>
              <w:pStyle w:val="TableBodyText"/>
              <w:rPr>
                <w:rFonts w:ascii="Arial" w:hAnsi="Arial" w:cs="Arial"/>
                <w:b/>
                <w:color w:val="0000FF"/>
                <w:sz w:val="18"/>
                <w:szCs w:val="18"/>
              </w:rPr>
            </w:pPr>
            <w:r w:rsidRPr="00364A43">
              <w:rPr>
                <w:rFonts w:ascii="Arial" w:hAnsi="Arial" w:cs="Arial"/>
                <w:b/>
                <w:color w:val="0000FF"/>
                <w:sz w:val="18"/>
                <w:szCs w:val="18"/>
              </w:rPr>
              <w:t>ORDINARY ANNUAL SERVICES</w:t>
            </w:r>
          </w:p>
        </w:tc>
        <w:tc>
          <w:tcPr>
            <w:tcW w:w="1417" w:type="dxa"/>
            <w:tcBorders>
              <w:top w:val="nil"/>
              <w:left w:val="nil"/>
              <w:bottom w:val="nil"/>
              <w:right w:val="nil"/>
            </w:tcBorders>
            <w:shd w:val="clear" w:color="auto" w:fill="auto"/>
            <w:noWrap/>
            <w:vAlign w:val="center"/>
            <w:hideMark/>
          </w:tcPr>
          <w:p w:rsidR="00364A43" w:rsidRPr="00364A43" w:rsidRDefault="00364A43" w:rsidP="00364A43">
            <w:pPr>
              <w:pStyle w:val="TableBodyText"/>
              <w:jc w:val="right"/>
              <w:rPr>
                <w:rFonts w:ascii="Arial" w:hAnsi="Arial" w:cs="Arial"/>
                <w:color w:val="0000FF"/>
                <w:sz w:val="18"/>
                <w:szCs w:val="18"/>
              </w:rPr>
            </w:pPr>
          </w:p>
        </w:tc>
        <w:tc>
          <w:tcPr>
            <w:tcW w:w="1276" w:type="dxa"/>
            <w:tcBorders>
              <w:top w:val="nil"/>
              <w:left w:val="nil"/>
              <w:bottom w:val="nil"/>
              <w:right w:val="nil"/>
            </w:tcBorders>
            <w:shd w:val="clear" w:color="auto" w:fill="auto"/>
            <w:noWrap/>
            <w:vAlign w:val="center"/>
            <w:hideMark/>
          </w:tcPr>
          <w:p w:rsidR="00364A43" w:rsidRPr="00364A43" w:rsidRDefault="00364A43" w:rsidP="00364A43">
            <w:pPr>
              <w:pStyle w:val="TableBodyText"/>
              <w:jc w:val="right"/>
              <w:rPr>
                <w:rFonts w:ascii="Arial" w:hAnsi="Arial" w:cs="Arial"/>
                <w:color w:val="0000FF"/>
                <w:sz w:val="18"/>
                <w:szCs w:val="18"/>
              </w:rPr>
            </w:pPr>
          </w:p>
        </w:tc>
        <w:tc>
          <w:tcPr>
            <w:tcW w:w="1418" w:type="dxa"/>
            <w:tcBorders>
              <w:top w:val="nil"/>
              <w:left w:val="nil"/>
              <w:bottom w:val="nil"/>
              <w:right w:val="nil"/>
            </w:tcBorders>
            <w:shd w:val="clear" w:color="auto" w:fill="auto"/>
            <w:noWrap/>
            <w:vAlign w:val="center"/>
            <w:hideMark/>
          </w:tcPr>
          <w:p w:rsidR="00364A43" w:rsidRPr="00364A43" w:rsidRDefault="00364A43" w:rsidP="00364A43">
            <w:pPr>
              <w:pStyle w:val="TableBodyText"/>
              <w:jc w:val="right"/>
              <w:rPr>
                <w:rFonts w:ascii="Arial" w:hAnsi="Arial" w:cs="Arial"/>
                <w:color w:val="0000FF"/>
                <w:sz w:val="18"/>
                <w:szCs w:val="18"/>
              </w:rPr>
            </w:pPr>
          </w:p>
        </w:tc>
      </w:tr>
      <w:tr w:rsidR="00364A43" w:rsidRPr="00364A43" w:rsidTr="00364A43">
        <w:trPr>
          <w:trHeight w:val="300"/>
        </w:trPr>
        <w:tc>
          <w:tcPr>
            <w:tcW w:w="3134" w:type="dxa"/>
            <w:tcBorders>
              <w:top w:val="nil"/>
              <w:left w:val="nil"/>
              <w:bottom w:val="nil"/>
              <w:right w:val="nil"/>
            </w:tcBorders>
            <w:shd w:val="clear" w:color="auto" w:fill="auto"/>
            <w:noWrap/>
            <w:vAlign w:val="bottom"/>
            <w:hideMark/>
          </w:tcPr>
          <w:p w:rsidR="00364A43" w:rsidRPr="00364A43" w:rsidRDefault="00937758" w:rsidP="00364A43">
            <w:pPr>
              <w:pStyle w:val="TableBodyText"/>
              <w:rPr>
                <w:rFonts w:ascii="Arial" w:hAnsi="Arial" w:cs="Arial"/>
                <w:b/>
                <w:color w:val="0000FF"/>
                <w:sz w:val="18"/>
                <w:szCs w:val="18"/>
              </w:rPr>
            </w:pPr>
            <w:r>
              <w:rPr>
                <w:rFonts w:ascii="Arial" w:hAnsi="Arial" w:cs="Arial"/>
                <w:b/>
                <w:color w:val="0000FF"/>
                <w:sz w:val="18"/>
                <w:szCs w:val="18"/>
              </w:rPr>
              <w:t>Departmental appropriation</w:t>
            </w:r>
          </w:p>
        </w:tc>
        <w:tc>
          <w:tcPr>
            <w:tcW w:w="1417" w:type="dxa"/>
            <w:tcBorders>
              <w:top w:val="nil"/>
              <w:left w:val="nil"/>
              <w:bottom w:val="nil"/>
              <w:right w:val="nil"/>
            </w:tcBorders>
            <w:shd w:val="clear" w:color="auto" w:fill="auto"/>
            <w:vAlign w:val="center"/>
            <w:hideMark/>
          </w:tcPr>
          <w:p w:rsidR="00364A43" w:rsidRPr="00364A43" w:rsidRDefault="00364A43" w:rsidP="00364A43">
            <w:pPr>
              <w:pStyle w:val="TableBodyText"/>
              <w:jc w:val="right"/>
              <w:rPr>
                <w:rFonts w:ascii="Arial" w:hAnsi="Arial" w:cs="Arial"/>
                <w:color w:val="0000FF"/>
                <w:sz w:val="18"/>
                <w:szCs w:val="18"/>
              </w:rPr>
            </w:pPr>
          </w:p>
        </w:tc>
        <w:tc>
          <w:tcPr>
            <w:tcW w:w="1276" w:type="dxa"/>
            <w:tcBorders>
              <w:top w:val="nil"/>
              <w:left w:val="nil"/>
              <w:bottom w:val="nil"/>
              <w:right w:val="nil"/>
            </w:tcBorders>
            <w:shd w:val="clear" w:color="auto" w:fill="auto"/>
            <w:vAlign w:val="center"/>
            <w:hideMark/>
          </w:tcPr>
          <w:p w:rsidR="00364A43" w:rsidRPr="00364A43" w:rsidRDefault="00364A43" w:rsidP="00364A43">
            <w:pPr>
              <w:pStyle w:val="TableBodyText"/>
              <w:jc w:val="right"/>
              <w:rPr>
                <w:rFonts w:ascii="Arial" w:hAnsi="Arial" w:cs="Arial"/>
                <w:color w:val="0000FF"/>
                <w:sz w:val="18"/>
                <w:szCs w:val="18"/>
              </w:rPr>
            </w:pPr>
          </w:p>
        </w:tc>
        <w:tc>
          <w:tcPr>
            <w:tcW w:w="1418" w:type="dxa"/>
            <w:tcBorders>
              <w:top w:val="nil"/>
              <w:left w:val="nil"/>
              <w:bottom w:val="nil"/>
              <w:right w:val="nil"/>
            </w:tcBorders>
            <w:shd w:val="clear" w:color="auto" w:fill="auto"/>
            <w:vAlign w:val="center"/>
            <w:hideMark/>
          </w:tcPr>
          <w:p w:rsidR="00364A43" w:rsidRPr="00364A43" w:rsidRDefault="00364A43" w:rsidP="00364A43">
            <w:pPr>
              <w:pStyle w:val="TableBodyText"/>
              <w:jc w:val="right"/>
              <w:rPr>
                <w:rFonts w:ascii="Arial" w:hAnsi="Arial" w:cs="Arial"/>
                <w:color w:val="0000FF"/>
                <w:sz w:val="18"/>
                <w:szCs w:val="18"/>
              </w:rPr>
            </w:pPr>
          </w:p>
        </w:tc>
      </w:tr>
      <w:tr w:rsidR="00B40940" w:rsidRPr="00364A43" w:rsidTr="00364A43">
        <w:trPr>
          <w:trHeight w:val="300"/>
        </w:trPr>
        <w:tc>
          <w:tcPr>
            <w:tcW w:w="3134" w:type="dxa"/>
            <w:tcBorders>
              <w:top w:val="nil"/>
              <w:left w:val="nil"/>
              <w:bottom w:val="nil"/>
              <w:right w:val="nil"/>
            </w:tcBorders>
            <w:shd w:val="clear" w:color="auto" w:fill="auto"/>
            <w:noWrap/>
            <w:vAlign w:val="bottom"/>
            <w:hideMark/>
          </w:tcPr>
          <w:p w:rsidR="00B40940" w:rsidRPr="00364A43" w:rsidRDefault="00B40940" w:rsidP="00A23768">
            <w:pPr>
              <w:pStyle w:val="TableBodyText"/>
              <w:ind w:left="191"/>
              <w:rPr>
                <w:rFonts w:ascii="Arial" w:hAnsi="Arial" w:cs="Arial"/>
                <w:color w:val="0000FF"/>
                <w:sz w:val="18"/>
                <w:szCs w:val="18"/>
              </w:rPr>
            </w:pPr>
            <w:r w:rsidRPr="00364A43">
              <w:rPr>
                <w:rFonts w:ascii="Arial" w:hAnsi="Arial" w:cs="Arial"/>
                <w:color w:val="0000FF"/>
                <w:sz w:val="18"/>
                <w:szCs w:val="18"/>
              </w:rPr>
              <w:t>Prior year appropriation</w:t>
            </w:r>
            <w:r w:rsidR="00A23768">
              <w:rPr>
                <w:rFonts w:ascii="Arial" w:hAnsi="Arial" w:cs="Arial"/>
                <w:color w:val="0000FF"/>
                <w:sz w:val="18"/>
                <w:szCs w:val="18"/>
              </w:rPr>
              <w:t>s</w:t>
            </w:r>
          </w:p>
        </w:tc>
        <w:tc>
          <w:tcPr>
            <w:tcW w:w="1417" w:type="dxa"/>
            <w:tcBorders>
              <w:top w:val="nil"/>
              <w:left w:val="nil"/>
              <w:bottom w:val="nil"/>
              <w:right w:val="nil"/>
            </w:tcBorders>
            <w:shd w:val="clear" w:color="auto" w:fill="auto"/>
            <w:noWrap/>
            <w:vAlign w:val="center"/>
            <w:hideMark/>
          </w:tcPr>
          <w:p w:rsidR="00B40940" w:rsidRPr="00B45F4E" w:rsidRDefault="00B45F4E" w:rsidP="00E670F1">
            <w:pPr>
              <w:pStyle w:val="TableBodyText"/>
              <w:jc w:val="right"/>
              <w:rPr>
                <w:rFonts w:ascii="Arial" w:hAnsi="Arial" w:cs="Arial"/>
                <w:color w:val="0000FF"/>
                <w:sz w:val="18"/>
                <w:szCs w:val="18"/>
              </w:rPr>
            </w:pPr>
            <w:r w:rsidRPr="00B45F4E">
              <w:rPr>
                <w:rFonts w:ascii="Arial" w:hAnsi="Arial" w:cs="Arial"/>
                <w:color w:val="0000FF"/>
                <w:sz w:val="18"/>
                <w:szCs w:val="18"/>
              </w:rPr>
              <w:t>14,527</w:t>
            </w:r>
          </w:p>
        </w:tc>
        <w:tc>
          <w:tcPr>
            <w:tcW w:w="1276" w:type="dxa"/>
            <w:tcBorders>
              <w:top w:val="nil"/>
              <w:left w:val="nil"/>
              <w:bottom w:val="nil"/>
              <w:right w:val="nil"/>
            </w:tcBorders>
            <w:shd w:val="clear" w:color="auto" w:fill="auto"/>
            <w:noWrap/>
            <w:vAlign w:val="center"/>
            <w:hideMark/>
          </w:tcPr>
          <w:p w:rsidR="00B40940" w:rsidRPr="00B45F4E" w:rsidRDefault="00B45F4E" w:rsidP="00B45F4E">
            <w:pPr>
              <w:pStyle w:val="TableBodyText"/>
              <w:jc w:val="right"/>
              <w:rPr>
                <w:rFonts w:ascii="Arial" w:hAnsi="Arial" w:cs="Arial"/>
                <w:color w:val="0000FF"/>
                <w:sz w:val="18"/>
                <w:szCs w:val="18"/>
              </w:rPr>
            </w:pPr>
            <w:r w:rsidRPr="00B45F4E">
              <w:rPr>
                <w:rFonts w:ascii="Arial" w:hAnsi="Arial" w:cs="Arial"/>
                <w:color w:val="0000FF"/>
                <w:sz w:val="18"/>
                <w:szCs w:val="18"/>
              </w:rPr>
              <w:t>14</w:t>
            </w:r>
            <w:r w:rsidR="003D2CB1" w:rsidRPr="00B45F4E">
              <w:rPr>
                <w:rFonts w:ascii="Arial" w:hAnsi="Arial" w:cs="Arial"/>
                <w:color w:val="0000FF"/>
                <w:sz w:val="18"/>
                <w:szCs w:val="18"/>
              </w:rPr>
              <w:t>,</w:t>
            </w:r>
            <w:r w:rsidRPr="00B45F4E">
              <w:rPr>
                <w:rFonts w:ascii="Arial" w:hAnsi="Arial" w:cs="Arial"/>
                <w:color w:val="0000FF"/>
                <w:sz w:val="18"/>
                <w:szCs w:val="18"/>
              </w:rPr>
              <w:t>527</w:t>
            </w:r>
          </w:p>
        </w:tc>
        <w:tc>
          <w:tcPr>
            <w:tcW w:w="1418" w:type="dxa"/>
            <w:tcBorders>
              <w:top w:val="nil"/>
              <w:left w:val="nil"/>
              <w:bottom w:val="nil"/>
              <w:right w:val="nil"/>
            </w:tcBorders>
            <w:shd w:val="clear" w:color="auto" w:fill="auto"/>
            <w:vAlign w:val="center"/>
            <w:hideMark/>
          </w:tcPr>
          <w:p w:rsidR="00B40940" w:rsidRPr="00B45F4E" w:rsidRDefault="003D2CB1" w:rsidP="00E670F1">
            <w:pPr>
              <w:pStyle w:val="TableBodyText"/>
              <w:jc w:val="right"/>
              <w:rPr>
                <w:rFonts w:ascii="Arial" w:hAnsi="Arial" w:cs="Arial"/>
                <w:color w:val="0000FF"/>
                <w:sz w:val="18"/>
                <w:szCs w:val="18"/>
              </w:rPr>
            </w:pPr>
            <w:r w:rsidRPr="00B45F4E">
              <w:rPr>
                <w:rFonts w:ascii="Arial" w:hAnsi="Arial" w:cs="Arial"/>
                <w:color w:val="0000FF"/>
                <w:sz w:val="18"/>
                <w:szCs w:val="18"/>
              </w:rPr>
              <w:t>-</w:t>
            </w:r>
          </w:p>
        </w:tc>
      </w:tr>
      <w:tr w:rsidR="00B45F4E" w:rsidRPr="00364A43" w:rsidTr="00364A43">
        <w:trPr>
          <w:trHeight w:val="300"/>
        </w:trPr>
        <w:tc>
          <w:tcPr>
            <w:tcW w:w="3134" w:type="dxa"/>
            <w:tcBorders>
              <w:top w:val="nil"/>
              <w:left w:val="nil"/>
              <w:bottom w:val="nil"/>
              <w:right w:val="nil"/>
            </w:tcBorders>
            <w:shd w:val="clear" w:color="auto" w:fill="auto"/>
            <w:noWrap/>
            <w:vAlign w:val="bottom"/>
            <w:hideMark/>
          </w:tcPr>
          <w:p w:rsidR="00B45F4E" w:rsidRPr="00364A43" w:rsidRDefault="00B45F4E" w:rsidP="00C66759">
            <w:pPr>
              <w:pStyle w:val="TableBodyText"/>
              <w:ind w:left="191"/>
              <w:rPr>
                <w:rFonts w:ascii="Arial" w:hAnsi="Arial" w:cs="Arial"/>
                <w:color w:val="0000FF"/>
                <w:sz w:val="18"/>
                <w:szCs w:val="18"/>
              </w:rPr>
            </w:pPr>
            <w:r w:rsidRPr="00364A43">
              <w:rPr>
                <w:rFonts w:ascii="Arial" w:hAnsi="Arial" w:cs="Arial"/>
                <w:color w:val="0000FF"/>
                <w:sz w:val="18"/>
                <w:szCs w:val="18"/>
              </w:rPr>
              <w:t>Departmental appropriation</w:t>
            </w:r>
            <w:r>
              <w:rPr>
                <w:rFonts w:ascii="Arial" w:hAnsi="Arial" w:cs="Arial"/>
                <w:color w:val="0000FF"/>
                <w:sz w:val="18"/>
                <w:szCs w:val="18"/>
              </w:rPr>
              <w:t xml:space="preserve"> </w:t>
            </w:r>
            <w:r>
              <w:rPr>
                <w:rFonts w:ascii="Arial" w:hAnsi="Arial" w:cs="Arial"/>
                <w:color w:val="0000FF"/>
                <w:sz w:val="18"/>
                <w:szCs w:val="18"/>
                <w:vertAlign w:val="superscript"/>
              </w:rPr>
              <w:t>1</w:t>
            </w:r>
            <w:r>
              <w:rPr>
                <w:rFonts w:ascii="Arial" w:hAnsi="Arial" w:cs="Arial"/>
                <w:color w:val="0000FF"/>
                <w:sz w:val="18"/>
                <w:szCs w:val="18"/>
              </w:rPr>
              <w:t xml:space="preserve"> </w:t>
            </w:r>
          </w:p>
        </w:tc>
        <w:tc>
          <w:tcPr>
            <w:tcW w:w="1417" w:type="dxa"/>
            <w:tcBorders>
              <w:top w:val="nil"/>
              <w:left w:val="nil"/>
              <w:bottom w:val="nil"/>
              <w:right w:val="nil"/>
            </w:tcBorders>
            <w:shd w:val="clear" w:color="auto" w:fill="auto"/>
            <w:vAlign w:val="center"/>
            <w:hideMark/>
          </w:tcPr>
          <w:p w:rsidR="00B45F4E" w:rsidRPr="00B45F4E" w:rsidRDefault="00B45F4E" w:rsidP="00B45F4E">
            <w:pPr>
              <w:pStyle w:val="TableBodyText"/>
              <w:jc w:val="right"/>
              <w:rPr>
                <w:rFonts w:ascii="Arial" w:hAnsi="Arial" w:cs="Arial"/>
                <w:color w:val="0000FF"/>
                <w:sz w:val="18"/>
                <w:szCs w:val="18"/>
              </w:rPr>
            </w:pPr>
            <w:r w:rsidRPr="00B45F4E">
              <w:rPr>
                <w:rFonts w:ascii="Arial" w:hAnsi="Arial" w:cs="Arial"/>
                <w:color w:val="0000FF"/>
                <w:sz w:val="18"/>
                <w:szCs w:val="18"/>
              </w:rPr>
              <w:t>14,085</w:t>
            </w:r>
          </w:p>
        </w:tc>
        <w:tc>
          <w:tcPr>
            <w:tcW w:w="1276" w:type="dxa"/>
            <w:tcBorders>
              <w:top w:val="nil"/>
              <w:left w:val="nil"/>
              <w:bottom w:val="nil"/>
              <w:right w:val="nil"/>
            </w:tcBorders>
            <w:shd w:val="clear" w:color="auto" w:fill="auto"/>
            <w:vAlign w:val="center"/>
            <w:hideMark/>
          </w:tcPr>
          <w:p w:rsidR="00B45F4E" w:rsidRPr="00B45F4E" w:rsidRDefault="00B45F4E" w:rsidP="000A7177">
            <w:pPr>
              <w:pStyle w:val="TableBodyText"/>
              <w:jc w:val="right"/>
              <w:rPr>
                <w:rFonts w:ascii="Arial" w:hAnsi="Arial" w:cs="Arial"/>
                <w:color w:val="0000FF"/>
                <w:sz w:val="18"/>
                <w:szCs w:val="18"/>
              </w:rPr>
            </w:pPr>
            <w:r w:rsidRPr="00B45F4E">
              <w:rPr>
                <w:rFonts w:ascii="Arial" w:hAnsi="Arial" w:cs="Arial"/>
                <w:color w:val="0000FF"/>
                <w:sz w:val="18"/>
                <w:szCs w:val="18"/>
              </w:rPr>
              <w:t>-</w:t>
            </w:r>
          </w:p>
        </w:tc>
        <w:tc>
          <w:tcPr>
            <w:tcW w:w="1418" w:type="dxa"/>
            <w:tcBorders>
              <w:top w:val="nil"/>
              <w:left w:val="nil"/>
              <w:bottom w:val="nil"/>
              <w:right w:val="nil"/>
            </w:tcBorders>
            <w:shd w:val="clear" w:color="auto" w:fill="auto"/>
            <w:vAlign w:val="center"/>
            <w:hideMark/>
          </w:tcPr>
          <w:p w:rsidR="00B45F4E" w:rsidRPr="00B45F4E" w:rsidRDefault="00B45F4E" w:rsidP="00B45F4E">
            <w:pPr>
              <w:pStyle w:val="TableBodyText"/>
              <w:jc w:val="right"/>
              <w:rPr>
                <w:rFonts w:ascii="Arial" w:hAnsi="Arial" w:cs="Arial"/>
                <w:color w:val="0000FF"/>
                <w:sz w:val="18"/>
                <w:szCs w:val="18"/>
              </w:rPr>
            </w:pPr>
            <w:r w:rsidRPr="00B45F4E">
              <w:rPr>
                <w:rFonts w:ascii="Arial" w:hAnsi="Arial" w:cs="Arial"/>
                <w:color w:val="0000FF"/>
                <w:sz w:val="18"/>
                <w:szCs w:val="18"/>
              </w:rPr>
              <w:t>14,085</w:t>
            </w:r>
          </w:p>
        </w:tc>
      </w:tr>
      <w:tr w:rsidR="00B40940" w:rsidRPr="00364A43" w:rsidTr="006B2223">
        <w:trPr>
          <w:trHeight w:val="300"/>
        </w:trPr>
        <w:tc>
          <w:tcPr>
            <w:tcW w:w="3134" w:type="dxa"/>
            <w:tcBorders>
              <w:top w:val="nil"/>
              <w:left w:val="nil"/>
              <w:bottom w:val="nil"/>
              <w:right w:val="nil"/>
            </w:tcBorders>
            <w:shd w:val="clear" w:color="auto" w:fill="auto"/>
            <w:noWrap/>
            <w:vAlign w:val="bottom"/>
            <w:hideMark/>
          </w:tcPr>
          <w:p w:rsidR="00B40940" w:rsidRPr="00364A43" w:rsidRDefault="00B40940" w:rsidP="00C66759">
            <w:pPr>
              <w:pStyle w:val="TableBodyText"/>
              <w:ind w:left="191"/>
              <w:rPr>
                <w:rFonts w:ascii="Arial" w:hAnsi="Arial" w:cs="Arial"/>
                <w:color w:val="0000FF"/>
                <w:sz w:val="18"/>
                <w:szCs w:val="18"/>
              </w:rPr>
            </w:pPr>
            <w:r>
              <w:rPr>
                <w:rFonts w:ascii="Arial" w:hAnsi="Arial" w:cs="Arial"/>
                <w:color w:val="0000FF"/>
                <w:sz w:val="18"/>
                <w:szCs w:val="18"/>
              </w:rPr>
              <w:t>s</w:t>
            </w:r>
            <w:r w:rsidRPr="00364A43">
              <w:rPr>
                <w:rFonts w:ascii="Arial" w:hAnsi="Arial" w:cs="Arial"/>
                <w:color w:val="0000FF"/>
                <w:sz w:val="18"/>
                <w:szCs w:val="18"/>
              </w:rPr>
              <w:t xml:space="preserve"> </w:t>
            </w:r>
            <w:r w:rsidR="00C66759">
              <w:rPr>
                <w:rFonts w:ascii="Arial" w:hAnsi="Arial" w:cs="Arial"/>
                <w:color w:val="0000FF"/>
                <w:sz w:val="18"/>
                <w:szCs w:val="18"/>
              </w:rPr>
              <w:t>74</w:t>
            </w:r>
            <w:r w:rsidRPr="00364A43">
              <w:rPr>
                <w:rFonts w:ascii="Arial" w:hAnsi="Arial" w:cs="Arial"/>
                <w:color w:val="0000FF"/>
                <w:sz w:val="18"/>
                <w:szCs w:val="18"/>
              </w:rPr>
              <w:t xml:space="preserve"> </w:t>
            </w:r>
            <w:r w:rsidR="00C66759">
              <w:rPr>
                <w:rFonts w:ascii="Arial" w:hAnsi="Arial" w:cs="Arial"/>
                <w:color w:val="0000FF"/>
                <w:sz w:val="18"/>
                <w:szCs w:val="18"/>
              </w:rPr>
              <w:t xml:space="preserve">retained revenue </w:t>
            </w:r>
            <w:r w:rsidRPr="00364A43">
              <w:rPr>
                <w:rFonts w:ascii="Arial" w:hAnsi="Arial" w:cs="Arial"/>
                <w:color w:val="0000FF"/>
                <w:sz w:val="18"/>
                <w:szCs w:val="18"/>
              </w:rPr>
              <w:t>receipts</w:t>
            </w:r>
          </w:p>
        </w:tc>
        <w:tc>
          <w:tcPr>
            <w:tcW w:w="1417" w:type="dxa"/>
            <w:tcBorders>
              <w:top w:val="nil"/>
              <w:left w:val="nil"/>
              <w:bottom w:val="single" w:sz="4" w:space="0" w:color="auto"/>
              <w:right w:val="nil"/>
            </w:tcBorders>
            <w:shd w:val="clear" w:color="auto" w:fill="auto"/>
            <w:vAlign w:val="center"/>
            <w:hideMark/>
          </w:tcPr>
          <w:p w:rsidR="00B40940" w:rsidRPr="00B45F4E" w:rsidRDefault="00E670F1" w:rsidP="00B45F4E">
            <w:pPr>
              <w:pStyle w:val="TableBodyText"/>
              <w:jc w:val="right"/>
              <w:rPr>
                <w:rFonts w:ascii="Arial" w:hAnsi="Arial" w:cs="Arial"/>
                <w:color w:val="0000FF"/>
                <w:sz w:val="18"/>
                <w:szCs w:val="18"/>
              </w:rPr>
            </w:pPr>
            <w:r w:rsidRPr="00B45F4E">
              <w:rPr>
                <w:rFonts w:ascii="Arial" w:hAnsi="Arial" w:cs="Arial"/>
                <w:color w:val="0000FF"/>
                <w:sz w:val="18"/>
                <w:szCs w:val="18"/>
              </w:rPr>
              <w:t>7,</w:t>
            </w:r>
            <w:r w:rsidR="00B45F4E" w:rsidRPr="00B45F4E">
              <w:rPr>
                <w:rFonts w:ascii="Arial" w:hAnsi="Arial" w:cs="Arial"/>
                <w:color w:val="0000FF"/>
                <w:sz w:val="18"/>
                <w:szCs w:val="18"/>
              </w:rPr>
              <w:t>128</w:t>
            </w:r>
          </w:p>
        </w:tc>
        <w:tc>
          <w:tcPr>
            <w:tcW w:w="1276" w:type="dxa"/>
            <w:tcBorders>
              <w:top w:val="nil"/>
              <w:left w:val="nil"/>
              <w:bottom w:val="single" w:sz="4" w:space="0" w:color="auto"/>
              <w:right w:val="nil"/>
            </w:tcBorders>
            <w:shd w:val="clear" w:color="auto" w:fill="auto"/>
            <w:vAlign w:val="center"/>
            <w:hideMark/>
          </w:tcPr>
          <w:p w:rsidR="00B40940" w:rsidRPr="00B45F4E" w:rsidRDefault="00B45F4E" w:rsidP="00B45F4E">
            <w:pPr>
              <w:pStyle w:val="TableBodyText"/>
              <w:jc w:val="right"/>
              <w:rPr>
                <w:rFonts w:ascii="Arial" w:hAnsi="Arial" w:cs="Arial"/>
                <w:color w:val="0000FF"/>
                <w:sz w:val="18"/>
                <w:szCs w:val="18"/>
              </w:rPr>
            </w:pPr>
            <w:r w:rsidRPr="00B45F4E">
              <w:rPr>
                <w:rFonts w:ascii="Arial" w:hAnsi="Arial" w:cs="Arial"/>
                <w:color w:val="0000FF"/>
                <w:sz w:val="18"/>
                <w:szCs w:val="18"/>
              </w:rPr>
              <w:t>5</w:t>
            </w:r>
            <w:r w:rsidR="003D2CB1" w:rsidRPr="00B45F4E">
              <w:rPr>
                <w:rFonts w:ascii="Arial" w:hAnsi="Arial" w:cs="Arial"/>
                <w:color w:val="0000FF"/>
                <w:sz w:val="18"/>
                <w:szCs w:val="18"/>
              </w:rPr>
              <w:t>,</w:t>
            </w:r>
            <w:r w:rsidRPr="00B45F4E">
              <w:rPr>
                <w:rFonts w:ascii="Arial" w:hAnsi="Arial" w:cs="Arial"/>
                <w:color w:val="0000FF"/>
                <w:sz w:val="18"/>
                <w:szCs w:val="18"/>
              </w:rPr>
              <w:t>288</w:t>
            </w:r>
          </w:p>
        </w:tc>
        <w:tc>
          <w:tcPr>
            <w:tcW w:w="1418" w:type="dxa"/>
            <w:tcBorders>
              <w:top w:val="nil"/>
              <w:left w:val="nil"/>
              <w:bottom w:val="single" w:sz="4" w:space="0" w:color="auto"/>
              <w:right w:val="nil"/>
            </w:tcBorders>
            <w:shd w:val="clear" w:color="auto" w:fill="auto"/>
            <w:vAlign w:val="center"/>
            <w:hideMark/>
          </w:tcPr>
          <w:p w:rsidR="00B40940" w:rsidRPr="00B45F4E" w:rsidRDefault="00B45F4E" w:rsidP="003D2CB1">
            <w:pPr>
              <w:pStyle w:val="TableBodyText"/>
              <w:jc w:val="right"/>
              <w:rPr>
                <w:rFonts w:ascii="Arial" w:hAnsi="Arial" w:cs="Arial"/>
                <w:color w:val="0000FF"/>
                <w:sz w:val="18"/>
                <w:szCs w:val="18"/>
              </w:rPr>
            </w:pPr>
            <w:r w:rsidRPr="00B45F4E">
              <w:rPr>
                <w:rFonts w:ascii="Arial" w:hAnsi="Arial" w:cs="Arial"/>
                <w:color w:val="0000FF"/>
                <w:sz w:val="18"/>
                <w:szCs w:val="18"/>
              </w:rPr>
              <w:t>1,840</w:t>
            </w:r>
          </w:p>
        </w:tc>
      </w:tr>
      <w:tr w:rsidR="00EC700F" w:rsidRPr="00364A43" w:rsidTr="00F241D9">
        <w:trPr>
          <w:trHeight w:val="300"/>
        </w:trPr>
        <w:tc>
          <w:tcPr>
            <w:tcW w:w="3134" w:type="dxa"/>
            <w:tcBorders>
              <w:top w:val="nil"/>
              <w:left w:val="nil"/>
              <w:bottom w:val="nil"/>
              <w:right w:val="nil"/>
            </w:tcBorders>
            <w:shd w:val="clear" w:color="auto" w:fill="auto"/>
            <w:noWrap/>
            <w:vAlign w:val="center"/>
            <w:hideMark/>
          </w:tcPr>
          <w:p w:rsidR="00EC700F" w:rsidRPr="00364A43" w:rsidRDefault="00EC700F" w:rsidP="00F241D9">
            <w:pPr>
              <w:pStyle w:val="TableBodyText"/>
              <w:rPr>
                <w:rFonts w:ascii="Arial" w:hAnsi="Arial" w:cs="Arial"/>
                <w:b/>
                <w:color w:val="0000FF"/>
                <w:sz w:val="18"/>
                <w:szCs w:val="18"/>
              </w:rPr>
            </w:pPr>
            <w:r w:rsidRPr="00364A43">
              <w:rPr>
                <w:rFonts w:ascii="Arial" w:hAnsi="Arial" w:cs="Arial"/>
                <w:b/>
                <w:color w:val="0000FF"/>
                <w:sz w:val="18"/>
                <w:szCs w:val="18"/>
              </w:rPr>
              <w:t>Total ordinary annual services</w:t>
            </w:r>
          </w:p>
        </w:tc>
        <w:tc>
          <w:tcPr>
            <w:tcW w:w="1417" w:type="dxa"/>
            <w:tcBorders>
              <w:top w:val="single" w:sz="4" w:space="0" w:color="auto"/>
              <w:left w:val="nil"/>
              <w:bottom w:val="single" w:sz="4" w:space="0" w:color="auto"/>
              <w:right w:val="nil"/>
            </w:tcBorders>
            <w:shd w:val="clear" w:color="auto" w:fill="auto"/>
            <w:noWrap/>
            <w:vAlign w:val="center"/>
            <w:hideMark/>
          </w:tcPr>
          <w:p w:rsidR="00EC700F" w:rsidRPr="00B45F4E" w:rsidRDefault="003D2CB1" w:rsidP="00B45F4E">
            <w:pPr>
              <w:pStyle w:val="TableBodyText"/>
              <w:jc w:val="right"/>
              <w:rPr>
                <w:rFonts w:ascii="Arial" w:hAnsi="Arial" w:cs="Arial"/>
                <w:b/>
                <w:color w:val="0000FF"/>
                <w:sz w:val="18"/>
                <w:szCs w:val="18"/>
              </w:rPr>
            </w:pPr>
            <w:r w:rsidRPr="00B45F4E">
              <w:rPr>
                <w:rFonts w:ascii="Arial" w:hAnsi="Arial" w:cs="Arial"/>
                <w:b/>
                <w:color w:val="0000FF"/>
                <w:sz w:val="18"/>
                <w:szCs w:val="18"/>
              </w:rPr>
              <w:t>3</w:t>
            </w:r>
            <w:r w:rsidR="00B45F4E" w:rsidRPr="00B45F4E">
              <w:rPr>
                <w:rFonts w:ascii="Arial" w:hAnsi="Arial" w:cs="Arial"/>
                <w:b/>
                <w:color w:val="0000FF"/>
                <w:sz w:val="18"/>
                <w:szCs w:val="18"/>
              </w:rPr>
              <w:t>5</w:t>
            </w:r>
            <w:r w:rsidRPr="00B45F4E">
              <w:rPr>
                <w:rFonts w:ascii="Arial" w:hAnsi="Arial" w:cs="Arial"/>
                <w:b/>
                <w:color w:val="0000FF"/>
                <w:sz w:val="18"/>
                <w:szCs w:val="18"/>
              </w:rPr>
              <w:t>,</w:t>
            </w:r>
            <w:r w:rsidR="00B45F4E" w:rsidRPr="00B45F4E">
              <w:rPr>
                <w:rFonts w:ascii="Arial" w:hAnsi="Arial" w:cs="Arial"/>
                <w:b/>
                <w:color w:val="0000FF"/>
                <w:sz w:val="18"/>
                <w:szCs w:val="18"/>
              </w:rPr>
              <w:t>740</w:t>
            </w:r>
          </w:p>
        </w:tc>
        <w:tc>
          <w:tcPr>
            <w:tcW w:w="1276" w:type="dxa"/>
            <w:tcBorders>
              <w:top w:val="single" w:sz="4" w:space="0" w:color="auto"/>
              <w:left w:val="nil"/>
              <w:bottom w:val="single" w:sz="4" w:space="0" w:color="auto"/>
              <w:right w:val="nil"/>
            </w:tcBorders>
            <w:shd w:val="clear" w:color="auto" w:fill="auto"/>
            <w:noWrap/>
            <w:vAlign w:val="center"/>
            <w:hideMark/>
          </w:tcPr>
          <w:p w:rsidR="00EC700F" w:rsidRPr="00B45F4E" w:rsidRDefault="00B45F4E" w:rsidP="00B45F4E">
            <w:pPr>
              <w:pStyle w:val="TableBodyText"/>
              <w:jc w:val="right"/>
              <w:rPr>
                <w:rFonts w:ascii="Arial" w:hAnsi="Arial" w:cs="Arial"/>
                <w:b/>
                <w:color w:val="0000FF"/>
                <w:sz w:val="18"/>
                <w:szCs w:val="18"/>
              </w:rPr>
            </w:pPr>
            <w:r w:rsidRPr="00B45F4E">
              <w:rPr>
                <w:rFonts w:ascii="Arial" w:hAnsi="Arial" w:cs="Arial"/>
                <w:b/>
                <w:color w:val="0000FF"/>
                <w:sz w:val="18"/>
                <w:szCs w:val="18"/>
              </w:rPr>
              <w:t>19</w:t>
            </w:r>
            <w:r w:rsidR="003D2CB1" w:rsidRPr="00B45F4E">
              <w:rPr>
                <w:rFonts w:ascii="Arial" w:hAnsi="Arial" w:cs="Arial"/>
                <w:b/>
                <w:color w:val="0000FF"/>
                <w:sz w:val="18"/>
                <w:szCs w:val="18"/>
              </w:rPr>
              <w:t>,</w:t>
            </w:r>
            <w:r w:rsidRPr="00B45F4E">
              <w:rPr>
                <w:rFonts w:ascii="Arial" w:hAnsi="Arial" w:cs="Arial"/>
                <w:b/>
                <w:color w:val="0000FF"/>
                <w:sz w:val="18"/>
                <w:szCs w:val="18"/>
              </w:rPr>
              <w:t>815</w:t>
            </w:r>
          </w:p>
        </w:tc>
        <w:tc>
          <w:tcPr>
            <w:tcW w:w="1418" w:type="dxa"/>
            <w:tcBorders>
              <w:top w:val="single" w:sz="4" w:space="0" w:color="auto"/>
              <w:left w:val="nil"/>
              <w:bottom w:val="single" w:sz="4" w:space="0" w:color="auto"/>
              <w:right w:val="nil"/>
            </w:tcBorders>
            <w:shd w:val="clear" w:color="auto" w:fill="auto"/>
            <w:noWrap/>
            <w:vAlign w:val="center"/>
            <w:hideMark/>
          </w:tcPr>
          <w:p w:rsidR="00EC700F" w:rsidRPr="00B45F4E" w:rsidRDefault="00B45F4E" w:rsidP="00B45F4E">
            <w:pPr>
              <w:pStyle w:val="TableBodyText"/>
              <w:jc w:val="right"/>
              <w:rPr>
                <w:rFonts w:ascii="Arial" w:hAnsi="Arial" w:cs="Arial"/>
                <w:b/>
                <w:color w:val="0000FF"/>
                <w:sz w:val="18"/>
                <w:szCs w:val="18"/>
              </w:rPr>
            </w:pPr>
            <w:r w:rsidRPr="00B45F4E">
              <w:rPr>
                <w:rFonts w:ascii="Arial" w:hAnsi="Arial" w:cs="Arial"/>
                <w:b/>
                <w:color w:val="0000FF"/>
                <w:sz w:val="18"/>
                <w:szCs w:val="18"/>
              </w:rPr>
              <w:t>15</w:t>
            </w:r>
            <w:r w:rsidR="003D2CB1" w:rsidRPr="00B45F4E">
              <w:rPr>
                <w:rFonts w:ascii="Arial" w:hAnsi="Arial" w:cs="Arial"/>
                <w:b/>
                <w:color w:val="0000FF"/>
                <w:sz w:val="18"/>
                <w:szCs w:val="18"/>
              </w:rPr>
              <w:t>,</w:t>
            </w:r>
            <w:r w:rsidRPr="00B45F4E">
              <w:rPr>
                <w:rFonts w:ascii="Arial" w:hAnsi="Arial" w:cs="Arial"/>
                <w:b/>
                <w:color w:val="0000FF"/>
                <w:sz w:val="18"/>
                <w:szCs w:val="18"/>
              </w:rPr>
              <w:t>925</w:t>
            </w:r>
          </w:p>
        </w:tc>
      </w:tr>
      <w:tr w:rsidR="00EC700F" w:rsidRPr="00364A43" w:rsidTr="00F241D9">
        <w:trPr>
          <w:trHeight w:val="300"/>
        </w:trPr>
        <w:tc>
          <w:tcPr>
            <w:tcW w:w="3134" w:type="dxa"/>
            <w:tcBorders>
              <w:top w:val="nil"/>
              <w:left w:val="nil"/>
              <w:bottom w:val="single" w:sz="12" w:space="0" w:color="auto"/>
              <w:right w:val="nil"/>
            </w:tcBorders>
            <w:shd w:val="clear" w:color="auto" w:fill="auto"/>
            <w:noWrap/>
            <w:vAlign w:val="center"/>
            <w:hideMark/>
          </w:tcPr>
          <w:p w:rsidR="00EC700F" w:rsidRPr="00364A43" w:rsidRDefault="00EC700F" w:rsidP="00C66759">
            <w:pPr>
              <w:pStyle w:val="TableBodyText"/>
              <w:rPr>
                <w:rFonts w:ascii="Arial" w:hAnsi="Arial" w:cs="Arial"/>
                <w:b/>
                <w:color w:val="0000FF"/>
                <w:sz w:val="18"/>
                <w:szCs w:val="18"/>
              </w:rPr>
            </w:pPr>
            <w:r w:rsidRPr="00364A43">
              <w:rPr>
                <w:rFonts w:ascii="Arial" w:hAnsi="Arial" w:cs="Arial"/>
                <w:b/>
                <w:color w:val="0000FF"/>
                <w:sz w:val="18"/>
                <w:szCs w:val="18"/>
              </w:rPr>
              <w:t xml:space="preserve">Total </w:t>
            </w:r>
            <w:r>
              <w:rPr>
                <w:rFonts w:ascii="Arial" w:hAnsi="Arial" w:cs="Arial"/>
                <w:b/>
                <w:color w:val="0000FF"/>
                <w:sz w:val="18"/>
                <w:szCs w:val="18"/>
              </w:rPr>
              <w:t xml:space="preserve">net </w:t>
            </w:r>
            <w:r w:rsidRPr="00364A43">
              <w:rPr>
                <w:rFonts w:ascii="Arial" w:hAnsi="Arial" w:cs="Arial"/>
                <w:b/>
                <w:color w:val="0000FF"/>
                <w:sz w:val="18"/>
                <w:szCs w:val="18"/>
              </w:rPr>
              <w:t>resourcing</w:t>
            </w:r>
            <w:r>
              <w:rPr>
                <w:rFonts w:ascii="Arial" w:hAnsi="Arial" w:cs="Arial"/>
                <w:b/>
                <w:color w:val="0000FF"/>
                <w:sz w:val="18"/>
                <w:szCs w:val="18"/>
              </w:rPr>
              <w:t xml:space="preserve"> </w:t>
            </w:r>
            <w:r w:rsidR="00A23768">
              <w:rPr>
                <w:rFonts w:ascii="Arial" w:hAnsi="Arial" w:cs="Arial"/>
                <w:b/>
                <w:color w:val="0000FF"/>
                <w:sz w:val="18"/>
                <w:szCs w:val="18"/>
              </w:rPr>
              <w:t>and payments for entity</w:t>
            </w:r>
          </w:p>
        </w:tc>
        <w:tc>
          <w:tcPr>
            <w:tcW w:w="1417" w:type="dxa"/>
            <w:tcBorders>
              <w:top w:val="nil"/>
              <w:left w:val="nil"/>
              <w:bottom w:val="single" w:sz="12" w:space="0" w:color="auto"/>
              <w:right w:val="nil"/>
            </w:tcBorders>
            <w:shd w:val="clear" w:color="auto" w:fill="auto"/>
            <w:noWrap/>
            <w:vAlign w:val="center"/>
            <w:hideMark/>
          </w:tcPr>
          <w:p w:rsidR="00EC700F" w:rsidRPr="00B45F4E" w:rsidRDefault="003D2CB1" w:rsidP="00B45F4E">
            <w:pPr>
              <w:pStyle w:val="TableBodyText"/>
              <w:jc w:val="right"/>
              <w:rPr>
                <w:rFonts w:ascii="Arial" w:hAnsi="Arial" w:cs="Arial"/>
                <w:b/>
                <w:color w:val="0000FF"/>
                <w:sz w:val="18"/>
                <w:szCs w:val="18"/>
              </w:rPr>
            </w:pPr>
            <w:r w:rsidRPr="00B45F4E">
              <w:rPr>
                <w:rFonts w:ascii="Arial" w:hAnsi="Arial" w:cs="Arial"/>
                <w:b/>
                <w:color w:val="0000FF"/>
                <w:sz w:val="18"/>
                <w:szCs w:val="18"/>
              </w:rPr>
              <w:t>3</w:t>
            </w:r>
            <w:r w:rsidR="00B45F4E" w:rsidRPr="00B45F4E">
              <w:rPr>
                <w:rFonts w:ascii="Arial" w:hAnsi="Arial" w:cs="Arial"/>
                <w:b/>
                <w:color w:val="0000FF"/>
                <w:sz w:val="18"/>
                <w:szCs w:val="18"/>
              </w:rPr>
              <w:t>5</w:t>
            </w:r>
            <w:r w:rsidRPr="00B45F4E">
              <w:rPr>
                <w:rFonts w:ascii="Arial" w:hAnsi="Arial" w:cs="Arial"/>
                <w:b/>
                <w:color w:val="0000FF"/>
                <w:sz w:val="18"/>
                <w:szCs w:val="18"/>
              </w:rPr>
              <w:t>,</w:t>
            </w:r>
            <w:r w:rsidR="00B45F4E" w:rsidRPr="00B45F4E">
              <w:rPr>
                <w:rFonts w:ascii="Arial" w:hAnsi="Arial" w:cs="Arial"/>
                <w:b/>
                <w:color w:val="0000FF"/>
                <w:sz w:val="18"/>
                <w:szCs w:val="18"/>
              </w:rPr>
              <w:t>740</w:t>
            </w:r>
          </w:p>
        </w:tc>
        <w:tc>
          <w:tcPr>
            <w:tcW w:w="1276" w:type="dxa"/>
            <w:tcBorders>
              <w:top w:val="nil"/>
              <w:left w:val="nil"/>
              <w:bottom w:val="single" w:sz="12" w:space="0" w:color="auto"/>
              <w:right w:val="nil"/>
            </w:tcBorders>
            <w:shd w:val="clear" w:color="auto" w:fill="auto"/>
            <w:noWrap/>
            <w:vAlign w:val="center"/>
            <w:hideMark/>
          </w:tcPr>
          <w:p w:rsidR="00EC700F" w:rsidRPr="00B45F4E" w:rsidRDefault="00B45F4E" w:rsidP="00B45F4E">
            <w:pPr>
              <w:pStyle w:val="TableBodyText"/>
              <w:jc w:val="right"/>
              <w:rPr>
                <w:rFonts w:ascii="Arial" w:hAnsi="Arial" w:cs="Arial"/>
                <w:b/>
                <w:color w:val="0000FF"/>
                <w:sz w:val="18"/>
                <w:szCs w:val="18"/>
              </w:rPr>
            </w:pPr>
            <w:r w:rsidRPr="00B45F4E">
              <w:rPr>
                <w:rFonts w:ascii="Arial" w:hAnsi="Arial" w:cs="Arial"/>
                <w:b/>
                <w:color w:val="0000FF"/>
                <w:sz w:val="18"/>
                <w:szCs w:val="18"/>
              </w:rPr>
              <w:t>19</w:t>
            </w:r>
            <w:r w:rsidR="003D2CB1" w:rsidRPr="00B45F4E">
              <w:rPr>
                <w:rFonts w:ascii="Arial" w:hAnsi="Arial" w:cs="Arial"/>
                <w:b/>
                <w:color w:val="0000FF"/>
                <w:sz w:val="18"/>
                <w:szCs w:val="18"/>
              </w:rPr>
              <w:t>,</w:t>
            </w:r>
            <w:r w:rsidRPr="00B45F4E">
              <w:rPr>
                <w:rFonts w:ascii="Arial" w:hAnsi="Arial" w:cs="Arial"/>
                <w:b/>
                <w:color w:val="0000FF"/>
                <w:sz w:val="18"/>
                <w:szCs w:val="18"/>
              </w:rPr>
              <w:t>815</w:t>
            </w:r>
          </w:p>
        </w:tc>
        <w:tc>
          <w:tcPr>
            <w:tcW w:w="1418" w:type="dxa"/>
            <w:tcBorders>
              <w:top w:val="nil"/>
              <w:left w:val="nil"/>
              <w:bottom w:val="single" w:sz="12" w:space="0" w:color="auto"/>
              <w:right w:val="nil"/>
            </w:tcBorders>
            <w:shd w:val="clear" w:color="auto" w:fill="auto"/>
            <w:noWrap/>
            <w:vAlign w:val="center"/>
            <w:hideMark/>
          </w:tcPr>
          <w:p w:rsidR="00EC700F" w:rsidRPr="00B45F4E" w:rsidRDefault="00B45F4E" w:rsidP="00B45F4E">
            <w:pPr>
              <w:pStyle w:val="TableBodyText"/>
              <w:jc w:val="right"/>
              <w:rPr>
                <w:rFonts w:ascii="Arial" w:hAnsi="Arial" w:cs="Arial"/>
                <w:b/>
                <w:color w:val="0000FF"/>
                <w:sz w:val="18"/>
                <w:szCs w:val="18"/>
              </w:rPr>
            </w:pPr>
            <w:r w:rsidRPr="00B45F4E">
              <w:rPr>
                <w:rFonts w:ascii="Arial" w:hAnsi="Arial" w:cs="Arial"/>
                <w:b/>
                <w:color w:val="0000FF"/>
                <w:sz w:val="18"/>
                <w:szCs w:val="18"/>
              </w:rPr>
              <w:t>15</w:t>
            </w:r>
            <w:r w:rsidR="003D2CB1" w:rsidRPr="00B45F4E">
              <w:rPr>
                <w:rFonts w:ascii="Arial" w:hAnsi="Arial" w:cs="Arial"/>
                <w:b/>
                <w:color w:val="0000FF"/>
                <w:sz w:val="18"/>
                <w:szCs w:val="18"/>
              </w:rPr>
              <w:t>,</w:t>
            </w:r>
            <w:r w:rsidRPr="00B45F4E">
              <w:rPr>
                <w:rFonts w:ascii="Arial" w:hAnsi="Arial" w:cs="Arial"/>
                <w:b/>
                <w:color w:val="0000FF"/>
                <w:sz w:val="18"/>
                <w:szCs w:val="18"/>
              </w:rPr>
              <w:t>925</w:t>
            </w:r>
          </w:p>
        </w:tc>
      </w:tr>
    </w:tbl>
    <w:p w:rsidR="007F6CA3" w:rsidRPr="00B45F4E" w:rsidRDefault="00C66759" w:rsidP="007F6CA3">
      <w:pPr>
        <w:spacing w:before="240" w:line="300" w:lineRule="exact"/>
        <w:rPr>
          <w:rFonts w:ascii="Arial" w:hAnsi="Arial"/>
          <w:caps/>
          <w:sz w:val="20"/>
        </w:rPr>
      </w:pPr>
      <w:r w:rsidRPr="00B45F4E">
        <w:rPr>
          <w:rFonts w:ascii="Arial" w:hAnsi="Arial"/>
          <w:sz w:val="20"/>
          <w:vertAlign w:val="superscript"/>
        </w:rPr>
        <w:t>1</w:t>
      </w:r>
      <w:r w:rsidR="007F6CA3" w:rsidRPr="00B45F4E">
        <w:rPr>
          <w:rFonts w:ascii="Arial" w:hAnsi="Arial"/>
          <w:sz w:val="20"/>
        </w:rPr>
        <w:t xml:space="preserve"> Includes an amount of $</w:t>
      </w:r>
      <w:r w:rsidR="003D2CB1" w:rsidRPr="00B45F4E">
        <w:rPr>
          <w:rFonts w:ascii="Arial" w:hAnsi="Arial"/>
          <w:sz w:val="20"/>
        </w:rPr>
        <w:t>0.</w:t>
      </w:r>
      <w:r w:rsidR="00B45F4E" w:rsidRPr="00B45F4E">
        <w:rPr>
          <w:rFonts w:ascii="Arial" w:hAnsi="Arial"/>
          <w:sz w:val="20"/>
        </w:rPr>
        <w:t>312</w:t>
      </w:r>
      <w:r w:rsidR="003D2CB1" w:rsidRPr="00B45F4E">
        <w:rPr>
          <w:rFonts w:ascii="Arial" w:hAnsi="Arial"/>
          <w:sz w:val="20"/>
        </w:rPr>
        <w:t xml:space="preserve"> </w:t>
      </w:r>
      <w:r w:rsidR="007F6CA3" w:rsidRPr="00B45F4E">
        <w:rPr>
          <w:rFonts w:ascii="Arial" w:hAnsi="Arial"/>
          <w:sz w:val="20"/>
        </w:rPr>
        <w:t xml:space="preserve">million for the Departmental Capital Budget. For accounting purposes, this amount has been designated as </w:t>
      </w:r>
      <w:r w:rsidR="004D7BCC" w:rsidRPr="00B45F4E">
        <w:rPr>
          <w:rFonts w:ascii="Arial" w:hAnsi="Arial"/>
          <w:sz w:val="20"/>
        </w:rPr>
        <w:t>“contributions by owners”</w:t>
      </w:r>
      <w:r w:rsidR="007F6CA3" w:rsidRPr="00B45F4E">
        <w:rPr>
          <w:rFonts w:ascii="Arial" w:hAnsi="Arial"/>
          <w:sz w:val="20"/>
        </w:rPr>
        <w:t>.</w:t>
      </w:r>
    </w:p>
    <w:p w:rsidR="00EC700F" w:rsidRPr="00EC700F" w:rsidRDefault="00C66759" w:rsidP="00EC700F">
      <w:pPr>
        <w:spacing w:before="240" w:line="300" w:lineRule="exact"/>
        <w:rPr>
          <w:rFonts w:ascii="Arial" w:hAnsi="Arial"/>
          <w:sz w:val="20"/>
        </w:rPr>
      </w:pPr>
      <w:r w:rsidRPr="00B45F4E">
        <w:rPr>
          <w:rFonts w:ascii="Arial" w:hAnsi="Arial"/>
          <w:sz w:val="20"/>
          <w:vertAlign w:val="superscript"/>
        </w:rPr>
        <w:t>2</w:t>
      </w:r>
      <w:r w:rsidR="00EC700F" w:rsidRPr="00B45F4E">
        <w:rPr>
          <w:rFonts w:ascii="Arial" w:hAnsi="Arial"/>
          <w:sz w:val="20"/>
          <w:vertAlign w:val="superscript"/>
        </w:rPr>
        <w:t xml:space="preserve"> </w:t>
      </w:r>
      <w:r w:rsidR="00EC700F" w:rsidRPr="00B45F4E">
        <w:rPr>
          <w:rFonts w:ascii="Arial" w:hAnsi="Arial"/>
          <w:sz w:val="20"/>
        </w:rPr>
        <w:t xml:space="preserve">The remaining balance is made up of the operating </w:t>
      </w:r>
      <w:r w:rsidR="00E640A6" w:rsidRPr="00B45F4E">
        <w:rPr>
          <w:rFonts w:ascii="Arial" w:hAnsi="Arial"/>
          <w:sz w:val="20"/>
        </w:rPr>
        <w:t>surplus attributable to OPC</w:t>
      </w:r>
      <w:r w:rsidR="00EC700F" w:rsidRPr="00B45F4E">
        <w:rPr>
          <w:rFonts w:ascii="Arial" w:hAnsi="Arial"/>
          <w:sz w:val="20"/>
        </w:rPr>
        <w:t xml:space="preserve"> and </w:t>
      </w:r>
      <w:r w:rsidR="00DF6305" w:rsidRPr="00B45F4E">
        <w:rPr>
          <w:rFonts w:ascii="Arial" w:hAnsi="Arial"/>
          <w:sz w:val="20"/>
        </w:rPr>
        <w:t xml:space="preserve">outstanding </w:t>
      </w:r>
      <w:r w:rsidR="00EC700F" w:rsidRPr="00B45F4E">
        <w:rPr>
          <w:rFonts w:ascii="Arial" w:hAnsi="Arial"/>
          <w:sz w:val="20"/>
        </w:rPr>
        <w:t>liabilities.</w:t>
      </w:r>
      <w:r w:rsidR="00EC700F" w:rsidRPr="00EC700F">
        <w:rPr>
          <w:rFonts w:ascii="Arial" w:hAnsi="Arial"/>
          <w:sz w:val="20"/>
        </w:rPr>
        <w:br w:type="page"/>
      </w:r>
    </w:p>
    <w:p w:rsidR="00950334" w:rsidRDefault="002E13FA" w:rsidP="002E13FA">
      <w:pPr>
        <w:pStyle w:val="Head4"/>
        <w:spacing w:after="0"/>
        <w:rPr>
          <w:b w:val="0"/>
          <w:sz w:val="16"/>
        </w:rPr>
      </w:pPr>
      <w:r>
        <w:lastRenderedPageBreak/>
        <w:t>Ex</w:t>
      </w:r>
      <w:r w:rsidR="00D422B1">
        <w:t xml:space="preserve">penses </w:t>
      </w:r>
      <w:r w:rsidR="00582377">
        <w:t>for</w:t>
      </w:r>
      <w:r w:rsidR="00D422B1">
        <w:t xml:space="preserve"> Outcome 1</w:t>
      </w:r>
    </w:p>
    <w:tbl>
      <w:tblPr>
        <w:tblW w:w="7245" w:type="dxa"/>
        <w:tblInd w:w="93" w:type="dxa"/>
        <w:tblLayout w:type="fixed"/>
        <w:tblLook w:val="04A0" w:firstRow="1" w:lastRow="0" w:firstColumn="1" w:lastColumn="0" w:noHBand="0" w:noVBand="1"/>
      </w:tblPr>
      <w:tblGrid>
        <w:gridCol w:w="4126"/>
        <w:gridCol w:w="992"/>
        <w:gridCol w:w="1134"/>
        <w:gridCol w:w="993"/>
      </w:tblGrid>
      <w:tr w:rsidR="00EC700F" w:rsidRPr="00364A43" w:rsidTr="00D008F4">
        <w:trPr>
          <w:trHeight w:val="315"/>
        </w:trPr>
        <w:tc>
          <w:tcPr>
            <w:tcW w:w="4126" w:type="dxa"/>
            <w:tcBorders>
              <w:top w:val="single" w:sz="12" w:space="0" w:color="auto"/>
              <w:left w:val="nil"/>
              <w:bottom w:val="single" w:sz="12" w:space="0" w:color="auto"/>
              <w:right w:val="nil"/>
            </w:tcBorders>
            <w:vAlign w:val="center"/>
            <w:hideMark/>
          </w:tcPr>
          <w:p w:rsidR="00EC700F" w:rsidRPr="00364A43" w:rsidRDefault="002E13FA" w:rsidP="003D5FCA">
            <w:pPr>
              <w:spacing w:line="260" w:lineRule="atLeast"/>
              <w:rPr>
                <w:rFonts w:ascii="Arial" w:hAnsi="Arial" w:cs="Arial"/>
                <w:b/>
                <w:bCs/>
                <w:color w:val="0000FF"/>
                <w:sz w:val="18"/>
                <w:szCs w:val="18"/>
              </w:rPr>
            </w:pPr>
            <w:r>
              <w:rPr>
                <w:rFonts w:ascii="Arial" w:hAnsi="Arial" w:cs="Arial"/>
                <w:b/>
                <w:bCs/>
                <w:color w:val="0000FF"/>
                <w:sz w:val="18"/>
                <w:szCs w:val="18"/>
              </w:rPr>
              <w:t>Outcome 1—A body of Commonwealth laws and instruments that give effect to intended policy, and that are coherent, readable and readily accessible, through the drafting and publication of those laws and instruments</w:t>
            </w:r>
          </w:p>
        </w:tc>
        <w:tc>
          <w:tcPr>
            <w:tcW w:w="992" w:type="dxa"/>
            <w:tcBorders>
              <w:top w:val="single" w:sz="12" w:space="0" w:color="auto"/>
              <w:left w:val="nil"/>
              <w:bottom w:val="single" w:sz="12" w:space="0" w:color="auto"/>
              <w:right w:val="nil"/>
            </w:tcBorders>
            <w:shd w:val="clear" w:color="auto" w:fill="auto"/>
            <w:noWrap/>
            <w:vAlign w:val="bottom"/>
            <w:hideMark/>
          </w:tcPr>
          <w:p w:rsidR="00EC700F" w:rsidRPr="00364A43" w:rsidRDefault="00151EAE" w:rsidP="0038537B">
            <w:pPr>
              <w:spacing w:line="260" w:lineRule="atLeast"/>
              <w:jc w:val="right"/>
              <w:rPr>
                <w:rFonts w:ascii="Arial" w:hAnsi="Arial" w:cs="Arial"/>
                <w:b/>
                <w:bCs/>
                <w:color w:val="0000FF"/>
                <w:sz w:val="18"/>
                <w:szCs w:val="18"/>
              </w:rPr>
            </w:pPr>
            <w:r>
              <w:rPr>
                <w:rFonts w:ascii="Arial" w:hAnsi="Arial" w:cs="Arial"/>
                <w:b/>
                <w:bCs/>
                <w:color w:val="0000FF"/>
                <w:sz w:val="18"/>
                <w:szCs w:val="18"/>
              </w:rPr>
              <w:t xml:space="preserve">Budget </w:t>
            </w:r>
            <w:r w:rsidR="00EC700F">
              <w:rPr>
                <w:rFonts w:ascii="Arial" w:hAnsi="Arial" w:cs="Arial"/>
                <w:b/>
                <w:bCs/>
                <w:color w:val="0000FF"/>
                <w:sz w:val="18"/>
                <w:szCs w:val="18"/>
              </w:rPr>
              <w:t>201</w:t>
            </w:r>
            <w:r w:rsidR="0038537B">
              <w:rPr>
                <w:rFonts w:ascii="Arial" w:hAnsi="Arial" w:cs="Arial"/>
                <w:b/>
                <w:bCs/>
                <w:color w:val="0000FF"/>
                <w:sz w:val="18"/>
                <w:szCs w:val="18"/>
              </w:rPr>
              <w:t>6</w:t>
            </w:r>
            <w:r w:rsidR="00EC700F">
              <w:rPr>
                <w:rFonts w:ascii="Arial" w:hAnsi="Arial" w:cs="Arial"/>
                <w:b/>
                <w:bCs/>
                <w:color w:val="0000FF"/>
                <w:sz w:val="18"/>
                <w:szCs w:val="18"/>
              </w:rPr>
              <w:noBreakHyphen/>
              <w:t>1</w:t>
            </w:r>
            <w:r w:rsidR="0038537B">
              <w:rPr>
                <w:rFonts w:ascii="Arial" w:hAnsi="Arial" w:cs="Arial"/>
                <w:b/>
                <w:bCs/>
                <w:color w:val="0000FF"/>
                <w:sz w:val="18"/>
                <w:szCs w:val="18"/>
              </w:rPr>
              <w:t>7</w:t>
            </w:r>
            <w:r w:rsidR="00EC700F">
              <w:rPr>
                <w:rFonts w:ascii="Arial" w:hAnsi="Arial" w:cs="Arial"/>
                <w:color w:val="0000FF"/>
                <w:sz w:val="18"/>
                <w:szCs w:val="18"/>
                <w:vertAlign w:val="superscript"/>
              </w:rPr>
              <w:t>1</w:t>
            </w:r>
            <w:r>
              <w:rPr>
                <w:rFonts w:ascii="Arial" w:hAnsi="Arial" w:cs="Arial"/>
                <w:color w:val="0000FF"/>
                <w:sz w:val="18"/>
                <w:szCs w:val="18"/>
                <w:vertAlign w:val="superscript"/>
              </w:rPr>
              <w:t xml:space="preserve"> </w:t>
            </w:r>
            <w:r w:rsidR="00582377">
              <w:rPr>
                <w:rFonts w:ascii="Arial" w:hAnsi="Arial" w:cs="Arial"/>
                <w:b/>
                <w:bCs/>
                <w:color w:val="0000FF"/>
                <w:sz w:val="18"/>
                <w:szCs w:val="18"/>
              </w:rPr>
              <w:t>$’000</w:t>
            </w:r>
            <w:r w:rsidR="00EC700F" w:rsidRPr="00364A43">
              <w:rPr>
                <w:rFonts w:ascii="Arial" w:hAnsi="Arial" w:cs="Arial"/>
                <w:b/>
                <w:bCs/>
                <w:color w:val="0000FF"/>
                <w:sz w:val="18"/>
                <w:szCs w:val="18"/>
              </w:rPr>
              <w:t xml:space="preserve"> </w:t>
            </w:r>
          </w:p>
        </w:tc>
        <w:tc>
          <w:tcPr>
            <w:tcW w:w="1134" w:type="dxa"/>
            <w:tcBorders>
              <w:top w:val="single" w:sz="12" w:space="0" w:color="auto"/>
              <w:left w:val="nil"/>
              <w:bottom w:val="single" w:sz="12" w:space="0" w:color="auto"/>
              <w:right w:val="nil"/>
            </w:tcBorders>
            <w:shd w:val="clear" w:color="auto" w:fill="auto"/>
            <w:noWrap/>
            <w:vAlign w:val="bottom"/>
            <w:hideMark/>
          </w:tcPr>
          <w:p w:rsidR="00EC700F" w:rsidRPr="00364A43" w:rsidRDefault="00151EAE" w:rsidP="0038537B">
            <w:pPr>
              <w:spacing w:line="260" w:lineRule="atLeast"/>
              <w:jc w:val="right"/>
              <w:rPr>
                <w:rFonts w:ascii="Arial" w:hAnsi="Arial" w:cs="Arial"/>
                <w:b/>
                <w:bCs/>
                <w:color w:val="0000FF"/>
                <w:sz w:val="18"/>
                <w:szCs w:val="18"/>
              </w:rPr>
            </w:pPr>
            <w:r>
              <w:rPr>
                <w:rFonts w:ascii="Arial" w:hAnsi="Arial" w:cs="Arial"/>
                <w:b/>
                <w:bCs/>
                <w:color w:val="0000FF"/>
                <w:sz w:val="18"/>
                <w:szCs w:val="18"/>
              </w:rPr>
              <w:t xml:space="preserve">Actual expenses </w:t>
            </w:r>
            <w:r w:rsidR="00EC700F">
              <w:rPr>
                <w:rFonts w:ascii="Arial" w:hAnsi="Arial" w:cs="Arial"/>
                <w:b/>
                <w:bCs/>
                <w:color w:val="0000FF"/>
                <w:sz w:val="18"/>
                <w:szCs w:val="18"/>
              </w:rPr>
              <w:t>201</w:t>
            </w:r>
            <w:r w:rsidR="0038537B">
              <w:rPr>
                <w:rFonts w:ascii="Arial" w:hAnsi="Arial" w:cs="Arial"/>
                <w:b/>
                <w:bCs/>
                <w:color w:val="0000FF"/>
                <w:sz w:val="18"/>
                <w:szCs w:val="18"/>
              </w:rPr>
              <w:t>6</w:t>
            </w:r>
            <w:r w:rsidR="00EC700F">
              <w:rPr>
                <w:rFonts w:ascii="Arial" w:hAnsi="Arial" w:cs="Arial"/>
                <w:b/>
                <w:bCs/>
                <w:color w:val="0000FF"/>
                <w:sz w:val="18"/>
                <w:szCs w:val="18"/>
              </w:rPr>
              <w:noBreakHyphen/>
              <w:t>1</w:t>
            </w:r>
            <w:r w:rsidR="0038537B">
              <w:rPr>
                <w:rFonts w:ascii="Arial" w:hAnsi="Arial" w:cs="Arial"/>
                <w:b/>
                <w:bCs/>
                <w:color w:val="0000FF"/>
                <w:sz w:val="18"/>
                <w:szCs w:val="18"/>
              </w:rPr>
              <w:t>7</w:t>
            </w:r>
            <w:r w:rsidR="00582377">
              <w:rPr>
                <w:rFonts w:ascii="Arial" w:hAnsi="Arial" w:cs="Arial"/>
                <w:b/>
                <w:bCs/>
                <w:color w:val="0000FF"/>
                <w:sz w:val="18"/>
                <w:szCs w:val="18"/>
              </w:rPr>
              <w:t xml:space="preserve"> </w:t>
            </w:r>
            <w:r>
              <w:rPr>
                <w:rFonts w:ascii="Arial" w:hAnsi="Arial" w:cs="Arial"/>
                <w:b/>
                <w:bCs/>
                <w:color w:val="0000FF"/>
                <w:sz w:val="18"/>
                <w:szCs w:val="18"/>
              </w:rPr>
              <w:t>$’000</w:t>
            </w:r>
          </w:p>
        </w:tc>
        <w:tc>
          <w:tcPr>
            <w:tcW w:w="993" w:type="dxa"/>
            <w:tcBorders>
              <w:top w:val="single" w:sz="12" w:space="0" w:color="auto"/>
              <w:left w:val="nil"/>
              <w:bottom w:val="single" w:sz="12" w:space="0" w:color="auto"/>
              <w:right w:val="nil"/>
            </w:tcBorders>
            <w:shd w:val="clear" w:color="auto" w:fill="auto"/>
            <w:noWrap/>
            <w:vAlign w:val="bottom"/>
            <w:hideMark/>
          </w:tcPr>
          <w:p w:rsidR="00EC700F" w:rsidRPr="00364A43" w:rsidRDefault="00151EAE" w:rsidP="0038537B">
            <w:pPr>
              <w:spacing w:line="260" w:lineRule="atLeast"/>
              <w:jc w:val="right"/>
              <w:rPr>
                <w:rFonts w:ascii="Arial" w:hAnsi="Arial" w:cs="Arial"/>
                <w:b/>
                <w:bCs/>
                <w:color w:val="0000FF"/>
                <w:sz w:val="18"/>
                <w:szCs w:val="18"/>
              </w:rPr>
            </w:pPr>
            <w:r>
              <w:rPr>
                <w:rFonts w:ascii="Arial" w:hAnsi="Arial" w:cs="Arial"/>
                <w:b/>
                <w:bCs/>
                <w:color w:val="0000FF"/>
                <w:sz w:val="18"/>
                <w:szCs w:val="18"/>
              </w:rPr>
              <w:t xml:space="preserve">Variance </w:t>
            </w:r>
            <w:r w:rsidR="00EC700F">
              <w:rPr>
                <w:rFonts w:ascii="Arial" w:hAnsi="Arial" w:cs="Arial"/>
                <w:b/>
                <w:bCs/>
                <w:color w:val="0000FF"/>
                <w:sz w:val="18"/>
                <w:szCs w:val="18"/>
              </w:rPr>
              <w:t>201</w:t>
            </w:r>
            <w:r w:rsidR="0038537B">
              <w:rPr>
                <w:rFonts w:ascii="Arial" w:hAnsi="Arial" w:cs="Arial"/>
                <w:b/>
                <w:bCs/>
                <w:color w:val="0000FF"/>
                <w:sz w:val="18"/>
                <w:szCs w:val="18"/>
              </w:rPr>
              <w:t>6</w:t>
            </w:r>
            <w:r w:rsidR="00EC700F">
              <w:rPr>
                <w:rFonts w:ascii="Arial" w:hAnsi="Arial" w:cs="Arial"/>
                <w:b/>
                <w:bCs/>
                <w:color w:val="0000FF"/>
                <w:sz w:val="18"/>
                <w:szCs w:val="18"/>
              </w:rPr>
              <w:noBreakHyphen/>
              <w:t>1</w:t>
            </w:r>
            <w:r w:rsidR="0038537B">
              <w:rPr>
                <w:rFonts w:ascii="Arial" w:hAnsi="Arial" w:cs="Arial"/>
                <w:b/>
                <w:bCs/>
                <w:color w:val="0000FF"/>
                <w:sz w:val="18"/>
                <w:szCs w:val="18"/>
              </w:rPr>
              <w:t>7</w:t>
            </w:r>
            <w:r w:rsidR="00582377">
              <w:rPr>
                <w:rFonts w:ascii="Arial" w:hAnsi="Arial" w:cs="Arial"/>
                <w:b/>
                <w:bCs/>
                <w:color w:val="0000FF"/>
                <w:sz w:val="18"/>
                <w:szCs w:val="18"/>
              </w:rPr>
              <w:t xml:space="preserve"> $’000</w:t>
            </w:r>
            <w:r w:rsidR="00EC700F" w:rsidRPr="00364A43">
              <w:rPr>
                <w:rFonts w:ascii="Arial" w:hAnsi="Arial" w:cs="Arial"/>
                <w:b/>
                <w:bCs/>
                <w:color w:val="0000FF"/>
                <w:sz w:val="18"/>
                <w:szCs w:val="18"/>
              </w:rPr>
              <w:t xml:space="preserve"> </w:t>
            </w:r>
          </w:p>
        </w:tc>
      </w:tr>
      <w:tr w:rsidR="00364A43" w:rsidRPr="00364A43" w:rsidTr="00D008F4">
        <w:trPr>
          <w:trHeight w:val="285"/>
        </w:trPr>
        <w:tc>
          <w:tcPr>
            <w:tcW w:w="4126" w:type="dxa"/>
            <w:tcBorders>
              <w:top w:val="single" w:sz="12" w:space="0" w:color="auto"/>
              <w:left w:val="nil"/>
              <w:bottom w:val="nil"/>
              <w:right w:val="nil"/>
            </w:tcBorders>
            <w:shd w:val="clear" w:color="auto" w:fill="auto"/>
            <w:hideMark/>
          </w:tcPr>
          <w:p w:rsidR="00364A43" w:rsidRPr="00364A43" w:rsidRDefault="00364A43" w:rsidP="00364A43">
            <w:pPr>
              <w:rPr>
                <w:rFonts w:ascii="Arial" w:hAnsi="Arial" w:cs="Arial"/>
                <w:b/>
                <w:bCs/>
                <w:color w:val="0000FF"/>
                <w:sz w:val="18"/>
                <w:szCs w:val="18"/>
              </w:rPr>
            </w:pPr>
          </w:p>
        </w:tc>
        <w:tc>
          <w:tcPr>
            <w:tcW w:w="992" w:type="dxa"/>
            <w:tcBorders>
              <w:top w:val="single" w:sz="12" w:space="0" w:color="auto"/>
              <w:left w:val="nil"/>
              <w:bottom w:val="nil"/>
              <w:right w:val="nil"/>
            </w:tcBorders>
            <w:shd w:val="clear" w:color="auto" w:fill="auto"/>
            <w:noWrap/>
            <w:hideMark/>
          </w:tcPr>
          <w:p w:rsidR="00364A43" w:rsidRPr="00364A43" w:rsidRDefault="00364A43" w:rsidP="00151EAE">
            <w:pPr>
              <w:jc w:val="right"/>
              <w:rPr>
                <w:rFonts w:ascii="Arial" w:hAnsi="Arial" w:cs="Arial"/>
                <w:color w:val="0000FF"/>
                <w:sz w:val="18"/>
                <w:szCs w:val="18"/>
              </w:rPr>
            </w:pPr>
            <w:r w:rsidRPr="00364A43">
              <w:rPr>
                <w:rFonts w:ascii="Arial" w:hAnsi="Arial" w:cs="Arial"/>
                <w:color w:val="0000FF"/>
                <w:sz w:val="18"/>
                <w:szCs w:val="18"/>
              </w:rPr>
              <w:t>(a)</w:t>
            </w:r>
          </w:p>
        </w:tc>
        <w:tc>
          <w:tcPr>
            <w:tcW w:w="1134" w:type="dxa"/>
            <w:tcBorders>
              <w:top w:val="single" w:sz="12" w:space="0" w:color="auto"/>
              <w:left w:val="nil"/>
              <w:bottom w:val="nil"/>
              <w:right w:val="nil"/>
            </w:tcBorders>
            <w:shd w:val="clear" w:color="auto" w:fill="auto"/>
            <w:noWrap/>
            <w:hideMark/>
          </w:tcPr>
          <w:p w:rsidR="00364A43" w:rsidRPr="00364A43" w:rsidRDefault="00364A43" w:rsidP="002E13FA">
            <w:pPr>
              <w:jc w:val="right"/>
              <w:rPr>
                <w:rFonts w:ascii="Arial" w:hAnsi="Arial" w:cs="Arial"/>
                <w:color w:val="0000FF"/>
                <w:sz w:val="18"/>
                <w:szCs w:val="18"/>
              </w:rPr>
            </w:pPr>
            <w:r w:rsidRPr="00364A43">
              <w:rPr>
                <w:rFonts w:ascii="Arial" w:hAnsi="Arial" w:cs="Arial"/>
                <w:color w:val="0000FF"/>
                <w:sz w:val="18"/>
                <w:szCs w:val="18"/>
              </w:rPr>
              <w:t>(b)</w:t>
            </w:r>
          </w:p>
        </w:tc>
        <w:tc>
          <w:tcPr>
            <w:tcW w:w="993" w:type="dxa"/>
            <w:tcBorders>
              <w:top w:val="single" w:sz="12" w:space="0" w:color="auto"/>
              <w:left w:val="nil"/>
              <w:bottom w:val="nil"/>
              <w:right w:val="nil"/>
            </w:tcBorders>
            <w:shd w:val="clear" w:color="auto" w:fill="auto"/>
            <w:noWrap/>
            <w:hideMark/>
          </w:tcPr>
          <w:p w:rsidR="00364A43" w:rsidRPr="00364A43" w:rsidRDefault="00364A43" w:rsidP="002E13FA">
            <w:pPr>
              <w:jc w:val="right"/>
              <w:rPr>
                <w:rFonts w:ascii="Arial" w:hAnsi="Arial" w:cs="Arial"/>
                <w:color w:val="0000FF"/>
                <w:sz w:val="18"/>
                <w:szCs w:val="18"/>
              </w:rPr>
            </w:pPr>
            <w:r w:rsidRPr="00364A43">
              <w:rPr>
                <w:rFonts w:ascii="Arial" w:hAnsi="Arial" w:cs="Arial"/>
                <w:color w:val="0000FF"/>
                <w:sz w:val="18"/>
                <w:szCs w:val="18"/>
              </w:rPr>
              <w:t>(a) - (b)</w:t>
            </w:r>
          </w:p>
        </w:tc>
      </w:tr>
      <w:tr w:rsidR="00364A43" w:rsidRPr="00364A43" w:rsidTr="002E13FA">
        <w:trPr>
          <w:trHeight w:val="525"/>
        </w:trPr>
        <w:tc>
          <w:tcPr>
            <w:tcW w:w="4126" w:type="dxa"/>
            <w:tcBorders>
              <w:top w:val="nil"/>
              <w:left w:val="nil"/>
              <w:bottom w:val="nil"/>
              <w:right w:val="nil"/>
            </w:tcBorders>
            <w:shd w:val="clear" w:color="auto" w:fill="auto"/>
            <w:hideMark/>
          </w:tcPr>
          <w:p w:rsidR="004C7FC2" w:rsidRPr="00364A43" w:rsidRDefault="00CD5F72" w:rsidP="002E13FA">
            <w:pPr>
              <w:rPr>
                <w:rFonts w:ascii="Arial" w:hAnsi="Arial" w:cs="Arial"/>
                <w:color w:val="0000FF"/>
                <w:sz w:val="18"/>
                <w:szCs w:val="18"/>
              </w:rPr>
            </w:pPr>
            <w:r>
              <w:rPr>
                <w:rFonts w:ascii="Arial" w:hAnsi="Arial" w:cs="Arial"/>
                <w:b/>
                <w:color w:val="0000FF"/>
                <w:sz w:val="18"/>
                <w:szCs w:val="18"/>
              </w:rPr>
              <w:t>Program</w:t>
            </w:r>
            <w:r w:rsidR="004C7FC2" w:rsidRPr="004C7FC2">
              <w:rPr>
                <w:rFonts w:ascii="Arial" w:hAnsi="Arial" w:cs="Arial"/>
                <w:b/>
                <w:color w:val="0000FF"/>
                <w:sz w:val="18"/>
                <w:szCs w:val="18"/>
              </w:rPr>
              <w:t xml:space="preserve"> 1.1: Legislative drafting</w:t>
            </w:r>
            <w:r w:rsidR="00EC700F">
              <w:rPr>
                <w:rFonts w:ascii="Arial" w:hAnsi="Arial" w:cs="Arial"/>
                <w:b/>
                <w:color w:val="0000FF"/>
                <w:sz w:val="18"/>
                <w:szCs w:val="18"/>
              </w:rPr>
              <w:t xml:space="preserve"> and publication</w:t>
            </w:r>
          </w:p>
        </w:tc>
        <w:tc>
          <w:tcPr>
            <w:tcW w:w="992" w:type="dxa"/>
            <w:tcBorders>
              <w:top w:val="nil"/>
              <w:left w:val="nil"/>
              <w:bottom w:val="nil"/>
              <w:right w:val="nil"/>
            </w:tcBorders>
            <w:shd w:val="clear" w:color="auto" w:fill="auto"/>
            <w:hideMark/>
          </w:tcPr>
          <w:p w:rsidR="00364A43" w:rsidRPr="00364A43" w:rsidRDefault="00364A43" w:rsidP="00364A43">
            <w:pPr>
              <w:jc w:val="right"/>
              <w:rPr>
                <w:rFonts w:ascii="Arial" w:hAnsi="Arial" w:cs="Arial"/>
                <w:color w:val="0000FF"/>
                <w:sz w:val="18"/>
                <w:szCs w:val="18"/>
              </w:rPr>
            </w:pPr>
            <w:r w:rsidRPr="00364A43">
              <w:rPr>
                <w:rFonts w:ascii="Arial" w:hAnsi="Arial" w:cs="Arial"/>
                <w:color w:val="0000FF"/>
                <w:sz w:val="18"/>
                <w:szCs w:val="18"/>
              </w:rPr>
              <w:t xml:space="preserve"> </w:t>
            </w:r>
          </w:p>
        </w:tc>
        <w:tc>
          <w:tcPr>
            <w:tcW w:w="1134" w:type="dxa"/>
            <w:tcBorders>
              <w:top w:val="nil"/>
              <w:left w:val="nil"/>
              <w:bottom w:val="nil"/>
              <w:right w:val="nil"/>
            </w:tcBorders>
            <w:shd w:val="clear" w:color="auto" w:fill="auto"/>
            <w:hideMark/>
          </w:tcPr>
          <w:p w:rsidR="00364A43" w:rsidRPr="00364A43" w:rsidRDefault="00364A43" w:rsidP="00364A43">
            <w:pPr>
              <w:jc w:val="right"/>
              <w:rPr>
                <w:rFonts w:ascii="Arial" w:hAnsi="Arial" w:cs="Arial"/>
                <w:color w:val="0000FF"/>
                <w:sz w:val="18"/>
                <w:szCs w:val="18"/>
              </w:rPr>
            </w:pPr>
            <w:r w:rsidRPr="00364A43">
              <w:rPr>
                <w:rFonts w:ascii="Arial" w:hAnsi="Arial" w:cs="Arial"/>
                <w:color w:val="0000FF"/>
                <w:sz w:val="18"/>
                <w:szCs w:val="18"/>
              </w:rPr>
              <w:t xml:space="preserve"> </w:t>
            </w:r>
          </w:p>
        </w:tc>
        <w:tc>
          <w:tcPr>
            <w:tcW w:w="993" w:type="dxa"/>
            <w:tcBorders>
              <w:top w:val="nil"/>
              <w:left w:val="nil"/>
              <w:bottom w:val="nil"/>
              <w:right w:val="nil"/>
            </w:tcBorders>
            <w:shd w:val="clear" w:color="auto" w:fill="auto"/>
            <w:hideMark/>
          </w:tcPr>
          <w:p w:rsidR="00364A43" w:rsidRPr="00364A43" w:rsidRDefault="00364A43" w:rsidP="00364A43">
            <w:pPr>
              <w:jc w:val="right"/>
              <w:rPr>
                <w:rFonts w:ascii="Arial" w:hAnsi="Arial" w:cs="Arial"/>
                <w:color w:val="0000FF"/>
                <w:sz w:val="18"/>
                <w:szCs w:val="18"/>
              </w:rPr>
            </w:pPr>
            <w:r w:rsidRPr="00364A43">
              <w:rPr>
                <w:rFonts w:ascii="Arial" w:hAnsi="Arial" w:cs="Arial"/>
                <w:color w:val="0000FF"/>
                <w:sz w:val="18"/>
                <w:szCs w:val="18"/>
              </w:rPr>
              <w:t xml:space="preserve"> </w:t>
            </w:r>
          </w:p>
        </w:tc>
      </w:tr>
      <w:tr w:rsidR="002E13FA" w:rsidRPr="00364A43" w:rsidTr="002E13FA">
        <w:trPr>
          <w:trHeight w:val="279"/>
        </w:trPr>
        <w:tc>
          <w:tcPr>
            <w:tcW w:w="4126" w:type="dxa"/>
            <w:tcBorders>
              <w:top w:val="nil"/>
              <w:left w:val="nil"/>
              <w:bottom w:val="nil"/>
              <w:right w:val="nil"/>
            </w:tcBorders>
            <w:shd w:val="clear" w:color="auto" w:fill="auto"/>
          </w:tcPr>
          <w:p w:rsidR="002E13FA" w:rsidRPr="00364A43" w:rsidRDefault="002E13FA" w:rsidP="00F241D9">
            <w:pPr>
              <w:rPr>
                <w:rFonts w:ascii="Arial" w:hAnsi="Arial" w:cs="Arial"/>
                <w:color w:val="0000FF"/>
                <w:sz w:val="18"/>
                <w:szCs w:val="18"/>
              </w:rPr>
            </w:pPr>
            <w:r>
              <w:rPr>
                <w:rFonts w:ascii="Arial" w:hAnsi="Arial" w:cs="Arial"/>
                <w:color w:val="0000FF"/>
                <w:sz w:val="18"/>
                <w:szCs w:val="18"/>
              </w:rPr>
              <w:t>Departmental expenses</w:t>
            </w:r>
          </w:p>
        </w:tc>
        <w:tc>
          <w:tcPr>
            <w:tcW w:w="992" w:type="dxa"/>
            <w:tcBorders>
              <w:top w:val="nil"/>
              <w:left w:val="nil"/>
              <w:bottom w:val="nil"/>
              <w:right w:val="nil"/>
            </w:tcBorders>
            <w:shd w:val="clear" w:color="auto" w:fill="auto"/>
          </w:tcPr>
          <w:p w:rsidR="002E13FA" w:rsidRPr="00364A43" w:rsidRDefault="002E13FA" w:rsidP="00614CF3">
            <w:pPr>
              <w:jc w:val="right"/>
              <w:rPr>
                <w:rFonts w:ascii="Arial" w:hAnsi="Arial" w:cs="Arial"/>
                <w:color w:val="0000FF"/>
                <w:sz w:val="18"/>
                <w:szCs w:val="18"/>
              </w:rPr>
            </w:pPr>
          </w:p>
        </w:tc>
        <w:tc>
          <w:tcPr>
            <w:tcW w:w="1134" w:type="dxa"/>
            <w:tcBorders>
              <w:top w:val="nil"/>
              <w:left w:val="nil"/>
              <w:bottom w:val="nil"/>
              <w:right w:val="nil"/>
            </w:tcBorders>
            <w:shd w:val="clear" w:color="auto" w:fill="auto"/>
          </w:tcPr>
          <w:p w:rsidR="002E13FA" w:rsidRPr="00364A43" w:rsidRDefault="002E13FA" w:rsidP="008610A0">
            <w:pPr>
              <w:jc w:val="right"/>
              <w:rPr>
                <w:rFonts w:ascii="Arial" w:hAnsi="Arial" w:cs="Arial"/>
                <w:color w:val="0000FF"/>
                <w:sz w:val="18"/>
                <w:szCs w:val="18"/>
              </w:rPr>
            </w:pPr>
          </w:p>
        </w:tc>
        <w:tc>
          <w:tcPr>
            <w:tcW w:w="993" w:type="dxa"/>
            <w:tcBorders>
              <w:top w:val="nil"/>
              <w:left w:val="nil"/>
              <w:bottom w:val="nil"/>
              <w:right w:val="nil"/>
            </w:tcBorders>
            <w:shd w:val="clear" w:color="auto" w:fill="auto"/>
          </w:tcPr>
          <w:p w:rsidR="002E13FA" w:rsidRPr="00364A43" w:rsidRDefault="002E13FA" w:rsidP="00937758">
            <w:pPr>
              <w:jc w:val="right"/>
              <w:rPr>
                <w:rFonts w:ascii="Arial" w:hAnsi="Arial" w:cs="Arial"/>
                <w:color w:val="0000FF"/>
                <w:sz w:val="18"/>
                <w:szCs w:val="18"/>
              </w:rPr>
            </w:pPr>
          </w:p>
        </w:tc>
      </w:tr>
      <w:tr w:rsidR="00364A43" w:rsidRPr="00364A43" w:rsidTr="00BB38CC">
        <w:trPr>
          <w:trHeight w:val="179"/>
        </w:trPr>
        <w:tc>
          <w:tcPr>
            <w:tcW w:w="4126" w:type="dxa"/>
            <w:tcBorders>
              <w:top w:val="nil"/>
              <w:left w:val="nil"/>
              <w:bottom w:val="nil"/>
              <w:right w:val="nil"/>
            </w:tcBorders>
            <w:shd w:val="clear" w:color="auto" w:fill="auto"/>
            <w:hideMark/>
          </w:tcPr>
          <w:p w:rsidR="00364A43" w:rsidRPr="00364A43" w:rsidRDefault="00364A43" w:rsidP="00F241D9">
            <w:pPr>
              <w:rPr>
                <w:rFonts w:ascii="Arial" w:hAnsi="Arial" w:cs="Arial"/>
                <w:color w:val="0000FF"/>
                <w:sz w:val="18"/>
                <w:szCs w:val="18"/>
              </w:rPr>
            </w:pPr>
            <w:r w:rsidRPr="00364A43">
              <w:rPr>
                <w:rFonts w:ascii="Arial" w:hAnsi="Arial" w:cs="Arial"/>
                <w:color w:val="0000FF"/>
                <w:sz w:val="18"/>
                <w:szCs w:val="18"/>
              </w:rPr>
              <w:t xml:space="preserve">   </w:t>
            </w:r>
            <w:r w:rsidR="004C7FC2" w:rsidRPr="006B2223">
              <w:rPr>
                <w:rFonts w:ascii="Arial" w:hAnsi="Arial" w:cs="Arial"/>
                <w:color w:val="0000FF"/>
                <w:sz w:val="18"/>
                <w:szCs w:val="18"/>
                <w:lang w:val="en-US"/>
              </w:rPr>
              <w:t xml:space="preserve">Ordinary </w:t>
            </w:r>
            <w:r w:rsidR="00937758" w:rsidRPr="006B2223">
              <w:rPr>
                <w:rFonts w:ascii="Arial" w:hAnsi="Arial" w:cs="Arial"/>
                <w:color w:val="0000FF"/>
                <w:sz w:val="18"/>
                <w:szCs w:val="18"/>
                <w:lang w:val="en-US"/>
              </w:rPr>
              <w:t xml:space="preserve">annual </w:t>
            </w:r>
            <w:r w:rsidR="004C7FC2" w:rsidRPr="006B2223">
              <w:rPr>
                <w:rFonts w:ascii="Arial" w:hAnsi="Arial" w:cs="Arial"/>
                <w:color w:val="0000FF"/>
                <w:sz w:val="18"/>
                <w:szCs w:val="18"/>
                <w:lang w:val="en-US"/>
              </w:rPr>
              <w:t>services (Appropriation Bill</w:t>
            </w:r>
          </w:p>
        </w:tc>
        <w:tc>
          <w:tcPr>
            <w:tcW w:w="992" w:type="dxa"/>
            <w:tcBorders>
              <w:top w:val="nil"/>
              <w:left w:val="nil"/>
              <w:bottom w:val="nil"/>
              <w:right w:val="nil"/>
            </w:tcBorders>
            <w:shd w:val="clear" w:color="auto" w:fill="auto"/>
            <w:hideMark/>
          </w:tcPr>
          <w:p w:rsidR="00364A43" w:rsidRPr="00364A43" w:rsidRDefault="00364A43" w:rsidP="00614CF3">
            <w:pPr>
              <w:jc w:val="right"/>
              <w:rPr>
                <w:rFonts w:ascii="Arial" w:hAnsi="Arial" w:cs="Arial"/>
                <w:color w:val="0000FF"/>
                <w:sz w:val="18"/>
                <w:szCs w:val="18"/>
              </w:rPr>
            </w:pPr>
          </w:p>
        </w:tc>
        <w:tc>
          <w:tcPr>
            <w:tcW w:w="1134" w:type="dxa"/>
            <w:tcBorders>
              <w:top w:val="nil"/>
              <w:left w:val="nil"/>
              <w:bottom w:val="nil"/>
              <w:right w:val="nil"/>
            </w:tcBorders>
            <w:shd w:val="clear" w:color="auto" w:fill="auto"/>
            <w:hideMark/>
          </w:tcPr>
          <w:p w:rsidR="0010089E" w:rsidRPr="00364A43" w:rsidRDefault="0010089E" w:rsidP="008610A0">
            <w:pPr>
              <w:jc w:val="right"/>
              <w:rPr>
                <w:rFonts w:ascii="Arial" w:hAnsi="Arial" w:cs="Arial"/>
                <w:color w:val="0000FF"/>
                <w:sz w:val="18"/>
                <w:szCs w:val="18"/>
              </w:rPr>
            </w:pPr>
          </w:p>
        </w:tc>
        <w:tc>
          <w:tcPr>
            <w:tcW w:w="993" w:type="dxa"/>
            <w:tcBorders>
              <w:top w:val="nil"/>
              <w:left w:val="nil"/>
              <w:bottom w:val="nil"/>
              <w:right w:val="nil"/>
            </w:tcBorders>
            <w:shd w:val="clear" w:color="auto" w:fill="auto"/>
            <w:hideMark/>
          </w:tcPr>
          <w:p w:rsidR="00364A43" w:rsidRPr="00364A43" w:rsidRDefault="00364A43" w:rsidP="00937758">
            <w:pPr>
              <w:jc w:val="right"/>
              <w:rPr>
                <w:rFonts w:ascii="Arial" w:hAnsi="Arial" w:cs="Arial"/>
                <w:color w:val="0000FF"/>
                <w:sz w:val="18"/>
                <w:szCs w:val="18"/>
              </w:rPr>
            </w:pPr>
          </w:p>
        </w:tc>
      </w:tr>
      <w:tr w:rsidR="008610A0" w:rsidRPr="002E22E0" w:rsidTr="00BB38CC">
        <w:trPr>
          <w:trHeight w:val="268"/>
        </w:trPr>
        <w:tc>
          <w:tcPr>
            <w:tcW w:w="4126" w:type="dxa"/>
            <w:tcBorders>
              <w:top w:val="nil"/>
              <w:left w:val="nil"/>
              <w:bottom w:val="nil"/>
              <w:right w:val="nil"/>
            </w:tcBorders>
            <w:shd w:val="clear" w:color="auto" w:fill="auto"/>
          </w:tcPr>
          <w:p w:rsidR="008610A0" w:rsidRPr="00364A43" w:rsidRDefault="008610A0" w:rsidP="00F241D9">
            <w:pPr>
              <w:rPr>
                <w:rFonts w:ascii="Arial" w:hAnsi="Arial" w:cs="Arial"/>
                <w:color w:val="0000FF"/>
                <w:sz w:val="18"/>
                <w:szCs w:val="18"/>
              </w:rPr>
            </w:pPr>
            <w:r>
              <w:rPr>
                <w:rFonts w:ascii="Arial" w:hAnsi="Arial" w:cs="Arial"/>
                <w:color w:val="0000FF"/>
                <w:sz w:val="18"/>
                <w:szCs w:val="18"/>
              </w:rPr>
              <w:t xml:space="preserve">   No. 1)</w:t>
            </w:r>
          </w:p>
        </w:tc>
        <w:tc>
          <w:tcPr>
            <w:tcW w:w="992" w:type="dxa"/>
            <w:tcBorders>
              <w:top w:val="nil"/>
              <w:left w:val="nil"/>
              <w:bottom w:val="nil"/>
              <w:right w:val="nil"/>
            </w:tcBorders>
            <w:shd w:val="clear" w:color="auto" w:fill="auto"/>
          </w:tcPr>
          <w:p w:rsidR="008610A0" w:rsidRPr="00425369" w:rsidRDefault="00425369" w:rsidP="007C4FEA">
            <w:pPr>
              <w:jc w:val="right"/>
              <w:rPr>
                <w:rFonts w:ascii="Arial" w:hAnsi="Arial" w:cs="Arial"/>
                <w:color w:val="0000FF"/>
                <w:sz w:val="18"/>
                <w:szCs w:val="18"/>
              </w:rPr>
            </w:pPr>
            <w:r w:rsidRPr="00425369">
              <w:rPr>
                <w:rFonts w:ascii="Arial" w:hAnsi="Arial" w:cs="Arial"/>
                <w:color w:val="0000FF"/>
                <w:sz w:val="18"/>
                <w:szCs w:val="18"/>
              </w:rPr>
              <w:t>13,773</w:t>
            </w:r>
          </w:p>
        </w:tc>
        <w:tc>
          <w:tcPr>
            <w:tcW w:w="1134" w:type="dxa"/>
            <w:tcBorders>
              <w:top w:val="nil"/>
              <w:left w:val="nil"/>
              <w:bottom w:val="nil"/>
              <w:right w:val="nil"/>
            </w:tcBorders>
            <w:shd w:val="clear" w:color="auto" w:fill="auto"/>
          </w:tcPr>
          <w:p w:rsidR="008610A0" w:rsidRPr="00425369" w:rsidRDefault="00D61439" w:rsidP="00425369">
            <w:pPr>
              <w:jc w:val="right"/>
              <w:rPr>
                <w:rFonts w:ascii="Arial" w:hAnsi="Arial" w:cs="Arial"/>
                <w:color w:val="0000FF"/>
                <w:sz w:val="18"/>
                <w:szCs w:val="18"/>
              </w:rPr>
            </w:pPr>
            <w:r w:rsidRPr="00425369">
              <w:rPr>
                <w:rFonts w:ascii="Arial" w:hAnsi="Arial" w:cs="Arial"/>
                <w:color w:val="0000FF"/>
                <w:sz w:val="18"/>
                <w:szCs w:val="18"/>
              </w:rPr>
              <w:t>13,</w:t>
            </w:r>
            <w:r w:rsidR="00425369">
              <w:rPr>
                <w:rFonts w:ascii="Arial" w:hAnsi="Arial" w:cs="Arial"/>
                <w:color w:val="0000FF"/>
                <w:sz w:val="18"/>
                <w:szCs w:val="18"/>
              </w:rPr>
              <w:t>336</w:t>
            </w:r>
          </w:p>
        </w:tc>
        <w:tc>
          <w:tcPr>
            <w:tcW w:w="993" w:type="dxa"/>
            <w:tcBorders>
              <w:top w:val="nil"/>
              <w:left w:val="nil"/>
              <w:bottom w:val="nil"/>
              <w:right w:val="nil"/>
            </w:tcBorders>
            <w:shd w:val="clear" w:color="auto" w:fill="auto"/>
          </w:tcPr>
          <w:p w:rsidR="008610A0" w:rsidRPr="00425369" w:rsidRDefault="00425369" w:rsidP="00937758">
            <w:pPr>
              <w:jc w:val="right"/>
              <w:rPr>
                <w:rFonts w:ascii="Arial" w:hAnsi="Arial" w:cs="Arial"/>
                <w:color w:val="0000FF"/>
                <w:sz w:val="18"/>
                <w:szCs w:val="18"/>
              </w:rPr>
            </w:pPr>
            <w:r>
              <w:rPr>
                <w:rFonts w:ascii="Arial" w:hAnsi="Arial" w:cs="Arial"/>
                <w:color w:val="0000FF"/>
                <w:sz w:val="18"/>
                <w:szCs w:val="18"/>
              </w:rPr>
              <w:t>437</w:t>
            </w:r>
          </w:p>
        </w:tc>
      </w:tr>
      <w:tr w:rsidR="00364A43" w:rsidRPr="002E22E0" w:rsidTr="00BB38CC">
        <w:trPr>
          <w:trHeight w:val="130"/>
        </w:trPr>
        <w:tc>
          <w:tcPr>
            <w:tcW w:w="4126" w:type="dxa"/>
            <w:tcBorders>
              <w:top w:val="nil"/>
              <w:left w:val="nil"/>
              <w:bottom w:val="nil"/>
              <w:right w:val="nil"/>
            </w:tcBorders>
            <w:shd w:val="clear" w:color="auto" w:fill="auto"/>
            <w:hideMark/>
          </w:tcPr>
          <w:p w:rsidR="00364A43" w:rsidRPr="00364A43" w:rsidRDefault="00364A43" w:rsidP="00C01EBB">
            <w:pPr>
              <w:rPr>
                <w:rFonts w:ascii="Arial" w:hAnsi="Arial" w:cs="Arial"/>
                <w:color w:val="0000FF"/>
                <w:sz w:val="18"/>
                <w:szCs w:val="18"/>
              </w:rPr>
            </w:pPr>
            <w:r w:rsidRPr="00364A43">
              <w:rPr>
                <w:rFonts w:ascii="Arial" w:hAnsi="Arial" w:cs="Arial"/>
                <w:color w:val="0000FF"/>
                <w:sz w:val="18"/>
                <w:szCs w:val="18"/>
              </w:rPr>
              <w:t xml:space="preserve">   </w:t>
            </w:r>
            <w:r w:rsidR="00C01EBB">
              <w:rPr>
                <w:rFonts w:ascii="Arial" w:hAnsi="Arial" w:cs="Arial"/>
                <w:color w:val="0000FF"/>
                <w:sz w:val="18"/>
                <w:szCs w:val="18"/>
              </w:rPr>
              <w:t>Retained revenue receipts</w:t>
            </w:r>
            <w:r w:rsidRPr="00364A43">
              <w:rPr>
                <w:rFonts w:ascii="Arial" w:hAnsi="Arial" w:cs="Arial"/>
                <w:color w:val="0000FF"/>
                <w:sz w:val="18"/>
                <w:szCs w:val="18"/>
              </w:rPr>
              <w:t xml:space="preserve"> (s</w:t>
            </w:r>
            <w:r w:rsidR="004C7FC2">
              <w:rPr>
                <w:rFonts w:ascii="Arial" w:hAnsi="Arial" w:cs="Arial"/>
                <w:color w:val="0000FF"/>
                <w:sz w:val="18"/>
                <w:szCs w:val="18"/>
              </w:rPr>
              <w:t>ection</w:t>
            </w:r>
          </w:p>
        </w:tc>
        <w:tc>
          <w:tcPr>
            <w:tcW w:w="992" w:type="dxa"/>
            <w:tcBorders>
              <w:top w:val="nil"/>
              <w:left w:val="nil"/>
              <w:bottom w:val="nil"/>
              <w:right w:val="nil"/>
            </w:tcBorders>
            <w:shd w:val="clear" w:color="auto" w:fill="auto"/>
          </w:tcPr>
          <w:p w:rsidR="00364A43" w:rsidRPr="00425369" w:rsidRDefault="00364A43" w:rsidP="00614CF3">
            <w:pPr>
              <w:jc w:val="right"/>
              <w:rPr>
                <w:rFonts w:ascii="Arial" w:hAnsi="Arial" w:cs="Arial"/>
                <w:color w:val="0000FF"/>
                <w:sz w:val="18"/>
                <w:szCs w:val="18"/>
              </w:rPr>
            </w:pPr>
          </w:p>
        </w:tc>
        <w:tc>
          <w:tcPr>
            <w:tcW w:w="1134" w:type="dxa"/>
            <w:tcBorders>
              <w:top w:val="nil"/>
              <w:left w:val="nil"/>
              <w:bottom w:val="nil"/>
              <w:right w:val="nil"/>
            </w:tcBorders>
            <w:shd w:val="clear" w:color="auto" w:fill="auto"/>
          </w:tcPr>
          <w:p w:rsidR="00364A43" w:rsidRPr="00425369" w:rsidRDefault="00364A43" w:rsidP="00DF6873">
            <w:pPr>
              <w:jc w:val="right"/>
              <w:rPr>
                <w:rFonts w:ascii="Arial" w:hAnsi="Arial" w:cs="Arial"/>
                <w:color w:val="0000FF"/>
                <w:sz w:val="18"/>
                <w:szCs w:val="18"/>
              </w:rPr>
            </w:pPr>
          </w:p>
        </w:tc>
        <w:tc>
          <w:tcPr>
            <w:tcW w:w="993" w:type="dxa"/>
            <w:tcBorders>
              <w:top w:val="nil"/>
              <w:left w:val="nil"/>
              <w:bottom w:val="nil"/>
              <w:right w:val="nil"/>
            </w:tcBorders>
            <w:shd w:val="clear" w:color="auto" w:fill="auto"/>
          </w:tcPr>
          <w:p w:rsidR="00364A43" w:rsidRPr="00425369" w:rsidRDefault="00364A43" w:rsidP="00FC65F4">
            <w:pPr>
              <w:jc w:val="right"/>
              <w:rPr>
                <w:rFonts w:ascii="Arial" w:hAnsi="Arial" w:cs="Arial"/>
                <w:color w:val="0000FF"/>
                <w:sz w:val="18"/>
                <w:szCs w:val="18"/>
              </w:rPr>
            </w:pPr>
          </w:p>
        </w:tc>
      </w:tr>
      <w:tr w:rsidR="00F241D9" w:rsidRPr="002E22E0" w:rsidTr="00F241D9">
        <w:trPr>
          <w:trHeight w:val="285"/>
        </w:trPr>
        <w:tc>
          <w:tcPr>
            <w:tcW w:w="4126" w:type="dxa"/>
            <w:tcBorders>
              <w:top w:val="nil"/>
              <w:left w:val="nil"/>
              <w:bottom w:val="nil"/>
              <w:right w:val="nil"/>
            </w:tcBorders>
            <w:shd w:val="clear" w:color="auto" w:fill="auto"/>
          </w:tcPr>
          <w:p w:rsidR="00F241D9" w:rsidRPr="00364A43" w:rsidRDefault="00F241D9" w:rsidP="00C01EBB">
            <w:pPr>
              <w:rPr>
                <w:rFonts w:ascii="Arial" w:hAnsi="Arial" w:cs="Arial"/>
                <w:color w:val="0000FF"/>
                <w:sz w:val="18"/>
                <w:szCs w:val="18"/>
              </w:rPr>
            </w:pPr>
            <w:r>
              <w:rPr>
                <w:rFonts w:ascii="Arial" w:hAnsi="Arial" w:cs="Arial"/>
                <w:color w:val="0000FF"/>
                <w:sz w:val="18"/>
                <w:szCs w:val="18"/>
              </w:rPr>
              <w:t xml:space="preserve">   </w:t>
            </w:r>
            <w:r w:rsidR="00C01EBB">
              <w:rPr>
                <w:rFonts w:ascii="Arial" w:hAnsi="Arial" w:cs="Arial"/>
                <w:color w:val="0000FF"/>
                <w:sz w:val="18"/>
                <w:szCs w:val="18"/>
              </w:rPr>
              <w:t>74</w:t>
            </w:r>
            <w:r>
              <w:rPr>
                <w:rFonts w:ascii="Arial" w:hAnsi="Arial" w:cs="Arial"/>
                <w:color w:val="0000FF"/>
                <w:sz w:val="18"/>
                <w:szCs w:val="18"/>
              </w:rPr>
              <w:t>)</w:t>
            </w:r>
          </w:p>
        </w:tc>
        <w:tc>
          <w:tcPr>
            <w:tcW w:w="992" w:type="dxa"/>
            <w:tcBorders>
              <w:top w:val="nil"/>
              <w:left w:val="nil"/>
              <w:bottom w:val="nil"/>
              <w:right w:val="nil"/>
            </w:tcBorders>
            <w:shd w:val="clear" w:color="auto" w:fill="auto"/>
          </w:tcPr>
          <w:p w:rsidR="00F241D9" w:rsidRPr="00425369" w:rsidRDefault="007C4FEA" w:rsidP="00425369">
            <w:pPr>
              <w:jc w:val="right"/>
              <w:rPr>
                <w:rFonts w:ascii="Arial" w:hAnsi="Arial" w:cs="Arial"/>
                <w:color w:val="0000FF"/>
                <w:sz w:val="18"/>
                <w:szCs w:val="18"/>
              </w:rPr>
            </w:pPr>
            <w:r w:rsidRPr="00425369">
              <w:rPr>
                <w:rFonts w:ascii="Arial" w:hAnsi="Arial" w:cs="Arial"/>
                <w:color w:val="0000FF"/>
                <w:sz w:val="18"/>
                <w:szCs w:val="18"/>
              </w:rPr>
              <w:t>6,2</w:t>
            </w:r>
            <w:r w:rsidR="00425369">
              <w:rPr>
                <w:rFonts w:ascii="Arial" w:hAnsi="Arial" w:cs="Arial"/>
                <w:color w:val="0000FF"/>
                <w:sz w:val="18"/>
                <w:szCs w:val="18"/>
              </w:rPr>
              <w:t>46</w:t>
            </w:r>
          </w:p>
        </w:tc>
        <w:tc>
          <w:tcPr>
            <w:tcW w:w="1134" w:type="dxa"/>
            <w:tcBorders>
              <w:top w:val="nil"/>
              <w:left w:val="nil"/>
              <w:bottom w:val="nil"/>
              <w:right w:val="nil"/>
            </w:tcBorders>
            <w:shd w:val="clear" w:color="auto" w:fill="auto"/>
          </w:tcPr>
          <w:p w:rsidR="00F241D9" w:rsidRPr="00425369" w:rsidRDefault="00D61439" w:rsidP="00425369">
            <w:pPr>
              <w:jc w:val="right"/>
              <w:rPr>
                <w:rFonts w:ascii="Arial" w:hAnsi="Arial" w:cs="Arial"/>
                <w:color w:val="0000FF"/>
                <w:sz w:val="18"/>
                <w:szCs w:val="18"/>
              </w:rPr>
            </w:pPr>
            <w:r w:rsidRPr="00425369">
              <w:rPr>
                <w:rFonts w:ascii="Arial" w:hAnsi="Arial" w:cs="Arial"/>
                <w:color w:val="0000FF"/>
                <w:sz w:val="18"/>
                <w:szCs w:val="18"/>
              </w:rPr>
              <w:t>6,</w:t>
            </w:r>
            <w:r w:rsidR="00425369">
              <w:rPr>
                <w:rFonts w:ascii="Arial" w:hAnsi="Arial" w:cs="Arial"/>
                <w:color w:val="0000FF"/>
                <w:sz w:val="18"/>
                <w:szCs w:val="18"/>
              </w:rPr>
              <w:t>550</w:t>
            </w:r>
          </w:p>
        </w:tc>
        <w:tc>
          <w:tcPr>
            <w:tcW w:w="993" w:type="dxa"/>
            <w:tcBorders>
              <w:top w:val="nil"/>
              <w:left w:val="nil"/>
              <w:bottom w:val="nil"/>
              <w:right w:val="nil"/>
            </w:tcBorders>
            <w:shd w:val="clear" w:color="auto" w:fill="auto"/>
          </w:tcPr>
          <w:p w:rsidR="00F241D9" w:rsidRPr="00425369" w:rsidRDefault="00F241D9" w:rsidP="00425369">
            <w:pPr>
              <w:jc w:val="right"/>
              <w:rPr>
                <w:rFonts w:ascii="Arial" w:hAnsi="Arial" w:cs="Arial"/>
                <w:color w:val="0000FF"/>
                <w:sz w:val="18"/>
                <w:szCs w:val="18"/>
              </w:rPr>
            </w:pPr>
            <w:r w:rsidRPr="00425369">
              <w:rPr>
                <w:rFonts w:ascii="Arial" w:hAnsi="Arial" w:cs="Arial"/>
                <w:color w:val="0000FF"/>
                <w:sz w:val="18"/>
                <w:szCs w:val="18"/>
              </w:rPr>
              <w:t>(</w:t>
            </w:r>
            <w:r w:rsidR="00D61439" w:rsidRPr="00425369">
              <w:rPr>
                <w:rFonts w:ascii="Arial" w:hAnsi="Arial" w:cs="Arial"/>
                <w:color w:val="0000FF"/>
                <w:sz w:val="18"/>
                <w:szCs w:val="18"/>
              </w:rPr>
              <w:t>3</w:t>
            </w:r>
            <w:r w:rsidR="00425369">
              <w:rPr>
                <w:rFonts w:ascii="Arial" w:hAnsi="Arial" w:cs="Arial"/>
                <w:color w:val="0000FF"/>
                <w:sz w:val="18"/>
                <w:szCs w:val="18"/>
              </w:rPr>
              <w:t>04</w:t>
            </w:r>
            <w:r w:rsidRPr="00425369">
              <w:rPr>
                <w:rFonts w:ascii="Arial" w:hAnsi="Arial" w:cs="Arial"/>
                <w:color w:val="0000FF"/>
                <w:sz w:val="18"/>
                <w:szCs w:val="18"/>
              </w:rPr>
              <w:t>)</w:t>
            </w:r>
          </w:p>
        </w:tc>
      </w:tr>
      <w:tr w:rsidR="00364A43" w:rsidRPr="002E22E0" w:rsidTr="00BB38CC">
        <w:trPr>
          <w:trHeight w:val="208"/>
        </w:trPr>
        <w:tc>
          <w:tcPr>
            <w:tcW w:w="4126" w:type="dxa"/>
            <w:tcBorders>
              <w:top w:val="nil"/>
              <w:left w:val="nil"/>
              <w:bottom w:val="nil"/>
              <w:right w:val="nil"/>
            </w:tcBorders>
            <w:shd w:val="clear" w:color="auto" w:fill="auto"/>
            <w:hideMark/>
          </w:tcPr>
          <w:p w:rsidR="00364A43" w:rsidRPr="00364A43" w:rsidRDefault="00364A43" w:rsidP="004C7FC2">
            <w:pPr>
              <w:rPr>
                <w:rFonts w:ascii="Arial" w:hAnsi="Arial" w:cs="Arial"/>
                <w:color w:val="0000FF"/>
                <w:sz w:val="18"/>
                <w:szCs w:val="18"/>
              </w:rPr>
            </w:pPr>
            <w:r w:rsidRPr="00364A43">
              <w:rPr>
                <w:rFonts w:ascii="Arial" w:hAnsi="Arial" w:cs="Arial"/>
                <w:color w:val="0000FF"/>
                <w:sz w:val="18"/>
                <w:szCs w:val="18"/>
              </w:rPr>
              <w:t xml:space="preserve">   </w:t>
            </w:r>
            <w:r w:rsidR="004C7FC2">
              <w:rPr>
                <w:rFonts w:ascii="Arial" w:hAnsi="Arial" w:cs="Arial"/>
                <w:color w:val="0000FF"/>
                <w:sz w:val="18"/>
                <w:szCs w:val="18"/>
              </w:rPr>
              <w:t>Expenses not requiring appropriation</w:t>
            </w:r>
            <w:r w:rsidR="00B97B2B">
              <w:rPr>
                <w:rFonts w:ascii="Arial" w:hAnsi="Arial" w:cs="Arial"/>
                <w:color w:val="0000FF"/>
                <w:sz w:val="18"/>
                <w:szCs w:val="18"/>
              </w:rPr>
              <w:t xml:space="preserve"> in the</w:t>
            </w:r>
          </w:p>
        </w:tc>
        <w:tc>
          <w:tcPr>
            <w:tcW w:w="992" w:type="dxa"/>
            <w:tcBorders>
              <w:top w:val="nil"/>
              <w:left w:val="nil"/>
              <w:bottom w:val="nil"/>
              <w:right w:val="nil"/>
            </w:tcBorders>
            <w:shd w:val="clear" w:color="auto" w:fill="auto"/>
          </w:tcPr>
          <w:p w:rsidR="00364A43" w:rsidRPr="00425369" w:rsidRDefault="00364A43" w:rsidP="00364A43">
            <w:pPr>
              <w:jc w:val="right"/>
              <w:rPr>
                <w:rFonts w:ascii="Arial" w:hAnsi="Arial" w:cs="Arial"/>
                <w:color w:val="0000FF"/>
                <w:sz w:val="18"/>
                <w:szCs w:val="18"/>
              </w:rPr>
            </w:pPr>
          </w:p>
        </w:tc>
        <w:tc>
          <w:tcPr>
            <w:tcW w:w="1134" w:type="dxa"/>
            <w:tcBorders>
              <w:top w:val="nil"/>
              <w:left w:val="nil"/>
              <w:bottom w:val="nil"/>
              <w:right w:val="nil"/>
            </w:tcBorders>
            <w:shd w:val="clear" w:color="auto" w:fill="auto"/>
          </w:tcPr>
          <w:p w:rsidR="00364A43" w:rsidRPr="00425369" w:rsidRDefault="00364A43" w:rsidP="003B50D0">
            <w:pPr>
              <w:jc w:val="right"/>
              <w:rPr>
                <w:rFonts w:ascii="Arial" w:hAnsi="Arial" w:cs="Arial"/>
                <w:color w:val="0000FF"/>
                <w:sz w:val="18"/>
                <w:szCs w:val="18"/>
              </w:rPr>
            </w:pPr>
          </w:p>
        </w:tc>
        <w:tc>
          <w:tcPr>
            <w:tcW w:w="993" w:type="dxa"/>
            <w:tcBorders>
              <w:top w:val="nil"/>
              <w:left w:val="nil"/>
              <w:bottom w:val="nil"/>
              <w:right w:val="nil"/>
            </w:tcBorders>
            <w:shd w:val="clear" w:color="auto" w:fill="auto"/>
          </w:tcPr>
          <w:p w:rsidR="00364A43" w:rsidRPr="00425369" w:rsidRDefault="00364A43" w:rsidP="007B2E4B">
            <w:pPr>
              <w:jc w:val="right"/>
              <w:rPr>
                <w:rFonts w:ascii="Arial" w:hAnsi="Arial" w:cs="Arial"/>
                <w:color w:val="0000FF"/>
                <w:sz w:val="18"/>
                <w:szCs w:val="18"/>
              </w:rPr>
            </w:pPr>
          </w:p>
        </w:tc>
      </w:tr>
      <w:tr w:rsidR="00F241D9" w:rsidRPr="002E22E0" w:rsidTr="00F241D9">
        <w:trPr>
          <w:trHeight w:val="285"/>
        </w:trPr>
        <w:tc>
          <w:tcPr>
            <w:tcW w:w="4126" w:type="dxa"/>
            <w:tcBorders>
              <w:top w:val="nil"/>
              <w:left w:val="nil"/>
              <w:bottom w:val="nil"/>
              <w:right w:val="nil"/>
            </w:tcBorders>
            <w:shd w:val="clear" w:color="auto" w:fill="auto"/>
          </w:tcPr>
          <w:p w:rsidR="00F241D9" w:rsidRPr="00364A43" w:rsidRDefault="00F241D9" w:rsidP="004C7FC2">
            <w:pPr>
              <w:rPr>
                <w:rFonts w:ascii="Arial" w:hAnsi="Arial" w:cs="Arial"/>
                <w:color w:val="0000FF"/>
                <w:sz w:val="18"/>
                <w:szCs w:val="18"/>
              </w:rPr>
            </w:pPr>
            <w:r>
              <w:rPr>
                <w:rFonts w:ascii="Arial" w:hAnsi="Arial" w:cs="Arial"/>
                <w:color w:val="0000FF"/>
                <w:sz w:val="18"/>
                <w:szCs w:val="18"/>
              </w:rPr>
              <w:t xml:space="preserve">   budget year</w:t>
            </w:r>
          </w:p>
        </w:tc>
        <w:tc>
          <w:tcPr>
            <w:tcW w:w="992" w:type="dxa"/>
            <w:tcBorders>
              <w:top w:val="nil"/>
              <w:left w:val="nil"/>
              <w:bottom w:val="nil"/>
              <w:right w:val="nil"/>
            </w:tcBorders>
            <w:shd w:val="clear" w:color="auto" w:fill="auto"/>
          </w:tcPr>
          <w:p w:rsidR="00F241D9" w:rsidRPr="00425369" w:rsidRDefault="00425369" w:rsidP="00364A43">
            <w:pPr>
              <w:jc w:val="right"/>
              <w:rPr>
                <w:rFonts w:ascii="Arial" w:hAnsi="Arial" w:cs="Arial"/>
                <w:color w:val="0000FF"/>
                <w:sz w:val="18"/>
                <w:szCs w:val="18"/>
              </w:rPr>
            </w:pPr>
            <w:r>
              <w:rPr>
                <w:rFonts w:ascii="Arial" w:hAnsi="Arial" w:cs="Arial"/>
                <w:color w:val="0000FF"/>
                <w:sz w:val="18"/>
                <w:szCs w:val="18"/>
              </w:rPr>
              <w:t>722</w:t>
            </w:r>
          </w:p>
        </w:tc>
        <w:tc>
          <w:tcPr>
            <w:tcW w:w="1134" w:type="dxa"/>
            <w:tcBorders>
              <w:top w:val="nil"/>
              <w:left w:val="nil"/>
              <w:bottom w:val="nil"/>
              <w:right w:val="nil"/>
            </w:tcBorders>
            <w:shd w:val="clear" w:color="auto" w:fill="auto"/>
          </w:tcPr>
          <w:p w:rsidR="00F241D9" w:rsidRPr="00425369" w:rsidRDefault="00425369" w:rsidP="00D61439">
            <w:pPr>
              <w:jc w:val="right"/>
              <w:rPr>
                <w:rFonts w:ascii="Arial" w:hAnsi="Arial" w:cs="Arial"/>
                <w:color w:val="0000FF"/>
                <w:sz w:val="18"/>
                <w:szCs w:val="18"/>
              </w:rPr>
            </w:pPr>
            <w:r>
              <w:rPr>
                <w:rFonts w:ascii="Arial" w:hAnsi="Arial" w:cs="Arial"/>
                <w:color w:val="0000FF"/>
                <w:sz w:val="18"/>
                <w:szCs w:val="18"/>
              </w:rPr>
              <w:t>687</w:t>
            </w:r>
          </w:p>
        </w:tc>
        <w:tc>
          <w:tcPr>
            <w:tcW w:w="993" w:type="dxa"/>
            <w:tcBorders>
              <w:top w:val="nil"/>
              <w:left w:val="nil"/>
              <w:bottom w:val="nil"/>
              <w:right w:val="nil"/>
            </w:tcBorders>
            <w:shd w:val="clear" w:color="auto" w:fill="auto"/>
          </w:tcPr>
          <w:p w:rsidR="00F241D9" w:rsidRPr="00425369" w:rsidRDefault="00425369" w:rsidP="00D61439">
            <w:pPr>
              <w:jc w:val="right"/>
              <w:rPr>
                <w:rFonts w:ascii="Arial" w:hAnsi="Arial" w:cs="Arial"/>
                <w:color w:val="0000FF"/>
                <w:sz w:val="18"/>
                <w:szCs w:val="18"/>
              </w:rPr>
            </w:pPr>
            <w:r>
              <w:rPr>
                <w:rFonts w:ascii="Arial" w:hAnsi="Arial" w:cs="Arial"/>
                <w:color w:val="0000FF"/>
                <w:sz w:val="18"/>
                <w:szCs w:val="18"/>
              </w:rPr>
              <w:t>35</w:t>
            </w:r>
          </w:p>
        </w:tc>
      </w:tr>
      <w:tr w:rsidR="00364A43" w:rsidRPr="002E22E0" w:rsidTr="00BB38CC">
        <w:trPr>
          <w:trHeight w:val="285"/>
        </w:trPr>
        <w:tc>
          <w:tcPr>
            <w:tcW w:w="4126" w:type="dxa"/>
            <w:tcBorders>
              <w:top w:val="nil"/>
              <w:left w:val="nil"/>
              <w:right w:val="nil"/>
            </w:tcBorders>
            <w:shd w:val="clear" w:color="auto" w:fill="auto"/>
            <w:vAlign w:val="center"/>
            <w:hideMark/>
          </w:tcPr>
          <w:p w:rsidR="00364A43" w:rsidRPr="00523437" w:rsidRDefault="00523437" w:rsidP="00F241D9">
            <w:pPr>
              <w:rPr>
                <w:rFonts w:ascii="Arial" w:hAnsi="Arial" w:cs="Arial"/>
                <w:b/>
                <w:color w:val="0000FF"/>
                <w:sz w:val="18"/>
                <w:szCs w:val="18"/>
              </w:rPr>
            </w:pPr>
            <w:r w:rsidRPr="00523437">
              <w:rPr>
                <w:rFonts w:ascii="Arial" w:hAnsi="Arial" w:cs="Arial"/>
                <w:b/>
                <w:color w:val="0000FF"/>
                <w:sz w:val="18"/>
                <w:szCs w:val="18"/>
              </w:rPr>
              <w:t xml:space="preserve">Total for </w:t>
            </w:r>
            <w:r w:rsidR="00CD5F72">
              <w:rPr>
                <w:rFonts w:ascii="Arial" w:hAnsi="Arial" w:cs="Arial"/>
                <w:b/>
                <w:color w:val="0000FF"/>
                <w:sz w:val="18"/>
                <w:szCs w:val="18"/>
              </w:rPr>
              <w:t>Program</w:t>
            </w:r>
            <w:r w:rsidRPr="00523437">
              <w:rPr>
                <w:rFonts w:ascii="Arial" w:hAnsi="Arial" w:cs="Arial"/>
                <w:b/>
                <w:color w:val="0000FF"/>
                <w:sz w:val="18"/>
                <w:szCs w:val="18"/>
              </w:rPr>
              <w:t xml:space="preserve"> 1.1</w:t>
            </w:r>
          </w:p>
        </w:tc>
        <w:tc>
          <w:tcPr>
            <w:tcW w:w="992" w:type="dxa"/>
            <w:tcBorders>
              <w:top w:val="single" w:sz="4" w:space="0" w:color="auto"/>
              <w:left w:val="nil"/>
              <w:bottom w:val="single" w:sz="4" w:space="0" w:color="auto"/>
              <w:right w:val="nil"/>
            </w:tcBorders>
            <w:shd w:val="clear" w:color="auto" w:fill="auto"/>
            <w:vAlign w:val="center"/>
            <w:hideMark/>
          </w:tcPr>
          <w:p w:rsidR="00364A43" w:rsidRPr="00425369" w:rsidRDefault="00C01EBB" w:rsidP="00425369">
            <w:pPr>
              <w:jc w:val="right"/>
              <w:rPr>
                <w:rFonts w:ascii="Arial" w:hAnsi="Arial" w:cs="Arial"/>
                <w:color w:val="0000FF"/>
                <w:sz w:val="18"/>
                <w:szCs w:val="18"/>
              </w:rPr>
            </w:pPr>
            <w:r w:rsidRPr="00425369">
              <w:rPr>
                <w:rFonts w:ascii="Arial" w:hAnsi="Arial" w:cs="Arial"/>
                <w:color w:val="0000FF"/>
                <w:sz w:val="18"/>
                <w:szCs w:val="18"/>
              </w:rPr>
              <w:t>2</w:t>
            </w:r>
            <w:r w:rsidR="00425369">
              <w:rPr>
                <w:rFonts w:ascii="Arial" w:hAnsi="Arial" w:cs="Arial"/>
                <w:color w:val="0000FF"/>
                <w:sz w:val="18"/>
                <w:szCs w:val="18"/>
              </w:rPr>
              <w:t>0</w:t>
            </w:r>
            <w:r w:rsidRPr="00425369">
              <w:rPr>
                <w:rFonts w:ascii="Arial" w:hAnsi="Arial" w:cs="Arial"/>
                <w:color w:val="0000FF"/>
                <w:sz w:val="18"/>
                <w:szCs w:val="18"/>
              </w:rPr>
              <w:t>,</w:t>
            </w:r>
            <w:r w:rsidR="00425369">
              <w:rPr>
                <w:rFonts w:ascii="Arial" w:hAnsi="Arial" w:cs="Arial"/>
                <w:color w:val="0000FF"/>
                <w:sz w:val="18"/>
                <w:szCs w:val="18"/>
              </w:rPr>
              <w:t>741</w:t>
            </w:r>
          </w:p>
        </w:tc>
        <w:tc>
          <w:tcPr>
            <w:tcW w:w="1134" w:type="dxa"/>
            <w:tcBorders>
              <w:top w:val="single" w:sz="4" w:space="0" w:color="auto"/>
              <w:left w:val="nil"/>
              <w:bottom w:val="single" w:sz="4" w:space="0" w:color="auto"/>
              <w:right w:val="nil"/>
            </w:tcBorders>
            <w:shd w:val="clear" w:color="auto" w:fill="auto"/>
            <w:vAlign w:val="center"/>
            <w:hideMark/>
          </w:tcPr>
          <w:p w:rsidR="00364A43" w:rsidRPr="00425369" w:rsidRDefault="00D61439" w:rsidP="00425369">
            <w:pPr>
              <w:jc w:val="right"/>
              <w:rPr>
                <w:rFonts w:ascii="Arial" w:hAnsi="Arial" w:cs="Arial"/>
                <w:color w:val="0000FF"/>
                <w:sz w:val="18"/>
                <w:szCs w:val="18"/>
              </w:rPr>
            </w:pPr>
            <w:r w:rsidRPr="00425369">
              <w:rPr>
                <w:rFonts w:ascii="Arial" w:hAnsi="Arial" w:cs="Arial"/>
                <w:color w:val="0000FF"/>
                <w:sz w:val="18"/>
                <w:szCs w:val="18"/>
              </w:rPr>
              <w:t>20,57</w:t>
            </w:r>
            <w:r w:rsidR="00425369">
              <w:rPr>
                <w:rFonts w:ascii="Arial" w:hAnsi="Arial" w:cs="Arial"/>
                <w:color w:val="0000FF"/>
                <w:sz w:val="18"/>
                <w:szCs w:val="18"/>
              </w:rPr>
              <w:t>3</w:t>
            </w:r>
          </w:p>
        </w:tc>
        <w:tc>
          <w:tcPr>
            <w:tcW w:w="993" w:type="dxa"/>
            <w:tcBorders>
              <w:top w:val="single" w:sz="4" w:space="0" w:color="auto"/>
              <w:left w:val="nil"/>
              <w:bottom w:val="single" w:sz="4" w:space="0" w:color="auto"/>
              <w:right w:val="nil"/>
            </w:tcBorders>
            <w:shd w:val="clear" w:color="auto" w:fill="auto"/>
            <w:vAlign w:val="center"/>
            <w:hideMark/>
          </w:tcPr>
          <w:p w:rsidR="00D8526E" w:rsidRPr="00425369" w:rsidRDefault="00425369" w:rsidP="00D61439">
            <w:pPr>
              <w:jc w:val="right"/>
              <w:rPr>
                <w:rFonts w:ascii="Arial" w:hAnsi="Arial" w:cs="Arial"/>
                <w:color w:val="0000FF"/>
                <w:sz w:val="18"/>
                <w:szCs w:val="18"/>
              </w:rPr>
            </w:pPr>
            <w:r>
              <w:rPr>
                <w:rFonts w:ascii="Arial" w:hAnsi="Arial" w:cs="Arial"/>
                <w:color w:val="0000FF"/>
                <w:sz w:val="18"/>
                <w:szCs w:val="18"/>
              </w:rPr>
              <w:t>168</w:t>
            </w:r>
          </w:p>
        </w:tc>
      </w:tr>
      <w:tr w:rsidR="00F241D9" w:rsidRPr="002E22E0" w:rsidTr="00BB38CC">
        <w:trPr>
          <w:trHeight w:val="285"/>
        </w:trPr>
        <w:tc>
          <w:tcPr>
            <w:tcW w:w="4126" w:type="dxa"/>
            <w:tcBorders>
              <w:left w:val="nil"/>
              <w:bottom w:val="single" w:sz="12" w:space="0" w:color="auto"/>
              <w:right w:val="nil"/>
            </w:tcBorders>
            <w:shd w:val="clear" w:color="auto" w:fill="auto"/>
            <w:vAlign w:val="center"/>
            <w:hideMark/>
          </w:tcPr>
          <w:p w:rsidR="00F241D9" w:rsidRPr="00523437" w:rsidRDefault="00F241D9" w:rsidP="00BB38CC">
            <w:pPr>
              <w:rPr>
                <w:rFonts w:ascii="Arial" w:hAnsi="Arial" w:cs="Arial"/>
                <w:b/>
                <w:color w:val="0000FF"/>
                <w:sz w:val="18"/>
                <w:szCs w:val="18"/>
              </w:rPr>
            </w:pPr>
            <w:r w:rsidRPr="00523437">
              <w:rPr>
                <w:rFonts w:ascii="Arial" w:hAnsi="Arial" w:cs="Arial"/>
                <w:b/>
                <w:color w:val="0000FF"/>
                <w:sz w:val="18"/>
                <w:szCs w:val="18"/>
              </w:rPr>
              <w:t xml:space="preserve">Total </w:t>
            </w:r>
            <w:r w:rsidR="00BB38CC">
              <w:rPr>
                <w:rFonts w:ascii="Arial" w:hAnsi="Arial" w:cs="Arial"/>
                <w:b/>
                <w:color w:val="0000FF"/>
                <w:sz w:val="18"/>
                <w:szCs w:val="18"/>
              </w:rPr>
              <w:t>expenses for Outcome</w:t>
            </w:r>
            <w:r w:rsidRPr="00523437">
              <w:rPr>
                <w:rFonts w:ascii="Arial" w:hAnsi="Arial" w:cs="Arial"/>
                <w:b/>
                <w:color w:val="0000FF"/>
                <w:sz w:val="18"/>
                <w:szCs w:val="18"/>
              </w:rPr>
              <w:t xml:space="preserve"> 1</w:t>
            </w:r>
          </w:p>
        </w:tc>
        <w:tc>
          <w:tcPr>
            <w:tcW w:w="992" w:type="dxa"/>
            <w:tcBorders>
              <w:top w:val="single" w:sz="4" w:space="0" w:color="auto"/>
              <w:left w:val="nil"/>
              <w:bottom w:val="single" w:sz="12" w:space="0" w:color="auto"/>
              <w:right w:val="nil"/>
            </w:tcBorders>
            <w:shd w:val="clear" w:color="auto" w:fill="auto"/>
            <w:vAlign w:val="center"/>
            <w:hideMark/>
          </w:tcPr>
          <w:p w:rsidR="00F241D9" w:rsidRPr="00425369" w:rsidRDefault="00C01EBB" w:rsidP="00425369">
            <w:pPr>
              <w:jc w:val="right"/>
              <w:rPr>
                <w:rFonts w:ascii="Arial" w:hAnsi="Arial" w:cs="Arial"/>
                <w:color w:val="0000FF"/>
                <w:sz w:val="18"/>
                <w:szCs w:val="18"/>
              </w:rPr>
            </w:pPr>
            <w:r w:rsidRPr="00425369">
              <w:rPr>
                <w:rFonts w:ascii="Arial" w:hAnsi="Arial" w:cs="Arial"/>
                <w:color w:val="0000FF"/>
                <w:sz w:val="18"/>
                <w:szCs w:val="18"/>
              </w:rPr>
              <w:t>2</w:t>
            </w:r>
            <w:r w:rsidR="00425369">
              <w:rPr>
                <w:rFonts w:ascii="Arial" w:hAnsi="Arial" w:cs="Arial"/>
                <w:color w:val="0000FF"/>
                <w:sz w:val="18"/>
                <w:szCs w:val="18"/>
              </w:rPr>
              <w:t>0</w:t>
            </w:r>
            <w:r w:rsidRPr="00425369">
              <w:rPr>
                <w:rFonts w:ascii="Arial" w:hAnsi="Arial" w:cs="Arial"/>
                <w:color w:val="0000FF"/>
                <w:sz w:val="18"/>
                <w:szCs w:val="18"/>
              </w:rPr>
              <w:t>,</w:t>
            </w:r>
            <w:r w:rsidR="00425369">
              <w:rPr>
                <w:rFonts w:ascii="Arial" w:hAnsi="Arial" w:cs="Arial"/>
                <w:color w:val="0000FF"/>
                <w:sz w:val="18"/>
                <w:szCs w:val="18"/>
              </w:rPr>
              <w:t>741</w:t>
            </w:r>
          </w:p>
        </w:tc>
        <w:tc>
          <w:tcPr>
            <w:tcW w:w="1134" w:type="dxa"/>
            <w:tcBorders>
              <w:top w:val="single" w:sz="4" w:space="0" w:color="auto"/>
              <w:left w:val="nil"/>
              <w:bottom w:val="single" w:sz="12" w:space="0" w:color="auto"/>
              <w:right w:val="nil"/>
            </w:tcBorders>
            <w:shd w:val="clear" w:color="auto" w:fill="auto"/>
            <w:vAlign w:val="center"/>
            <w:hideMark/>
          </w:tcPr>
          <w:p w:rsidR="00F241D9" w:rsidRPr="00425369" w:rsidRDefault="00D61439" w:rsidP="00425369">
            <w:pPr>
              <w:jc w:val="right"/>
              <w:rPr>
                <w:rFonts w:ascii="Arial" w:hAnsi="Arial" w:cs="Arial"/>
                <w:color w:val="0000FF"/>
                <w:sz w:val="18"/>
                <w:szCs w:val="18"/>
              </w:rPr>
            </w:pPr>
            <w:r w:rsidRPr="00425369">
              <w:rPr>
                <w:rFonts w:ascii="Arial" w:hAnsi="Arial" w:cs="Arial"/>
                <w:color w:val="0000FF"/>
                <w:sz w:val="18"/>
                <w:szCs w:val="18"/>
              </w:rPr>
              <w:t>20,57</w:t>
            </w:r>
            <w:r w:rsidR="00425369">
              <w:rPr>
                <w:rFonts w:ascii="Arial" w:hAnsi="Arial" w:cs="Arial"/>
                <w:color w:val="0000FF"/>
                <w:sz w:val="18"/>
                <w:szCs w:val="18"/>
              </w:rPr>
              <w:t>3</w:t>
            </w:r>
          </w:p>
        </w:tc>
        <w:tc>
          <w:tcPr>
            <w:tcW w:w="993" w:type="dxa"/>
            <w:tcBorders>
              <w:top w:val="single" w:sz="4" w:space="0" w:color="auto"/>
              <w:left w:val="nil"/>
              <w:bottom w:val="single" w:sz="12" w:space="0" w:color="auto"/>
              <w:right w:val="nil"/>
            </w:tcBorders>
            <w:shd w:val="clear" w:color="auto" w:fill="auto"/>
            <w:vAlign w:val="center"/>
            <w:hideMark/>
          </w:tcPr>
          <w:p w:rsidR="00F241D9" w:rsidRPr="00425369" w:rsidRDefault="00425369" w:rsidP="00D61439">
            <w:pPr>
              <w:jc w:val="right"/>
              <w:rPr>
                <w:rFonts w:ascii="Arial" w:hAnsi="Arial" w:cs="Arial"/>
                <w:color w:val="0000FF"/>
                <w:sz w:val="18"/>
                <w:szCs w:val="18"/>
              </w:rPr>
            </w:pPr>
            <w:r>
              <w:rPr>
                <w:rFonts w:ascii="Arial" w:hAnsi="Arial" w:cs="Arial"/>
                <w:color w:val="0000FF"/>
                <w:sz w:val="18"/>
                <w:szCs w:val="18"/>
              </w:rPr>
              <w:t>168</w:t>
            </w:r>
          </w:p>
        </w:tc>
      </w:tr>
    </w:tbl>
    <w:p w:rsidR="00AC5701" w:rsidRDefault="00AC5701"/>
    <w:tbl>
      <w:tblPr>
        <w:tblW w:w="7245" w:type="dxa"/>
        <w:tblInd w:w="93" w:type="dxa"/>
        <w:tblLayout w:type="fixed"/>
        <w:tblLook w:val="04A0" w:firstRow="1" w:lastRow="0" w:firstColumn="1" w:lastColumn="0" w:noHBand="0" w:noVBand="1"/>
      </w:tblPr>
      <w:tblGrid>
        <w:gridCol w:w="5260"/>
        <w:gridCol w:w="992"/>
        <w:gridCol w:w="993"/>
      </w:tblGrid>
      <w:tr w:rsidR="00BB38CC" w:rsidRPr="00364A43" w:rsidTr="00D008F4">
        <w:trPr>
          <w:trHeight w:val="720"/>
        </w:trPr>
        <w:tc>
          <w:tcPr>
            <w:tcW w:w="5260" w:type="dxa"/>
            <w:tcBorders>
              <w:top w:val="single" w:sz="12" w:space="0" w:color="auto"/>
              <w:left w:val="nil"/>
              <w:right w:val="nil"/>
            </w:tcBorders>
            <w:shd w:val="clear" w:color="auto" w:fill="auto"/>
            <w:vAlign w:val="bottom"/>
            <w:hideMark/>
          </w:tcPr>
          <w:p w:rsidR="00BB38CC" w:rsidRPr="00364A43" w:rsidRDefault="00BB38CC" w:rsidP="00BB38CC">
            <w:pPr>
              <w:rPr>
                <w:rFonts w:ascii="Arial" w:hAnsi="Arial" w:cs="Arial"/>
                <w:b/>
                <w:bCs/>
                <w:color w:val="0000FF"/>
                <w:sz w:val="18"/>
                <w:szCs w:val="18"/>
              </w:rPr>
            </w:pPr>
          </w:p>
        </w:tc>
        <w:tc>
          <w:tcPr>
            <w:tcW w:w="992" w:type="dxa"/>
            <w:tcBorders>
              <w:top w:val="single" w:sz="12" w:space="0" w:color="auto"/>
              <w:left w:val="nil"/>
              <w:right w:val="nil"/>
            </w:tcBorders>
            <w:shd w:val="clear" w:color="auto" w:fill="auto"/>
            <w:vAlign w:val="bottom"/>
            <w:hideMark/>
          </w:tcPr>
          <w:p w:rsidR="00BB38CC" w:rsidRDefault="00BB38CC" w:rsidP="00BB38CC">
            <w:pPr>
              <w:jc w:val="right"/>
            </w:pPr>
            <w:r w:rsidRPr="00084767">
              <w:rPr>
                <w:rFonts w:ascii="Arial" w:hAnsi="Arial" w:cs="Arial"/>
                <w:b/>
                <w:bCs/>
                <w:color w:val="0000FF"/>
                <w:sz w:val="18"/>
                <w:szCs w:val="18"/>
              </w:rPr>
              <w:t>Actual</w:t>
            </w:r>
          </w:p>
          <w:p w:rsidR="00BB38CC" w:rsidRDefault="00BB38CC" w:rsidP="0038537B">
            <w:pPr>
              <w:jc w:val="right"/>
            </w:pPr>
            <w:r w:rsidRPr="00AC5701">
              <w:rPr>
                <w:rFonts w:ascii="Arial" w:hAnsi="Arial" w:cs="Arial"/>
                <w:b/>
                <w:color w:val="0000FF"/>
                <w:sz w:val="18"/>
                <w:szCs w:val="18"/>
              </w:rPr>
              <w:t>20</w:t>
            </w:r>
            <w:r>
              <w:rPr>
                <w:rFonts w:ascii="Arial" w:hAnsi="Arial" w:cs="Arial"/>
                <w:b/>
                <w:color w:val="0000FF"/>
                <w:sz w:val="18"/>
                <w:szCs w:val="18"/>
              </w:rPr>
              <w:t>1</w:t>
            </w:r>
            <w:r w:rsidR="0038537B">
              <w:rPr>
                <w:rFonts w:ascii="Arial" w:hAnsi="Arial" w:cs="Arial"/>
                <w:b/>
                <w:color w:val="0000FF"/>
                <w:sz w:val="18"/>
                <w:szCs w:val="18"/>
              </w:rPr>
              <w:t>5</w:t>
            </w:r>
            <w:r w:rsidRPr="00AC5701">
              <w:rPr>
                <w:rFonts w:ascii="Arial" w:hAnsi="Arial" w:cs="Arial"/>
                <w:b/>
                <w:color w:val="0000FF"/>
                <w:sz w:val="18"/>
                <w:szCs w:val="18"/>
              </w:rPr>
              <w:t>-</w:t>
            </w:r>
            <w:r>
              <w:rPr>
                <w:rFonts w:ascii="Arial" w:hAnsi="Arial" w:cs="Arial"/>
                <w:b/>
                <w:color w:val="0000FF"/>
                <w:sz w:val="18"/>
                <w:szCs w:val="18"/>
              </w:rPr>
              <w:t>1</w:t>
            </w:r>
            <w:r w:rsidR="0038537B">
              <w:rPr>
                <w:rFonts w:ascii="Arial" w:hAnsi="Arial" w:cs="Arial"/>
                <w:b/>
                <w:color w:val="0000FF"/>
                <w:sz w:val="18"/>
                <w:szCs w:val="18"/>
              </w:rPr>
              <w:t>6</w:t>
            </w:r>
          </w:p>
        </w:tc>
        <w:tc>
          <w:tcPr>
            <w:tcW w:w="993" w:type="dxa"/>
            <w:tcBorders>
              <w:top w:val="single" w:sz="12" w:space="0" w:color="auto"/>
              <w:left w:val="nil"/>
              <w:right w:val="nil"/>
            </w:tcBorders>
            <w:shd w:val="clear" w:color="auto" w:fill="auto"/>
            <w:vAlign w:val="bottom"/>
            <w:hideMark/>
          </w:tcPr>
          <w:p w:rsidR="00BB38CC" w:rsidRDefault="00BB38CC" w:rsidP="00BB38CC">
            <w:pPr>
              <w:jc w:val="right"/>
            </w:pPr>
            <w:r w:rsidRPr="00084767">
              <w:rPr>
                <w:rFonts w:ascii="Arial" w:hAnsi="Arial" w:cs="Arial"/>
                <w:b/>
                <w:bCs/>
                <w:color w:val="0000FF"/>
                <w:sz w:val="18"/>
                <w:szCs w:val="18"/>
              </w:rPr>
              <w:t>Actual</w:t>
            </w:r>
          </w:p>
          <w:p w:rsidR="00BB38CC" w:rsidRDefault="00BB38CC" w:rsidP="0038537B">
            <w:pPr>
              <w:jc w:val="right"/>
            </w:pPr>
            <w:r w:rsidRPr="00AC5701">
              <w:rPr>
                <w:rFonts w:ascii="Arial" w:hAnsi="Arial" w:cs="Arial"/>
                <w:b/>
                <w:color w:val="0000FF"/>
                <w:sz w:val="18"/>
                <w:szCs w:val="18"/>
              </w:rPr>
              <w:t>20</w:t>
            </w:r>
            <w:r>
              <w:rPr>
                <w:rFonts w:ascii="Arial" w:hAnsi="Arial" w:cs="Arial"/>
                <w:b/>
                <w:color w:val="0000FF"/>
                <w:sz w:val="18"/>
                <w:szCs w:val="18"/>
              </w:rPr>
              <w:t>1</w:t>
            </w:r>
            <w:r w:rsidR="0038537B">
              <w:rPr>
                <w:rFonts w:ascii="Arial" w:hAnsi="Arial" w:cs="Arial"/>
                <w:b/>
                <w:color w:val="0000FF"/>
                <w:sz w:val="18"/>
                <w:szCs w:val="18"/>
              </w:rPr>
              <w:t>6</w:t>
            </w:r>
            <w:r w:rsidRPr="00AC5701">
              <w:rPr>
                <w:rFonts w:ascii="Arial" w:hAnsi="Arial" w:cs="Arial"/>
                <w:b/>
                <w:color w:val="0000FF"/>
                <w:sz w:val="18"/>
                <w:szCs w:val="18"/>
              </w:rPr>
              <w:t>-1</w:t>
            </w:r>
            <w:r w:rsidR="0038537B">
              <w:rPr>
                <w:rFonts w:ascii="Arial" w:hAnsi="Arial" w:cs="Arial"/>
                <w:b/>
                <w:color w:val="0000FF"/>
                <w:sz w:val="18"/>
                <w:szCs w:val="18"/>
              </w:rPr>
              <w:t>7</w:t>
            </w:r>
          </w:p>
        </w:tc>
      </w:tr>
      <w:tr w:rsidR="007D6198" w:rsidRPr="00364A43" w:rsidTr="00D008F4">
        <w:trPr>
          <w:trHeight w:val="315"/>
        </w:trPr>
        <w:tc>
          <w:tcPr>
            <w:tcW w:w="5260" w:type="dxa"/>
            <w:tcBorders>
              <w:left w:val="nil"/>
              <w:bottom w:val="single" w:sz="12" w:space="0" w:color="auto"/>
              <w:right w:val="nil"/>
            </w:tcBorders>
            <w:shd w:val="clear" w:color="auto" w:fill="auto"/>
            <w:vAlign w:val="center"/>
            <w:hideMark/>
          </w:tcPr>
          <w:p w:rsidR="007D6198" w:rsidRPr="00364A43" w:rsidRDefault="00811F79" w:rsidP="00BB38CC">
            <w:pPr>
              <w:rPr>
                <w:rFonts w:ascii="Arial" w:hAnsi="Arial" w:cs="Arial"/>
                <w:b/>
                <w:bCs/>
                <w:color w:val="0000FF"/>
                <w:sz w:val="18"/>
                <w:szCs w:val="18"/>
              </w:rPr>
            </w:pPr>
            <w:r>
              <w:rPr>
                <w:rFonts w:ascii="Arial" w:hAnsi="Arial" w:cs="Arial"/>
                <w:b/>
                <w:bCs/>
                <w:color w:val="0000FF"/>
                <w:sz w:val="18"/>
                <w:szCs w:val="18"/>
              </w:rPr>
              <w:t>Average staffing level (n</w:t>
            </w:r>
            <w:r w:rsidR="007D6198" w:rsidRPr="00364A43">
              <w:rPr>
                <w:rFonts w:ascii="Arial" w:hAnsi="Arial" w:cs="Arial"/>
                <w:b/>
                <w:bCs/>
                <w:color w:val="0000FF"/>
                <w:sz w:val="18"/>
                <w:szCs w:val="18"/>
              </w:rPr>
              <w:t>umber)</w:t>
            </w:r>
          </w:p>
        </w:tc>
        <w:tc>
          <w:tcPr>
            <w:tcW w:w="992" w:type="dxa"/>
            <w:tcBorders>
              <w:top w:val="single" w:sz="12" w:space="0" w:color="auto"/>
              <w:left w:val="nil"/>
              <w:bottom w:val="single" w:sz="12" w:space="0" w:color="auto"/>
              <w:right w:val="nil"/>
            </w:tcBorders>
            <w:shd w:val="clear" w:color="auto" w:fill="auto"/>
            <w:vAlign w:val="center"/>
            <w:hideMark/>
          </w:tcPr>
          <w:p w:rsidR="007D6198" w:rsidRPr="00364A43" w:rsidRDefault="00002397" w:rsidP="00BB38CC">
            <w:pPr>
              <w:jc w:val="right"/>
              <w:rPr>
                <w:rFonts w:ascii="Arial" w:hAnsi="Arial" w:cs="Arial"/>
                <w:color w:val="0000FF"/>
                <w:sz w:val="18"/>
                <w:szCs w:val="18"/>
              </w:rPr>
            </w:pPr>
            <w:r>
              <w:rPr>
                <w:rFonts w:ascii="Arial" w:hAnsi="Arial" w:cs="Arial"/>
                <w:color w:val="0000FF"/>
                <w:sz w:val="18"/>
                <w:szCs w:val="18"/>
              </w:rPr>
              <w:t>91.</w:t>
            </w:r>
            <w:r w:rsidR="0038537B">
              <w:rPr>
                <w:rFonts w:ascii="Arial" w:hAnsi="Arial" w:cs="Arial"/>
                <w:color w:val="0000FF"/>
                <w:sz w:val="18"/>
                <w:szCs w:val="18"/>
              </w:rPr>
              <w:t>3</w:t>
            </w:r>
          </w:p>
        </w:tc>
        <w:tc>
          <w:tcPr>
            <w:tcW w:w="993" w:type="dxa"/>
            <w:tcBorders>
              <w:top w:val="single" w:sz="12" w:space="0" w:color="auto"/>
              <w:left w:val="nil"/>
              <w:bottom w:val="single" w:sz="12" w:space="0" w:color="auto"/>
              <w:right w:val="nil"/>
            </w:tcBorders>
            <w:shd w:val="clear" w:color="auto" w:fill="auto"/>
            <w:vAlign w:val="center"/>
            <w:hideMark/>
          </w:tcPr>
          <w:p w:rsidR="007D6198" w:rsidRPr="00425369" w:rsidRDefault="00D61439" w:rsidP="00425369">
            <w:pPr>
              <w:jc w:val="right"/>
              <w:rPr>
                <w:rFonts w:ascii="Arial" w:hAnsi="Arial" w:cs="Arial"/>
                <w:color w:val="0000FF"/>
                <w:sz w:val="18"/>
                <w:szCs w:val="18"/>
              </w:rPr>
            </w:pPr>
            <w:r w:rsidRPr="00425369">
              <w:rPr>
                <w:rFonts w:ascii="Arial" w:hAnsi="Arial" w:cs="Arial"/>
                <w:color w:val="0000FF"/>
                <w:sz w:val="18"/>
                <w:szCs w:val="18"/>
              </w:rPr>
              <w:t>9</w:t>
            </w:r>
            <w:r w:rsidR="00425369">
              <w:rPr>
                <w:rFonts w:ascii="Arial" w:hAnsi="Arial" w:cs="Arial"/>
                <w:color w:val="0000FF"/>
                <w:sz w:val="18"/>
                <w:szCs w:val="18"/>
              </w:rPr>
              <w:t>2.0</w:t>
            </w:r>
          </w:p>
        </w:tc>
      </w:tr>
    </w:tbl>
    <w:p w:rsidR="00FC65F4" w:rsidRPr="00B03BF5" w:rsidRDefault="00FC65F4" w:rsidP="00FC65F4">
      <w:pPr>
        <w:rPr>
          <w:rFonts w:ascii="Arial" w:hAnsi="Arial" w:cs="Arial"/>
          <w:sz w:val="16"/>
          <w:szCs w:val="16"/>
          <w:vertAlign w:val="superscript"/>
        </w:rPr>
      </w:pPr>
    </w:p>
    <w:p w:rsidR="00FC65F4" w:rsidRDefault="00FC65F4" w:rsidP="00FC65F4">
      <w:pPr>
        <w:rPr>
          <w:rFonts w:ascii="Arial" w:hAnsi="Arial" w:cs="Arial"/>
          <w:sz w:val="20"/>
          <w:szCs w:val="20"/>
        </w:rPr>
      </w:pPr>
      <w:r w:rsidRPr="00B03BF5">
        <w:rPr>
          <w:rFonts w:ascii="Arial" w:hAnsi="Arial" w:cs="Arial"/>
          <w:sz w:val="20"/>
          <w:szCs w:val="20"/>
          <w:vertAlign w:val="superscript"/>
        </w:rPr>
        <w:t xml:space="preserve">1 </w:t>
      </w:r>
      <w:r>
        <w:rPr>
          <w:rFonts w:ascii="Arial" w:hAnsi="Arial" w:cs="Arial"/>
          <w:sz w:val="20"/>
          <w:szCs w:val="20"/>
        </w:rPr>
        <w:t>Estimated expenses as disclosed in the 201</w:t>
      </w:r>
      <w:r w:rsidR="0038537B">
        <w:rPr>
          <w:rFonts w:ascii="Arial" w:hAnsi="Arial" w:cs="Arial"/>
          <w:sz w:val="20"/>
          <w:szCs w:val="20"/>
        </w:rPr>
        <w:t>6</w:t>
      </w:r>
      <w:r>
        <w:rPr>
          <w:rFonts w:ascii="Arial" w:hAnsi="Arial" w:cs="Arial"/>
          <w:sz w:val="20"/>
          <w:szCs w:val="20"/>
        </w:rPr>
        <w:t>-1</w:t>
      </w:r>
      <w:r w:rsidR="0038537B">
        <w:rPr>
          <w:rFonts w:ascii="Arial" w:hAnsi="Arial" w:cs="Arial"/>
          <w:sz w:val="20"/>
          <w:szCs w:val="20"/>
        </w:rPr>
        <w:t>7</w:t>
      </w:r>
      <w:r>
        <w:rPr>
          <w:rFonts w:ascii="Arial" w:hAnsi="Arial" w:cs="Arial"/>
          <w:sz w:val="20"/>
          <w:szCs w:val="20"/>
        </w:rPr>
        <w:t xml:space="preserve"> Portfolio </w:t>
      </w:r>
      <w:r w:rsidR="00002397">
        <w:rPr>
          <w:rFonts w:ascii="Arial" w:hAnsi="Arial" w:cs="Arial"/>
          <w:sz w:val="20"/>
          <w:szCs w:val="20"/>
        </w:rPr>
        <w:t>Budget</w:t>
      </w:r>
      <w:r w:rsidR="00EC6358">
        <w:rPr>
          <w:rFonts w:ascii="Arial" w:hAnsi="Arial" w:cs="Arial"/>
          <w:sz w:val="20"/>
          <w:szCs w:val="20"/>
        </w:rPr>
        <w:t xml:space="preserve"> Statement.</w:t>
      </w:r>
    </w:p>
    <w:p w:rsidR="00364A43" w:rsidRDefault="00364A43"/>
    <w:p w:rsidR="0069002A" w:rsidRPr="002C6938" w:rsidRDefault="0069002A"/>
    <w:p w:rsidR="00950334" w:rsidRDefault="00950334">
      <w:pPr>
        <w:sectPr w:rsidR="00950334">
          <w:pgSz w:w="11907" w:h="16839" w:code="9"/>
          <w:pgMar w:top="1134" w:right="2410" w:bottom="4253" w:left="2410" w:header="510" w:footer="3402" w:gutter="0"/>
          <w:cols w:space="709"/>
          <w:docGrid w:linePitch="326"/>
        </w:sectPr>
      </w:pPr>
    </w:p>
    <w:p w:rsidR="008339B8" w:rsidRDefault="008339B8" w:rsidP="008339B8">
      <w:pPr>
        <w:pStyle w:val="Head2"/>
      </w:pPr>
      <w:bookmarkStart w:id="127" w:name="_Toc492656491"/>
      <w:r>
        <w:lastRenderedPageBreak/>
        <w:t>Appendix B—Staffing statistics and salary ranges</w:t>
      </w:r>
      <w:bookmarkEnd w:id="127"/>
    </w:p>
    <w:p w:rsidR="00132228" w:rsidRDefault="00132228" w:rsidP="00132228">
      <w:pPr>
        <w:pStyle w:val="Head4"/>
        <w:spacing w:before="120" w:after="0"/>
      </w:pPr>
      <w:r w:rsidRPr="009639B8">
        <w:t>Ongoing and non-ongoing employees as at 30 June 20</w:t>
      </w:r>
      <w:r>
        <w:t>1</w:t>
      </w:r>
      <w:r w:rsidR="00487949">
        <w:t>7</w:t>
      </w:r>
    </w:p>
    <w:p w:rsidR="00616FC7" w:rsidRPr="009639B8" w:rsidRDefault="00132228" w:rsidP="00132228">
      <w:pPr>
        <w:pStyle w:val="BodyNum"/>
        <w:numPr>
          <w:ilvl w:val="0"/>
          <w:numId w:val="0"/>
        </w:numPr>
        <w:spacing w:before="0"/>
      </w:pPr>
      <w:r>
        <w:t>As at 30 June 201</w:t>
      </w:r>
      <w:r w:rsidR="00487949">
        <w:t>7</w:t>
      </w:r>
      <w:r>
        <w:t xml:space="preserve">, </w:t>
      </w:r>
      <w:r w:rsidR="00616FC7">
        <w:t xml:space="preserve">OPC had </w:t>
      </w:r>
      <w:r w:rsidR="000D37E4">
        <w:t>3</w:t>
      </w:r>
      <w:r w:rsidR="00616FC7">
        <w:t xml:space="preserve"> non-ongoing employees and no employees who identified as Indigenous.</w:t>
      </w:r>
      <w:r>
        <w:br/>
      </w:r>
      <w:r w:rsidRPr="009639B8">
        <w:t>As at 30 June 20</w:t>
      </w:r>
      <w:r>
        <w:t>1</w:t>
      </w:r>
      <w:r w:rsidR="000D37E4">
        <w:t>6</w:t>
      </w:r>
      <w:r w:rsidRPr="009639B8">
        <w:t xml:space="preserve">, </w:t>
      </w:r>
      <w:r>
        <w:t xml:space="preserve">OPC had </w:t>
      </w:r>
      <w:r w:rsidR="000D37E4">
        <w:t>4</w:t>
      </w:r>
      <w:r>
        <w:t xml:space="preserve"> </w:t>
      </w:r>
      <w:r w:rsidR="002040DE">
        <w:t>non-ongoing</w:t>
      </w:r>
      <w:r>
        <w:t xml:space="preserve"> employee</w:t>
      </w:r>
      <w:r w:rsidR="002040DE">
        <w:t>s</w:t>
      </w:r>
      <w:r w:rsidR="005622A4">
        <w:t xml:space="preserve"> and no employees who identified as Indigenous</w:t>
      </w:r>
      <w:r>
        <w:t>.</w:t>
      </w:r>
    </w:p>
    <w:p w:rsidR="00132228" w:rsidRPr="00246266" w:rsidRDefault="00132228" w:rsidP="00132228">
      <w:pPr>
        <w:pStyle w:val="Head4"/>
        <w:spacing w:before="60" w:after="0"/>
      </w:pPr>
      <w:r w:rsidRPr="009639B8">
        <w:t>Full-time and part-time employees as at 30 June 20</w:t>
      </w:r>
      <w:r>
        <w:t>1</w:t>
      </w:r>
      <w:r w:rsidR="000D37E4">
        <w:t>7</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99"/>
        <w:gridCol w:w="834"/>
        <w:gridCol w:w="834"/>
        <w:gridCol w:w="834"/>
        <w:gridCol w:w="834"/>
        <w:gridCol w:w="834"/>
        <w:gridCol w:w="834"/>
      </w:tblGrid>
      <w:tr w:rsidR="00132228" w:rsidTr="00DE340C">
        <w:trPr>
          <w:cantSplit/>
          <w:tblHeader/>
        </w:trPr>
        <w:tc>
          <w:tcPr>
            <w:tcW w:w="1574" w:type="pct"/>
            <w:vMerge w:val="restart"/>
            <w:tcBorders>
              <w:top w:val="single" w:sz="12" w:space="0" w:color="auto"/>
              <w:left w:val="nil"/>
              <w:right w:val="nil"/>
            </w:tcBorders>
            <w:vAlign w:val="center"/>
          </w:tcPr>
          <w:p w:rsidR="00132228" w:rsidRDefault="00132228" w:rsidP="00DE340C">
            <w:pPr>
              <w:keepLines/>
              <w:rPr>
                <w:rFonts w:ascii="Arial" w:hAnsi="Arial" w:cs="Arial"/>
                <w:b/>
                <w:color w:val="0000FF"/>
                <w:sz w:val="20"/>
              </w:rPr>
            </w:pPr>
            <w:r>
              <w:rPr>
                <w:rFonts w:ascii="Arial" w:hAnsi="Arial" w:cs="Arial"/>
                <w:b/>
                <w:color w:val="0000FF"/>
                <w:sz w:val="20"/>
              </w:rPr>
              <w:t>Category</w:t>
            </w:r>
          </w:p>
        </w:tc>
        <w:tc>
          <w:tcPr>
            <w:tcW w:w="1142" w:type="pct"/>
            <w:gridSpan w:val="2"/>
            <w:tcBorders>
              <w:top w:val="single" w:sz="12" w:space="0" w:color="auto"/>
              <w:left w:val="nil"/>
              <w:bottom w:val="single" w:sz="4" w:space="0" w:color="auto"/>
              <w:right w:val="nil"/>
            </w:tcBorders>
          </w:tcPr>
          <w:p w:rsidR="00132228" w:rsidRDefault="00132228" w:rsidP="00DE340C">
            <w:pPr>
              <w:keepLines/>
              <w:jc w:val="center"/>
              <w:rPr>
                <w:rFonts w:ascii="Arial" w:hAnsi="Arial" w:cs="Arial"/>
                <w:b/>
                <w:color w:val="0000FF"/>
                <w:sz w:val="20"/>
              </w:rPr>
            </w:pPr>
            <w:r>
              <w:rPr>
                <w:rFonts w:ascii="Arial" w:hAnsi="Arial" w:cs="Arial"/>
                <w:b/>
                <w:color w:val="0000FF"/>
                <w:sz w:val="20"/>
              </w:rPr>
              <w:t>Total staff</w:t>
            </w:r>
          </w:p>
        </w:tc>
        <w:tc>
          <w:tcPr>
            <w:tcW w:w="1142" w:type="pct"/>
            <w:gridSpan w:val="2"/>
            <w:tcBorders>
              <w:top w:val="single" w:sz="12" w:space="0" w:color="auto"/>
              <w:left w:val="nil"/>
              <w:bottom w:val="nil"/>
              <w:right w:val="nil"/>
            </w:tcBorders>
            <w:shd w:val="clear" w:color="auto" w:fill="auto"/>
          </w:tcPr>
          <w:p w:rsidR="00132228" w:rsidRDefault="00132228" w:rsidP="00DE340C">
            <w:pPr>
              <w:keepLines/>
              <w:jc w:val="center"/>
              <w:rPr>
                <w:rFonts w:ascii="Arial" w:hAnsi="Arial" w:cs="Arial"/>
                <w:b/>
                <w:color w:val="0000FF"/>
                <w:sz w:val="20"/>
              </w:rPr>
            </w:pPr>
            <w:r>
              <w:rPr>
                <w:rFonts w:ascii="Arial" w:hAnsi="Arial" w:cs="Arial"/>
                <w:b/>
                <w:color w:val="0000FF"/>
                <w:sz w:val="20"/>
              </w:rPr>
              <w:t>Full-time</w:t>
            </w:r>
          </w:p>
        </w:tc>
        <w:tc>
          <w:tcPr>
            <w:tcW w:w="1142" w:type="pct"/>
            <w:gridSpan w:val="2"/>
            <w:tcBorders>
              <w:top w:val="single" w:sz="12" w:space="0" w:color="auto"/>
              <w:left w:val="nil"/>
              <w:bottom w:val="nil"/>
              <w:right w:val="nil"/>
            </w:tcBorders>
            <w:shd w:val="clear" w:color="auto" w:fill="auto"/>
          </w:tcPr>
          <w:p w:rsidR="00132228" w:rsidRDefault="00132228" w:rsidP="00DE340C">
            <w:pPr>
              <w:keepLines/>
              <w:jc w:val="center"/>
              <w:rPr>
                <w:rFonts w:ascii="Arial" w:hAnsi="Arial" w:cs="Arial"/>
                <w:b/>
                <w:color w:val="0000FF"/>
                <w:sz w:val="20"/>
              </w:rPr>
            </w:pPr>
            <w:r>
              <w:rPr>
                <w:rFonts w:ascii="Arial" w:hAnsi="Arial" w:cs="Arial"/>
                <w:b/>
                <w:color w:val="0000FF"/>
                <w:sz w:val="20"/>
              </w:rPr>
              <w:t>Part-time</w:t>
            </w:r>
          </w:p>
        </w:tc>
      </w:tr>
      <w:tr w:rsidR="00132228" w:rsidTr="00DE340C">
        <w:trPr>
          <w:cantSplit/>
          <w:tblHeader/>
        </w:trPr>
        <w:tc>
          <w:tcPr>
            <w:tcW w:w="1574" w:type="pct"/>
            <w:vMerge/>
            <w:tcBorders>
              <w:left w:val="nil"/>
              <w:bottom w:val="single" w:sz="12" w:space="0" w:color="auto"/>
              <w:right w:val="nil"/>
            </w:tcBorders>
          </w:tcPr>
          <w:p w:rsidR="00132228" w:rsidRDefault="00132228" w:rsidP="00DE340C">
            <w:pPr>
              <w:keepLines/>
              <w:rPr>
                <w:rFonts w:ascii="Arial" w:hAnsi="Arial" w:cs="Arial"/>
                <w:b/>
                <w:color w:val="0000FF"/>
                <w:sz w:val="20"/>
              </w:rPr>
            </w:pPr>
          </w:p>
        </w:tc>
        <w:tc>
          <w:tcPr>
            <w:tcW w:w="571" w:type="pct"/>
            <w:tcBorders>
              <w:top w:val="single" w:sz="4" w:space="0" w:color="auto"/>
              <w:left w:val="nil"/>
              <w:bottom w:val="single" w:sz="12" w:space="0" w:color="auto"/>
              <w:right w:val="nil"/>
            </w:tcBorders>
            <w:shd w:val="clear" w:color="auto" w:fill="99CCFF"/>
          </w:tcPr>
          <w:p w:rsidR="00132228" w:rsidRDefault="000D37E4" w:rsidP="0091218C">
            <w:pPr>
              <w:keepLines/>
              <w:jc w:val="center"/>
              <w:rPr>
                <w:rFonts w:ascii="Arial" w:hAnsi="Arial" w:cs="Arial"/>
                <w:b/>
                <w:color w:val="0000FF"/>
                <w:sz w:val="20"/>
              </w:rPr>
            </w:pPr>
            <w:r>
              <w:rPr>
                <w:rFonts w:ascii="Arial" w:hAnsi="Arial" w:cs="Arial"/>
                <w:b/>
                <w:color w:val="0000FF"/>
                <w:sz w:val="20"/>
              </w:rPr>
              <w:t>16</w:t>
            </w:r>
          </w:p>
        </w:tc>
        <w:tc>
          <w:tcPr>
            <w:tcW w:w="571" w:type="pct"/>
            <w:tcBorders>
              <w:top w:val="single" w:sz="4" w:space="0" w:color="auto"/>
              <w:left w:val="nil"/>
              <w:bottom w:val="single" w:sz="12" w:space="0" w:color="auto"/>
              <w:right w:val="nil"/>
            </w:tcBorders>
            <w:shd w:val="clear" w:color="auto" w:fill="auto"/>
          </w:tcPr>
          <w:p w:rsidR="00132228" w:rsidRDefault="000D37E4" w:rsidP="00DE340C">
            <w:pPr>
              <w:keepLines/>
              <w:jc w:val="center"/>
              <w:rPr>
                <w:rFonts w:ascii="Arial" w:hAnsi="Arial" w:cs="Arial"/>
                <w:b/>
                <w:color w:val="0000FF"/>
                <w:sz w:val="20"/>
              </w:rPr>
            </w:pPr>
            <w:r>
              <w:rPr>
                <w:rFonts w:ascii="Arial" w:hAnsi="Arial" w:cs="Arial"/>
                <w:b/>
                <w:color w:val="0000FF"/>
                <w:sz w:val="20"/>
              </w:rPr>
              <w:t>17</w:t>
            </w:r>
          </w:p>
        </w:tc>
        <w:tc>
          <w:tcPr>
            <w:tcW w:w="571" w:type="pct"/>
            <w:tcBorders>
              <w:top w:val="single" w:sz="4" w:space="0" w:color="auto"/>
              <w:left w:val="nil"/>
              <w:bottom w:val="single" w:sz="12" w:space="0" w:color="auto"/>
              <w:right w:val="nil"/>
            </w:tcBorders>
            <w:shd w:val="clear" w:color="auto" w:fill="99CCFF"/>
          </w:tcPr>
          <w:p w:rsidR="00132228" w:rsidRDefault="000D37E4" w:rsidP="00530708">
            <w:pPr>
              <w:keepLines/>
              <w:jc w:val="center"/>
              <w:rPr>
                <w:rFonts w:ascii="Arial" w:hAnsi="Arial" w:cs="Arial"/>
                <w:b/>
                <w:color w:val="0000FF"/>
                <w:sz w:val="20"/>
              </w:rPr>
            </w:pPr>
            <w:r>
              <w:rPr>
                <w:rFonts w:ascii="Arial" w:hAnsi="Arial" w:cs="Arial"/>
                <w:b/>
                <w:color w:val="0000FF"/>
                <w:sz w:val="20"/>
              </w:rPr>
              <w:t>16</w:t>
            </w:r>
          </w:p>
        </w:tc>
        <w:tc>
          <w:tcPr>
            <w:tcW w:w="571" w:type="pct"/>
            <w:tcBorders>
              <w:top w:val="single" w:sz="4" w:space="0" w:color="auto"/>
              <w:left w:val="nil"/>
              <w:bottom w:val="single" w:sz="12" w:space="0" w:color="auto"/>
              <w:right w:val="nil"/>
            </w:tcBorders>
            <w:shd w:val="clear" w:color="auto" w:fill="auto"/>
          </w:tcPr>
          <w:p w:rsidR="00132228" w:rsidRDefault="000D37E4" w:rsidP="00F42B76">
            <w:pPr>
              <w:keepLines/>
              <w:jc w:val="center"/>
              <w:rPr>
                <w:rFonts w:ascii="Arial" w:hAnsi="Arial" w:cs="Arial"/>
                <w:b/>
                <w:color w:val="0000FF"/>
                <w:sz w:val="20"/>
              </w:rPr>
            </w:pPr>
            <w:r>
              <w:rPr>
                <w:rFonts w:ascii="Arial" w:hAnsi="Arial" w:cs="Arial"/>
                <w:b/>
                <w:color w:val="0000FF"/>
                <w:sz w:val="20"/>
              </w:rPr>
              <w:t>17</w:t>
            </w:r>
          </w:p>
        </w:tc>
        <w:tc>
          <w:tcPr>
            <w:tcW w:w="571" w:type="pct"/>
            <w:tcBorders>
              <w:top w:val="single" w:sz="4" w:space="0" w:color="auto"/>
              <w:left w:val="nil"/>
              <w:bottom w:val="single" w:sz="12" w:space="0" w:color="auto"/>
              <w:right w:val="nil"/>
            </w:tcBorders>
            <w:shd w:val="clear" w:color="auto" w:fill="99CCFF"/>
          </w:tcPr>
          <w:p w:rsidR="00132228" w:rsidRDefault="000D37E4" w:rsidP="00F42B76">
            <w:pPr>
              <w:keepLines/>
              <w:jc w:val="center"/>
              <w:rPr>
                <w:rFonts w:ascii="Arial" w:hAnsi="Arial" w:cs="Arial"/>
                <w:b/>
                <w:color w:val="0000FF"/>
                <w:sz w:val="20"/>
              </w:rPr>
            </w:pPr>
            <w:r>
              <w:rPr>
                <w:rFonts w:ascii="Arial" w:hAnsi="Arial" w:cs="Arial"/>
                <w:b/>
                <w:color w:val="0000FF"/>
                <w:sz w:val="20"/>
              </w:rPr>
              <w:t>16</w:t>
            </w:r>
          </w:p>
        </w:tc>
        <w:tc>
          <w:tcPr>
            <w:tcW w:w="571" w:type="pct"/>
            <w:tcBorders>
              <w:top w:val="single" w:sz="4" w:space="0" w:color="auto"/>
              <w:left w:val="nil"/>
              <w:bottom w:val="single" w:sz="12" w:space="0" w:color="auto"/>
              <w:right w:val="nil"/>
            </w:tcBorders>
            <w:shd w:val="clear" w:color="auto" w:fill="auto"/>
          </w:tcPr>
          <w:p w:rsidR="00132228" w:rsidRDefault="000D37E4" w:rsidP="00F42B76">
            <w:pPr>
              <w:keepLines/>
              <w:jc w:val="center"/>
              <w:rPr>
                <w:rFonts w:ascii="Arial" w:hAnsi="Arial" w:cs="Arial"/>
                <w:b/>
                <w:color w:val="0000FF"/>
                <w:sz w:val="20"/>
              </w:rPr>
            </w:pPr>
            <w:r>
              <w:rPr>
                <w:rFonts w:ascii="Arial" w:hAnsi="Arial" w:cs="Arial"/>
                <w:b/>
                <w:color w:val="0000FF"/>
                <w:sz w:val="20"/>
              </w:rPr>
              <w:t>17</w:t>
            </w:r>
          </w:p>
        </w:tc>
      </w:tr>
      <w:tr w:rsidR="00132228" w:rsidTr="00DE340C">
        <w:trPr>
          <w:cantSplit/>
          <w:trHeight w:hRule="exact" w:val="567"/>
        </w:trPr>
        <w:tc>
          <w:tcPr>
            <w:tcW w:w="1574" w:type="pct"/>
            <w:tcBorders>
              <w:top w:val="single" w:sz="12"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Statutory office holders</w:t>
            </w:r>
            <w:r>
              <w:rPr>
                <w:rFonts w:ascii="Arial" w:hAnsi="Arial" w:cs="Arial"/>
                <w:color w:val="0000FF"/>
                <w:sz w:val="18"/>
                <w:szCs w:val="18"/>
              </w:rPr>
              <w:br/>
            </w: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12"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3</w:t>
            </w:r>
          </w:p>
          <w:p w:rsidR="00132228" w:rsidRPr="006B45FC" w:rsidRDefault="00132228" w:rsidP="00DE340C">
            <w:pPr>
              <w:keepLines/>
              <w:spacing w:before="60"/>
              <w:jc w:val="center"/>
              <w:rPr>
                <w:rFonts w:ascii="Arial" w:hAnsi="Arial" w:cs="Arial"/>
                <w:color w:val="0000FF"/>
                <w:sz w:val="18"/>
                <w:szCs w:val="18"/>
              </w:rPr>
            </w:pP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12"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3</w:t>
            </w: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12"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0</w:t>
            </w:r>
          </w:p>
        </w:tc>
      </w:tr>
      <w:tr w:rsidR="00132228" w:rsidTr="00DE340C">
        <w:trPr>
          <w:cantSplit/>
          <w:trHeight w:hRule="exac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SES Band 2</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auto"/>
          </w:tcPr>
          <w:p w:rsidR="00132228" w:rsidRPr="006B45FC"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7</w:t>
            </w:r>
            <w:r>
              <w:rPr>
                <w:rFonts w:ascii="Arial" w:hAnsi="Arial" w:cs="Arial"/>
                <w:color w:val="0000FF"/>
                <w:sz w:val="18"/>
                <w:szCs w:val="18"/>
                <w:vertAlign w:val="superscript"/>
              </w:rPr>
              <w:t>4</w:t>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auto"/>
          </w:tcPr>
          <w:p w:rsidR="00132228" w:rsidRPr="006B45FC"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5</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6B45FC"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2</w:t>
            </w:r>
          </w:p>
        </w:tc>
      </w:tr>
      <w:tr w:rsidR="00132228" w:rsidTr="00DE340C">
        <w:trPr>
          <w:cantSplit/>
          <w:trHeight w:hRule="exac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SES Band 1</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18</w:t>
            </w:r>
            <w:r>
              <w:rPr>
                <w:rFonts w:ascii="Arial" w:hAnsi="Arial" w:cs="Arial"/>
                <w:color w:val="0000FF"/>
                <w:sz w:val="18"/>
                <w:szCs w:val="18"/>
                <w:vertAlign w:val="superscript"/>
              </w:rPr>
              <w:t>1</w:t>
            </w:r>
          </w:p>
        </w:tc>
        <w:tc>
          <w:tcPr>
            <w:tcW w:w="571" w:type="pct"/>
            <w:tcBorders>
              <w:top w:val="single" w:sz="4" w:space="0" w:color="auto"/>
              <w:left w:val="nil"/>
              <w:bottom w:val="single" w:sz="4" w:space="0" w:color="auto"/>
              <w:right w:val="nil"/>
            </w:tcBorders>
            <w:shd w:val="clear" w:color="auto" w:fill="auto"/>
          </w:tcPr>
          <w:p w:rsidR="00132228" w:rsidRPr="006B45FC" w:rsidRDefault="000D37E4" w:rsidP="000D37E4">
            <w:pPr>
              <w:keepLines/>
              <w:spacing w:before="60"/>
              <w:jc w:val="center"/>
              <w:rPr>
                <w:rFonts w:ascii="Arial" w:hAnsi="Arial" w:cs="Arial"/>
                <w:color w:val="0000FF"/>
                <w:sz w:val="18"/>
                <w:szCs w:val="18"/>
              </w:rPr>
            </w:pPr>
            <w:r>
              <w:rPr>
                <w:rFonts w:ascii="Arial" w:hAnsi="Arial" w:cs="Arial"/>
                <w:color w:val="0000FF"/>
                <w:sz w:val="18"/>
                <w:szCs w:val="18"/>
              </w:rPr>
              <w:t>15</w:t>
            </w:r>
            <w:r>
              <w:rPr>
                <w:rFonts w:ascii="Arial" w:hAnsi="Arial" w:cs="Arial"/>
                <w:color w:val="0000FF"/>
                <w:sz w:val="18"/>
                <w:szCs w:val="18"/>
                <w:vertAlign w:val="superscript"/>
              </w:rPr>
              <w:t>5</w:t>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10</w:t>
            </w:r>
          </w:p>
        </w:tc>
        <w:tc>
          <w:tcPr>
            <w:tcW w:w="571" w:type="pct"/>
            <w:tcBorders>
              <w:top w:val="single" w:sz="4" w:space="0" w:color="auto"/>
              <w:left w:val="nil"/>
              <w:bottom w:val="single" w:sz="4" w:space="0" w:color="auto"/>
              <w:right w:val="nil"/>
            </w:tcBorders>
            <w:shd w:val="clear" w:color="auto" w:fill="auto"/>
          </w:tcPr>
          <w:p w:rsidR="00132228" w:rsidRPr="006B45FC"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9</w:t>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auto"/>
          </w:tcPr>
          <w:p w:rsidR="00132228" w:rsidRPr="006B45FC"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6</w:t>
            </w:r>
          </w:p>
        </w:tc>
      </w:tr>
      <w:tr w:rsidR="00132228" w:rsidTr="00DE340C">
        <w:trPr>
          <w:cantSplit/>
          <w:trHeigh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3</w:t>
            </w:r>
          </w:p>
        </w:tc>
        <w:tc>
          <w:tcPr>
            <w:tcW w:w="571" w:type="pct"/>
            <w:tcBorders>
              <w:top w:val="single" w:sz="4" w:space="0" w:color="auto"/>
              <w:left w:val="nil"/>
              <w:bottom w:val="single" w:sz="4" w:space="0" w:color="auto"/>
              <w:right w:val="nil"/>
            </w:tcBorders>
            <w:shd w:val="clear" w:color="auto" w:fill="99CCFF"/>
          </w:tcPr>
          <w:p w:rsidR="00132228" w:rsidRDefault="0091218C" w:rsidP="000D37E4">
            <w:pPr>
              <w:keepLines/>
              <w:spacing w:before="60"/>
              <w:jc w:val="center"/>
              <w:rPr>
                <w:rFonts w:ascii="Arial" w:hAnsi="Arial" w:cs="Arial"/>
                <w:color w:val="0000FF"/>
                <w:sz w:val="18"/>
                <w:szCs w:val="18"/>
              </w:rPr>
            </w:pPr>
            <w:r>
              <w:rPr>
                <w:rFonts w:ascii="Arial" w:hAnsi="Arial" w:cs="Arial"/>
                <w:color w:val="0000FF"/>
                <w:sz w:val="18"/>
                <w:szCs w:val="18"/>
              </w:rPr>
              <w:t>15</w:t>
            </w:r>
            <w:r w:rsidR="000D37E4">
              <w:rPr>
                <w:rFonts w:ascii="Arial" w:hAnsi="Arial" w:cs="Arial"/>
                <w:color w:val="0000FF"/>
                <w:sz w:val="18"/>
                <w:szCs w:val="18"/>
                <w:vertAlign w:val="superscript"/>
              </w:rPr>
              <w:t>2</w:t>
            </w:r>
          </w:p>
        </w:tc>
        <w:tc>
          <w:tcPr>
            <w:tcW w:w="571" w:type="pct"/>
            <w:tcBorders>
              <w:top w:val="single" w:sz="4" w:space="0" w:color="auto"/>
              <w:left w:val="nil"/>
              <w:bottom w:val="single" w:sz="4" w:space="0" w:color="auto"/>
              <w:right w:val="nil"/>
            </w:tcBorders>
            <w:shd w:val="clear" w:color="auto" w:fill="auto"/>
          </w:tcPr>
          <w:p w:rsidR="00132228" w:rsidRPr="006B45FC" w:rsidRDefault="00351C2E" w:rsidP="000D37E4">
            <w:pPr>
              <w:keepLines/>
              <w:spacing w:before="60"/>
              <w:jc w:val="center"/>
              <w:rPr>
                <w:rFonts w:ascii="Arial" w:hAnsi="Arial" w:cs="Arial"/>
                <w:color w:val="0000FF"/>
                <w:sz w:val="18"/>
                <w:szCs w:val="18"/>
              </w:rPr>
            </w:pPr>
            <w:r>
              <w:rPr>
                <w:rFonts w:ascii="Arial" w:hAnsi="Arial" w:cs="Arial"/>
                <w:color w:val="0000FF"/>
                <w:sz w:val="18"/>
                <w:szCs w:val="18"/>
              </w:rPr>
              <w:t>15</w:t>
            </w:r>
            <w:r w:rsidR="000D37E4">
              <w:rPr>
                <w:rFonts w:ascii="Arial" w:hAnsi="Arial" w:cs="Arial"/>
                <w:color w:val="0000FF"/>
                <w:sz w:val="18"/>
                <w:szCs w:val="18"/>
                <w:vertAlign w:val="superscript"/>
              </w:rPr>
              <w:t>6</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10</w:t>
            </w:r>
          </w:p>
        </w:tc>
        <w:tc>
          <w:tcPr>
            <w:tcW w:w="571" w:type="pct"/>
            <w:tcBorders>
              <w:top w:val="single" w:sz="4" w:space="0" w:color="auto"/>
              <w:left w:val="nil"/>
              <w:bottom w:val="single" w:sz="4" w:space="0" w:color="auto"/>
              <w:right w:val="nil"/>
            </w:tcBorders>
            <w:shd w:val="clear" w:color="auto" w:fill="auto"/>
          </w:tcPr>
          <w:p w:rsidR="00132228" w:rsidRPr="006B45FC"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10</w:t>
            </w:r>
          </w:p>
        </w:tc>
        <w:tc>
          <w:tcPr>
            <w:tcW w:w="571" w:type="pct"/>
            <w:tcBorders>
              <w:top w:val="single" w:sz="4" w:space="0" w:color="auto"/>
              <w:left w:val="nil"/>
              <w:bottom w:val="single" w:sz="4" w:space="0" w:color="auto"/>
              <w:right w:val="nil"/>
            </w:tcBorders>
            <w:shd w:val="clear" w:color="auto" w:fill="99CCFF"/>
          </w:tcPr>
          <w:p w:rsidR="00132228" w:rsidRPr="00A5389C" w:rsidRDefault="00F42B76" w:rsidP="00DE340C">
            <w:pPr>
              <w:keepLines/>
              <w:spacing w:before="60"/>
              <w:jc w:val="center"/>
              <w:rPr>
                <w:rFonts w:ascii="Arial" w:hAnsi="Arial" w:cs="Arial"/>
                <w:color w:val="0000FF"/>
                <w:sz w:val="18"/>
                <w:szCs w:val="18"/>
                <w:vertAlign w:val="superscript"/>
              </w:rPr>
            </w:pPr>
            <w:r>
              <w:rPr>
                <w:rFonts w:ascii="Arial" w:hAnsi="Arial" w:cs="Arial"/>
                <w:color w:val="0000FF"/>
                <w:sz w:val="18"/>
                <w:szCs w:val="18"/>
              </w:rPr>
              <w:t>5</w:t>
            </w:r>
          </w:p>
        </w:tc>
        <w:tc>
          <w:tcPr>
            <w:tcW w:w="571" w:type="pct"/>
            <w:tcBorders>
              <w:top w:val="single" w:sz="4"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vertAlign w:val="superscript"/>
              </w:rPr>
            </w:pPr>
            <w:r w:rsidRPr="006B45FC">
              <w:rPr>
                <w:rFonts w:ascii="Arial" w:hAnsi="Arial" w:cs="Arial"/>
                <w:color w:val="0000FF"/>
                <w:sz w:val="18"/>
                <w:szCs w:val="18"/>
              </w:rPr>
              <w:t>5</w:t>
            </w:r>
          </w:p>
        </w:tc>
      </w:tr>
      <w:tr w:rsidR="0091218C" w:rsidTr="00DE340C">
        <w:trPr>
          <w:cantSplit/>
          <w:trHeight w:val="567"/>
        </w:trPr>
        <w:tc>
          <w:tcPr>
            <w:tcW w:w="1574" w:type="pct"/>
            <w:tcBorders>
              <w:top w:val="single" w:sz="4" w:space="0" w:color="auto"/>
              <w:left w:val="nil"/>
              <w:bottom w:val="single" w:sz="4" w:space="0" w:color="auto"/>
              <w:right w:val="nil"/>
            </w:tcBorders>
          </w:tcPr>
          <w:p w:rsidR="0091218C" w:rsidRDefault="0091218C"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2</w:t>
            </w:r>
          </w:p>
        </w:tc>
        <w:tc>
          <w:tcPr>
            <w:tcW w:w="571" w:type="pct"/>
            <w:tcBorders>
              <w:top w:val="single" w:sz="4" w:space="0" w:color="auto"/>
              <w:left w:val="nil"/>
              <w:bottom w:val="single" w:sz="4" w:space="0" w:color="auto"/>
              <w:right w:val="nil"/>
            </w:tcBorders>
            <w:shd w:val="clear" w:color="auto" w:fill="99CCFF"/>
          </w:tcPr>
          <w:p w:rsidR="0091218C" w:rsidRDefault="000D37E4" w:rsidP="0091218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91218C" w:rsidRPr="001E5F06"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4" w:space="0" w:color="auto"/>
              <w:left w:val="nil"/>
              <w:bottom w:val="single" w:sz="4" w:space="0" w:color="auto"/>
              <w:right w:val="nil"/>
            </w:tcBorders>
            <w:shd w:val="clear" w:color="auto" w:fill="99CCFF"/>
          </w:tcPr>
          <w:p w:rsidR="0091218C"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91218C" w:rsidRPr="001E5F06"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4" w:space="0" w:color="auto"/>
              <w:left w:val="nil"/>
              <w:bottom w:val="single" w:sz="4" w:space="0" w:color="auto"/>
              <w:right w:val="nil"/>
            </w:tcBorders>
            <w:shd w:val="clear" w:color="auto" w:fill="99CCFF"/>
          </w:tcPr>
          <w:p w:rsidR="0091218C"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91218C"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Heigh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1</w:t>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132228" w:rsidRPr="001E5F06"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132228" w:rsidRPr="001E5F06"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Height w:hRule="exac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Executive Level 2</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auto"/>
          </w:tcPr>
          <w:p w:rsidR="00132228" w:rsidRPr="001E5F06"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Height w:hRule="exac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Executive Level 1</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Height w:val="567"/>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OPC Broadband B</w:t>
            </w:r>
            <w:r>
              <w:rPr>
                <w:rFonts w:ascii="Arial" w:hAnsi="Arial" w:cs="Arial"/>
                <w:color w:val="0000FF"/>
                <w:sz w:val="18"/>
                <w:szCs w:val="18"/>
              </w:rPr>
              <w:br/>
              <w:t>(APS 4 - 6)</w:t>
            </w:r>
          </w:p>
        </w:tc>
        <w:tc>
          <w:tcPr>
            <w:tcW w:w="571" w:type="pct"/>
            <w:tcBorders>
              <w:top w:val="single" w:sz="4" w:space="0" w:color="auto"/>
              <w:left w:val="nil"/>
              <w:bottom w:val="single" w:sz="4" w:space="0" w:color="auto"/>
              <w:right w:val="nil"/>
            </w:tcBorders>
            <w:shd w:val="clear" w:color="auto" w:fill="99CCFF"/>
          </w:tcPr>
          <w:p w:rsidR="00132228" w:rsidRDefault="000D37E4" w:rsidP="00F42B76">
            <w:pPr>
              <w:keepLines/>
              <w:spacing w:before="60"/>
              <w:jc w:val="center"/>
              <w:rPr>
                <w:rFonts w:ascii="Arial" w:hAnsi="Arial" w:cs="Arial"/>
                <w:color w:val="0000FF"/>
                <w:sz w:val="18"/>
                <w:szCs w:val="18"/>
              </w:rPr>
            </w:pPr>
            <w:r>
              <w:rPr>
                <w:rFonts w:ascii="Arial" w:hAnsi="Arial" w:cs="Arial"/>
                <w:color w:val="0000FF"/>
                <w:sz w:val="18"/>
                <w:szCs w:val="18"/>
              </w:rPr>
              <w:t>43</w:t>
            </w:r>
            <w:r w:rsidR="00F42B76">
              <w:rPr>
                <w:rFonts w:ascii="Arial" w:hAnsi="Arial" w:cs="Arial"/>
                <w:color w:val="0000FF"/>
                <w:sz w:val="18"/>
                <w:szCs w:val="18"/>
                <w:vertAlign w:val="superscript"/>
              </w:rPr>
              <w:t>3</w:t>
            </w:r>
          </w:p>
        </w:tc>
        <w:tc>
          <w:tcPr>
            <w:tcW w:w="571" w:type="pct"/>
            <w:tcBorders>
              <w:top w:val="single" w:sz="4" w:space="0" w:color="auto"/>
              <w:left w:val="nil"/>
              <w:bottom w:val="single" w:sz="4" w:space="0" w:color="auto"/>
              <w:right w:val="nil"/>
            </w:tcBorders>
            <w:shd w:val="clear" w:color="auto" w:fill="auto"/>
          </w:tcPr>
          <w:p w:rsidR="00132228" w:rsidRPr="001E5F06" w:rsidRDefault="000D37E4" w:rsidP="000D37E4">
            <w:pPr>
              <w:keepLines/>
              <w:spacing w:before="60"/>
              <w:jc w:val="center"/>
              <w:rPr>
                <w:rFonts w:ascii="Arial" w:hAnsi="Arial" w:cs="Arial"/>
                <w:color w:val="0000FF"/>
                <w:sz w:val="18"/>
                <w:szCs w:val="18"/>
              </w:rPr>
            </w:pPr>
            <w:r>
              <w:rPr>
                <w:rFonts w:ascii="Arial" w:hAnsi="Arial" w:cs="Arial"/>
                <w:color w:val="0000FF"/>
                <w:sz w:val="18"/>
                <w:szCs w:val="18"/>
              </w:rPr>
              <w:t>44</w:t>
            </w:r>
            <w:r>
              <w:rPr>
                <w:rFonts w:ascii="Arial" w:hAnsi="Arial" w:cs="Arial"/>
                <w:color w:val="0000FF"/>
                <w:sz w:val="18"/>
                <w:szCs w:val="18"/>
                <w:vertAlign w:val="superscript"/>
              </w:rPr>
              <w:t>7</w:t>
            </w:r>
          </w:p>
        </w:tc>
        <w:tc>
          <w:tcPr>
            <w:tcW w:w="571" w:type="pct"/>
            <w:tcBorders>
              <w:top w:val="single" w:sz="4" w:space="0" w:color="auto"/>
              <w:left w:val="nil"/>
              <w:bottom w:val="single" w:sz="4" w:space="0" w:color="auto"/>
              <w:right w:val="nil"/>
            </w:tcBorders>
            <w:shd w:val="clear" w:color="auto" w:fill="99CCFF"/>
          </w:tcPr>
          <w:p w:rsidR="00132228" w:rsidRDefault="000D37E4" w:rsidP="00DE340C">
            <w:pPr>
              <w:keepLines/>
              <w:spacing w:before="60"/>
              <w:jc w:val="center"/>
              <w:rPr>
                <w:rFonts w:ascii="Arial" w:hAnsi="Arial" w:cs="Arial"/>
                <w:color w:val="0000FF"/>
                <w:sz w:val="18"/>
                <w:szCs w:val="18"/>
              </w:rPr>
            </w:pPr>
            <w:r>
              <w:rPr>
                <w:rFonts w:ascii="Arial" w:hAnsi="Arial" w:cs="Arial"/>
                <w:color w:val="0000FF"/>
                <w:sz w:val="18"/>
                <w:szCs w:val="18"/>
              </w:rPr>
              <w:t>32</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32</w:t>
            </w:r>
          </w:p>
        </w:tc>
        <w:tc>
          <w:tcPr>
            <w:tcW w:w="571" w:type="pct"/>
            <w:tcBorders>
              <w:top w:val="single" w:sz="4" w:space="0" w:color="auto"/>
              <w:left w:val="nil"/>
              <w:bottom w:val="single" w:sz="4" w:space="0" w:color="auto"/>
              <w:right w:val="nil"/>
            </w:tcBorders>
            <w:shd w:val="clear" w:color="auto" w:fill="99CCFF"/>
          </w:tcPr>
          <w:p w:rsidR="00132228" w:rsidRPr="00A5389C" w:rsidRDefault="000D37E4" w:rsidP="00DE340C">
            <w:pPr>
              <w:keepLines/>
              <w:spacing w:before="60"/>
              <w:jc w:val="center"/>
              <w:rPr>
                <w:rFonts w:ascii="Arial" w:hAnsi="Arial" w:cs="Arial"/>
                <w:color w:val="0000FF"/>
                <w:sz w:val="18"/>
                <w:szCs w:val="18"/>
                <w:vertAlign w:val="superscript"/>
              </w:rPr>
            </w:pPr>
            <w:r>
              <w:rPr>
                <w:rFonts w:ascii="Arial" w:hAnsi="Arial" w:cs="Arial"/>
                <w:color w:val="0000FF"/>
                <w:sz w:val="18"/>
                <w:szCs w:val="18"/>
              </w:rPr>
              <w:t>11</w:t>
            </w:r>
          </w:p>
        </w:tc>
        <w:tc>
          <w:tcPr>
            <w:tcW w:w="571" w:type="pct"/>
            <w:tcBorders>
              <w:top w:val="single" w:sz="4" w:space="0" w:color="auto"/>
              <w:left w:val="nil"/>
              <w:bottom w:val="single" w:sz="4" w:space="0" w:color="auto"/>
              <w:right w:val="nil"/>
            </w:tcBorders>
            <w:shd w:val="clear" w:color="auto" w:fill="auto"/>
          </w:tcPr>
          <w:p w:rsidR="00132228" w:rsidRPr="001E5F06" w:rsidRDefault="000D37E4" w:rsidP="00DE340C">
            <w:pPr>
              <w:keepLines/>
              <w:spacing w:before="60"/>
              <w:jc w:val="center"/>
              <w:rPr>
                <w:rFonts w:ascii="Arial" w:hAnsi="Arial" w:cs="Arial"/>
                <w:color w:val="0000FF"/>
                <w:sz w:val="18"/>
                <w:szCs w:val="18"/>
                <w:vertAlign w:val="superscript"/>
              </w:rPr>
            </w:pPr>
            <w:r>
              <w:rPr>
                <w:rFonts w:ascii="Arial" w:hAnsi="Arial" w:cs="Arial"/>
                <w:color w:val="0000FF"/>
                <w:sz w:val="18"/>
                <w:szCs w:val="18"/>
              </w:rPr>
              <w:t>12</w:t>
            </w:r>
          </w:p>
        </w:tc>
      </w:tr>
      <w:tr w:rsidR="00132228" w:rsidTr="00DE340C">
        <w:trPr>
          <w:cantSplit/>
          <w:trHeight w:val="567"/>
        </w:trPr>
        <w:tc>
          <w:tcPr>
            <w:tcW w:w="1574" w:type="pct"/>
            <w:tcBorders>
              <w:top w:val="single" w:sz="4" w:space="0" w:color="auto"/>
              <w:left w:val="nil"/>
              <w:bottom w:val="single" w:sz="12"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OPC Broadband A</w:t>
            </w:r>
            <w:r>
              <w:rPr>
                <w:rFonts w:ascii="Arial" w:hAnsi="Arial" w:cs="Arial"/>
                <w:color w:val="0000FF"/>
                <w:sz w:val="18"/>
                <w:szCs w:val="18"/>
              </w:rPr>
              <w:br/>
              <w:t>(APS 1 - 3)</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0</w:t>
            </w:r>
          </w:p>
        </w:tc>
      </w:tr>
      <w:tr w:rsidR="00132228" w:rsidTr="00DE340C">
        <w:trPr>
          <w:cantSplit/>
        </w:trPr>
        <w:tc>
          <w:tcPr>
            <w:tcW w:w="1574" w:type="pct"/>
            <w:tcBorders>
              <w:top w:val="single" w:sz="12" w:space="0" w:color="auto"/>
              <w:left w:val="nil"/>
              <w:bottom w:val="single" w:sz="12" w:space="0" w:color="auto"/>
              <w:right w:val="nil"/>
            </w:tcBorders>
          </w:tcPr>
          <w:p w:rsidR="00132228" w:rsidRDefault="00132228" w:rsidP="00DE340C">
            <w:pPr>
              <w:spacing w:after="60"/>
              <w:rPr>
                <w:rFonts w:ascii="Arial" w:hAnsi="Arial" w:cs="Arial"/>
                <w:b/>
                <w:color w:val="0000FF"/>
                <w:sz w:val="18"/>
                <w:szCs w:val="18"/>
              </w:rPr>
            </w:pPr>
          </w:p>
          <w:p w:rsidR="00132228" w:rsidRDefault="00132228" w:rsidP="00DE340C">
            <w:pPr>
              <w:spacing w:after="60"/>
              <w:rPr>
                <w:rFonts w:ascii="Arial" w:hAnsi="Arial" w:cs="Arial"/>
                <w:b/>
                <w:color w:val="0000FF"/>
                <w:sz w:val="18"/>
                <w:szCs w:val="18"/>
              </w:rPr>
            </w:pPr>
            <w:r>
              <w:rPr>
                <w:rFonts w:ascii="Arial" w:hAnsi="Arial" w:cs="Arial"/>
                <w:b/>
                <w:color w:val="0000FF"/>
                <w:sz w:val="18"/>
                <w:szCs w:val="18"/>
              </w:rPr>
              <w:t>Totals</w:t>
            </w:r>
          </w:p>
        </w:tc>
        <w:tc>
          <w:tcPr>
            <w:tcW w:w="571" w:type="pct"/>
            <w:tcBorders>
              <w:top w:val="single" w:sz="12" w:space="0" w:color="auto"/>
              <w:left w:val="nil"/>
              <w:bottom w:val="single" w:sz="12" w:space="0" w:color="auto"/>
              <w:right w:val="nil"/>
            </w:tcBorders>
            <w:shd w:val="clear" w:color="auto" w:fill="99CCFF"/>
            <w:vAlign w:val="bottom"/>
          </w:tcPr>
          <w:p w:rsidR="00132228" w:rsidRDefault="000D37E4" w:rsidP="00DE340C">
            <w:pPr>
              <w:spacing w:after="60"/>
              <w:jc w:val="center"/>
              <w:rPr>
                <w:rFonts w:ascii="Arial" w:hAnsi="Arial" w:cs="Arial"/>
                <w:b/>
                <w:color w:val="0000FF"/>
                <w:sz w:val="18"/>
                <w:szCs w:val="18"/>
              </w:rPr>
            </w:pPr>
            <w:r>
              <w:rPr>
                <w:rFonts w:ascii="Arial" w:hAnsi="Arial" w:cs="Arial"/>
                <w:b/>
                <w:color w:val="0000FF"/>
                <w:sz w:val="18"/>
                <w:szCs w:val="18"/>
              </w:rPr>
              <w:t>102</w:t>
            </w:r>
          </w:p>
        </w:tc>
        <w:tc>
          <w:tcPr>
            <w:tcW w:w="571" w:type="pct"/>
            <w:tcBorders>
              <w:top w:val="single" w:sz="12" w:space="0" w:color="auto"/>
              <w:left w:val="nil"/>
              <w:bottom w:val="single" w:sz="12" w:space="0" w:color="auto"/>
              <w:right w:val="nil"/>
            </w:tcBorders>
            <w:shd w:val="clear" w:color="auto" w:fill="auto"/>
            <w:vAlign w:val="bottom"/>
          </w:tcPr>
          <w:p w:rsidR="00132228" w:rsidRPr="001E5F06" w:rsidRDefault="000D37E4" w:rsidP="00DE340C">
            <w:pPr>
              <w:spacing w:after="60"/>
              <w:jc w:val="center"/>
              <w:rPr>
                <w:rFonts w:ascii="Arial" w:hAnsi="Arial" w:cs="Arial"/>
                <w:b/>
                <w:color w:val="0000FF"/>
                <w:sz w:val="18"/>
                <w:szCs w:val="18"/>
              </w:rPr>
            </w:pPr>
            <w:r>
              <w:rPr>
                <w:rFonts w:ascii="Arial" w:hAnsi="Arial" w:cs="Arial"/>
                <w:b/>
                <w:color w:val="0000FF"/>
                <w:sz w:val="18"/>
                <w:szCs w:val="18"/>
              </w:rPr>
              <w:t>106</w:t>
            </w:r>
          </w:p>
        </w:tc>
        <w:tc>
          <w:tcPr>
            <w:tcW w:w="571" w:type="pct"/>
            <w:tcBorders>
              <w:top w:val="single" w:sz="12" w:space="0" w:color="auto"/>
              <w:left w:val="nil"/>
              <w:bottom w:val="single" w:sz="12" w:space="0" w:color="auto"/>
              <w:right w:val="nil"/>
            </w:tcBorders>
            <w:shd w:val="clear" w:color="auto" w:fill="99CCFF"/>
            <w:vAlign w:val="bottom"/>
          </w:tcPr>
          <w:p w:rsidR="00132228" w:rsidRDefault="000D37E4" w:rsidP="00DE340C">
            <w:pPr>
              <w:spacing w:after="60"/>
              <w:jc w:val="center"/>
              <w:rPr>
                <w:rFonts w:ascii="Arial" w:hAnsi="Arial" w:cs="Arial"/>
                <w:b/>
                <w:color w:val="0000FF"/>
                <w:sz w:val="18"/>
                <w:szCs w:val="18"/>
              </w:rPr>
            </w:pPr>
            <w:r>
              <w:rPr>
                <w:rFonts w:ascii="Arial" w:hAnsi="Arial" w:cs="Arial"/>
                <w:b/>
                <w:color w:val="0000FF"/>
                <w:sz w:val="18"/>
                <w:szCs w:val="18"/>
              </w:rPr>
              <w:t>78</w:t>
            </w:r>
          </w:p>
        </w:tc>
        <w:tc>
          <w:tcPr>
            <w:tcW w:w="571" w:type="pct"/>
            <w:tcBorders>
              <w:top w:val="single" w:sz="12" w:space="0" w:color="auto"/>
              <w:left w:val="nil"/>
              <w:bottom w:val="single" w:sz="12" w:space="0" w:color="auto"/>
              <w:right w:val="nil"/>
            </w:tcBorders>
            <w:shd w:val="clear" w:color="auto" w:fill="auto"/>
            <w:vAlign w:val="bottom"/>
          </w:tcPr>
          <w:p w:rsidR="00132228" w:rsidRPr="001E5F06" w:rsidRDefault="000D37E4" w:rsidP="00DE340C">
            <w:pPr>
              <w:spacing w:after="60"/>
              <w:jc w:val="center"/>
              <w:rPr>
                <w:rFonts w:ascii="Arial" w:hAnsi="Arial" w:cs="Arial"/>
                <w:b/>
                <w:color w:val="0000FF"/>
                <w:sz w:val="18"/>
                <w:szCs w:val="18"/>
              </w:rPr>
            </w:pPr>
            <w:r>
              <w:rPr>
                <w:rFonts w:ascii="Arial" w:hAnsi="Arial" w:cs="Arial"/>
                <w:b/>
                <w:color w:val="0000FF"/>
                <w:sz w:val="18"/>
                <w:szCs w:val="18"/>
              </w:rPr>
              <w:t>81</w:t>
            </w:r>
          </w:p>
        </w:tc>
        <w:tc>
          <w:tcPr>
            <w:tcW w:w="571" w:type="pct"/>
            <w:tcBorders>
              <w:top w:val="single" w:sz="12" w:space="0" w:color="auto"/>
              <w:left w:val="nil"/>
              <w:bottom w:val="single" w:sz="12" w:space="0" w:color="auto"/>
              <w:right w:val="nil"/>
            </w:tcBorders>
            <w:shd w:val="clear" w:color="auto" w:fill="99CCFF"/>
            <w:vAlign w:val="bottom"/>
          </w:tcPr>
          <w:p w:rsidR="00132228" w:rsidRDefault="00473679" w:rsidP="00DE340C">
            <w:pPr>
              <w:spacing w:after="60"/>
              <w:jc w:val="center"/>
              <w:rPr>
                <w:rFonts w:ascii="Arial" w:hAnsi="Arial" w:cs="Arial"/>
                <w:b/>
                <w:color w:val="0000FF"/>
                <w:sz w:val="18"/>
                <w:szCs w:val="18"/>
              </w:rPr>
            </w:pPr>
            <w:r>
              <w:rPr>
                <w:rFonts w:ascii="Arial" w:hAnsi="Arial" w:cs="Arial"/>
                <w:b/>
                <w:color w:val="0000FF"/>
                <w:sz w:val="18"/>
                <w:szCs w:val="18"/>
              </w:rPr>
              <w:t>24</w:t>
            </w:r>
          </w:p>
        </w:tc>
        <w:tc>
          <w:tcPr>
            <w:tcW w:w="571" w:type="pct"/>
            <w:tcBorders>
              <w:top w:val="single" w:sz="12" w:space="0" w:color="auto"/>
              <w:left w:val="nil"/>
              <w:bottom w:val="single" w:sz="12" w:space="0" w:color="auto"/>
              <w:right w:val="nil"/>
            </w:tcBorders>
            <w:shd w:val="clear" w:color="auto" w:fill="auto"/>
            <w:vAlign w:val="bottom"/>
          </w:tcPr>
          <w:p w:rsidR="00132228" w:rsidRPr="001E5F06" w:rsidRDefault="000D37E4" w:rsidP="00DE340C">
            <w:pPr>
              <w:spacing w:after="60"/>
              <w:jc w:val="center"/>
              <w:rPr>
                <w:rFonts w:ascii="Arial" w:hAnsi="Arial" w:cs="Arial"/>
                <w:b/>
                <w:color w:val="0000FF"/>
                <w:sz w:val="18"/>
                <w:szCs w:val="18"/>
              </w:rPr>
            </w:pPr>
            <w:r>
              <w:rPr>
                <w:rFonts w:ascii="Arial" w:hAnsi="Arial" w:cs="Arial"/>
                <w:b/>
                <w:color w:val="0000FF"/>
                <w:sz w:val="18"/>
                <w:szCs w:val="18"/>
              </w:rPr>
              <w:t>25</w:t>
            </w:r>
          </w:p>
        </w:tc>
      </w:tr>
    </w:tbl>
    <w:p w:rsidR="00132228" w:rsidRDefault="00132228" w:rsidP="00132228">
      <w:pPr>
        <w:pStyle w:val="Blocks"/>
        <w:ind w:left="600" w:hanging="600"/>
        <w:rPr>
          <w:rFonts w:ascii="Arial" w:hAnsi="Arial" w:cs="Arial"/>
          <w:sz w:val="16"/>
          <w:szCs w:val="16"/>
        </w:rPr>
      </w:pPr>
    </w:p>
    <w:p w:rsidR="00132228" w:rsidRDefault="00132228" w:rsidP="00132228">
      <w:pPr>
        <w:pStyle w:val="Blocks"/>
        <w:ind w:left="600" w:hanging="600"/>
        <w:rPr>
          <w:rFonts w:ascii="Arial" w:hAnsi="Arial" w:cs="Arial"/>
          <w:sz w:val="16"/>
          <w:szCs w:val="16"/>
        </w:rPr>
      </w:pPr>
      <w:r w:rsidRPr="00840C86">
        <w:rPr>
          <w:rFonts w:ascii="Arial" w:hAnsi="Arial" w:cs="Arial"/>
          <w:sz w:val="16"/>
          <w:szCs w:val="16"/>
        </w:rPr>
        <w:t>1</w:t>
      </w:r>
      <w:r w:rsidRPr="00840C86">
        <w:rPr>
          <w:rFonts w:ascii="Arial" w:hAnsi="Arial" w:cs="Arial"/>
          <w:sz w:val="16"/>
          <w:szCs w:val="16"/>
        </w:rPr>
        <w:tab/>
      </w:r>
      <w:r w:rsidR="00F42B76">
        <w:rPr>
          <w:rFonts w:ascii="Arial" w:hAnsi="Arial" w:cs="Arial"/>
          <w:sz w:val="16"/>
          <w:szCs w:val="16"/>
        </w:rPr>
        <w:t xml:space="preserve">Includes 1 employee on </w:t>
      </w:r>
      <w:r w:rsidR="000D37E4">
        <w:rPr>
          <w:rFonts w:ascii="Arial" w:hAnsi="Arial" w:cs="Arial"/>
          <w:sz w:val="16"/>
          <w:szCs w:val="16"/>
        </w:rPr>
        <w:t>leave without pay</w:t>
      </w:r>
      <w:r w:rsidR="00F42B76">
        <w:rPr>
          <w:rFonts w:ascii="Arial" w:hAnsi="Arial" w:cs="Arial"/>
          <w:sz w:val="16"/>
          <w:szCs w:val="16"/>
        </w:rPr>
        <w:t>.</w:t>
      </w:r>
    </w:p>
    <w:p w:rsidR="00132228" w:rsidRDefault="00132228" w:rsidP="00132228">
      <w:pPr>
        <w:pStyle w:val="Blocks"/>
        <w:ind w:left="600" w:hanging="600"/>
        <w:rPr>
          <w:rFonts w:ascii="Arial" w:hAnsi="Arial" w:cs="Arial"/>
          <w:sz w:val="16"/>
          <w:szCs w:val="16"/>
        </w:rPr>
      </w:pPr>
      <w:r>
        <w:rPr>
          <w:rFonts w:ascii="Arial" w:hAnsi="Arial" w:cs="Arial"/>
          <w:sz w:val="16"/>
          <w:szCs w:val="16"/>
        </w:rPr>
        <w:t>2</w:t>
      </w:r>
      <w:r>
        <w:rPr>
          <w:rFonts w:ascii="Arial" w:hAnsi="Arial" w:cs="Arial"/>
          <w:sz w:val="16"/>
          <w:szCs w:val="16"/>
        </w:rPr>
        <w:tab/>
      </w:r>
      <w:r w:rsidR="00F42B76">
        <w:rPr>
          <w:rFonts w:ascii="Arial" w:hAnsi="Arial" w:cs="Arial"/>
          <w:sz w:val="16"/>
          <w:szCs w:val="16"/>
        </w:rPr>
        <w:t xml:space="preserve">Includes 1 employee on </w:t>
      </w:r>
      <w:r w:rsidR="000D37E4">
        <w:rPr>
          <w:rFonts w:ascii="Arial" w:hAnsi="Arial" w:cs="Arial"/>
          <w:sz w:val="16"/>
          <w:szCs w:val="16"/>
        </w:rPr>
        <w:t>maternity leave</w:t>
      </w:r>
      <w:r w:rsidR="00F42B76">
        <w:rPr>
          <w:rFonts w:ascii="Arial" w:hAnsi="Arial" w:cs="Arial"/>
          <w:sz w:val="16"/>
          <w:szCs w:val="16"/>
        </w:rPr>
        <w:t>.</w:t>
      </w:r>
    </w:p>
    <w:p w:rsidR="00132228" w:rsidRDefault="00132228" w:rsidP="00132228">
      <w:pPr>
        <w:pStyle w:val="Blocks"/>
        <w:ind w:left="600" w:hanging="600"/>
        <w:rPr>
          <w:rFonts w:ascii="Arial" w:hAnsi="Arial" w:cs="Arial"/>
          <w:sz w:val="16"/>
          <w:szCs w:val="16"/>
        </w:rPr>
      </w:pPr>
      <w:r>
        <w:rPr>
          <w:rFonts w:ascii="Arial" w:hAnsi="Arial" w:cs="Arial"/>
          <w:sz w:val="16"/>
          <w:szCs w:val="16"/>
        </w:rPr>
        <w:t>3</w:t>
      </w:r>
      <w:r>
        <w:rPr>
          <w:rFonts w:ascii="Arial" w:hAnsi="Arial" w:cs="Arial"/>
          <w:sz w:val="16"/>
          <w:szCs w:val="16"/>
        </w:rPr>
        <w:tab/>
      </w:r>
      <w:r w:rsidR="00F42B76">
        <w:rPr>
          <w:rFonts w:ascii="Arial" w:hAnsi="Arial" w:cs="Arial"/>
          <w:sz w:val="16"/>
          <w:szCs w:val="16"/>
        </w:rPr>
        <w:t xml:space="preserve">Includes 3 employees on </w:t>
      </w:r>
      <w:r w:rsidR="000D37E4">
        <w:rPr>
          <w:rFonts w:ascii="Arial" w:hAnsi="Arial" w:cs="Arial"/>
          <w:sz w:val="16"/>
          <w:szCs w:val="16"/>
        </w:rPr>
        <w:t>leave without pay and</w:t>
      </w:r>
      <w:r w:rsidR="00F42B76">
        <w:rPr>
          <w:rFonts w:ascii="Arial" w:hAnsi="Arial" w:cs="Arial"/>
          <w:sz w:val="16"/>
          <w:szCs w:val="16"/>
        </w:rPr>
        <w:t xml:space="preserve"> 2 employees on maternity leave.</w:t>
      </w:r>
    </w:p>
    <w:p w:rsidR="00132228" w:rsidRPr="006B45FC" w:rsidRDefault="00132228" w:rsidP="00132228">
      <w:pPr>
        <w:pStyle w:val="Blocks"/>
        <w:ind w:left="600" w:hanging="600"/>
        <w:rPr>
          <w:rFonts w:ascii="Arial" w:hAnsi="Arial" w:cs="Arial"/>
          <w:sz w:val="16"/>
          <w:szCs w:val="16"/>
        </w:rPr>
      </w:pPr>
      <w:r w:rsidRPr="006B45FC">
        <w:rPr>
          <w:rFonts w:ascii="Arial" w:hAnsi="Arial" w:cs="Arial"/>
          <w:sz w:val="16"/>
          <w:szCs w:val="16"/>
        </w:rPr>
        <w:t>4</w:t>
      </w:r>
      <w:r w:rsidRPr="006B45FC">
        <w:rPr>
          <w:rFonts w:ascii="Arial" w:hAnsi="Arial" w:cs="Arial"/>
          <w:sz w:val="16"/>
          <w:szCs w:val="16"/>
        </w:rPr>
        <w:tab/>
        <w:t xml:space="preserve">Includes </w:t>
      </w:r>
      <w:r w:rsidR="006B45FC" w:rsidRPr="006B45FC">
        <w:rPr>
          <w:rFonts w:ascii="Arial" w:hAnsi="Arial" w:cs="Arial"/>
          <w:sz w:val="16"/>
          <w:szCs w:val="16"/>
        </w:rPr>
        <w:t>1</w:t>
      </w:r>
      <w:r w:rsidRPr="006B45FC">
        <w:rPr>
          <w:rFonts w:ascii="Arial" w:hAnsi="Arial" w:cs="Arial"/>
          <w:sz w:val="16"/>
          <w:szCs w:val="16"/>
        </w:rPr>
        <w:t xml:space="preserve"> employee on leave without pay.</w:t>
      </w:r>
    </w:p>
    <w:p w:rsidR="00132228" w:rsidRPr="00F42B76" w:rsidRDefault="00132228" w:rsidP="00132228">
      <w:pPr>
        <w:pStyle w:val="Blocks"/>
        <w:ind w:left="600" w:hanging="600"/>
        <w:rPr>
          <w:rFonts w:ascii="Arial" w:hAnsi="Arial" w:cs="Arial"/>
          <w:sz w:val="16"/>
          <w:szCs w:val="16"/>
          <w:highlight w:val="yellow"/>
        </w:rPr>
      </w:pPr>
      <w:r w:rsidRPr="006B45FC">
        <w:rPr>
          <w:rFonts w:ascii="Arial" w:hAnsi="Arial" w:cs="Arial"/>
          <w:sz w:val="16"/>
          <w:szCs w:val="16"/>
        </w:rPr>
        <w:t>5</w:t>
      </w:r>
      <w:r w:rsidRPr="006B45FC">
        <w:rPr>
          <w:rFonts w:ascii="Arial" w:hAnsi="Arial" w:cs="Arial"/>
          <w:sz w:val="16"/>
          <w:szCs w:val="16"/>
        </w:rPr>
        <w:tab/>
        <w:t xml:space="preserve">Includes 1 </w:t>
      </w:r>
      <w:r w:rsidR="006B45FC" w:rsidRPr="006B45FC">
        <w:rPr>
          <w:rFonts w:ascii="Arial" w:hAnsi="Arial" w:cs="Arial"/>
          <w:sz w:val="16"/>
          <w:szCs w:val="16"/>
        </w:rPr>
        <w:t>employee on maternity leave</w:t>
      </w:r>
      <w:r w:rsidRPr="006B45FC">
        <w:rPr>
          <w:rFonts w:ascii="Arial" w:hAnsi="Arial" w:cs="Arial"/>
          <w:sz w:val="16"/>
          <w:szCs w:val="16"/>
        </w:rPr>
        <w:t>.</w:t>
      </w:r>
    </w:p>
    <w:p w:rsidR="00132228" w:rsidRDefault="00132228" w:rsidP="00132228">
      <w:pPr>
        <w:pStyle w:val="Blocks"/>
        <w:ind w:left="600" w:hanging="600"/>
        <w:rPr>
          <w:rFonts w:ascii="Arial" w:hAnsi="Arial" w:cs="Arial"/>
          <w:sz w:val="16"/>
          <w:szCs w:val="16"/>
        </w:rPr>
      </w:pPr>
      <w:r w:rsidRPr="00912C80">
        <w:rPr>
          <w:rFonts w:ascii="Arial" w:hAnsi="Arial" w:cs="Arial"/>
          <w:sz w:val="16"/>
          <w:szCs w:val="16"/>
        </w:rPr>
        <w:t>6</w:t>
      </w:r>
      <w:r w:rsidRPr="00912C80">
        <w:rPr>
          <w:rFonts w:ascii="Arial" w:hAnsi="Arial" w:cs="Arial"/>
          <w:sz w:val="16"/>
          <w:szCs w:val="16"/>
        </w:rPr>
        <w:tab/>
      </w:r>
      <w:r w:rsidR="000D37E4" w:rsidRPr="006B45FC">
        <w:rPr>
          <w:rFonts w:ascii="Arial" w:hAnsi="Arial" w:cs="Arial"/>
          <w:sz w:val="16"/>
          <w:szCs w:val="16"/>
        </w:rPr>
        <w:t>Includes 1 employee on maternity leave.</w:t>
      </w:r>
    </w:p>
    <w:p w:rsidR="000D37E4" w:rsidRPr="00912C80" w:rsidRDefault="000D37E4" w:rsidP="000D37E4">
      <w:pPr>
        <w:pStyle w:val="Blocks"/>
        <w:ind w:left="600" w:hanging="600"/>
        <w:rPr>
          <w:rFonts w:ascii="Arial" w:hAnsi="Arial" w:cs="Arial"/>
          <w:sz w:val="16"/>
          <w:szCs w:val="16"/>
        </w:rPr>
      </w:pPr>
      <w:r>
        <w:rPr>
          <w:rFonts w:ascii="Arial" w:hAnsi="Arial" w:cs="Arial"/>
          <w:sz w:val="16"/>
          <w:szCs w:val="16"/>
        </w:rPr>
        <w:t>7</w:t>
      </w:r>
      <w:r w:rsidRPr="00912C80">
        <w:rPr>
          <w:rFonts w:ascii="Arial" w:hAnsi="Arial" w:cs="Arial"/>
          <w:sz w:val="16"/>
          <w:szCs w:val="16"/>
        </w:rPr>
        <w:tab/>
        <w:t xml:space="preserve">Includes </w:t>
      </w:r>
      <w:r>
        <w:rPr>
          <w:rFonts w:ascii="Arial" w:hAnsi="Arial" w:cs="Arial"/>
          <w:sz w:val="16"/>
          <w:szCs w:val="16"/>
        </w:rPr>
        <w:t>2</w:t>
      </w:r>
      <w:r w:rsidRPr="00912C80">
        <w:rPr>
          <w:rFonts w:ascii="Arial" w:hAnsi="Arial" w:cs="Arial"/>
          <w:sz w:val="16"/>
          <w:szCs w:val="16"/>
        </w:rPr>
        <w:t xml:space="preserve"> employees on</w:t>
      </w:r>
      <w:r>
        <w:rPr>
          <w:rFonts w:ascii="Arial" w:hAnsi="Arial" w:cs="Arial"/>
          <w:sz w:val="16"/>
          <w:szCs w:val="16"/>
        </w:rPr>
        <w:t xml:space="preserve"> maternity leave, 2 employees on</w:t>
      </w:r>
      <w:r w:rsidRPr="00912C80">
        <w:rPr>
          <w:rFonts w:ascii="Arial" w:hAnsi="Arial" w:cs="Arial"/>
          <w:sz w:val="16"/>
          <w:szCs w:val="16"/>
        </w:rPr>
        <w:t xml:space="preserve"> leave without pay and </w:t>
      </w:r>
      <w:r>
        <w:rPr>
          <w:rFonts w:ascii="Arial" w:hAnsi="Arial" w:cs="Arial"/>
          <w:sz w:val="16"/>
          <w:szCs w:val="16"/>
        </w:rPr>
        <w:t>1</w:t>
      </w:r>
      <w:r w:rsidRPr="00912C80">
        <w:rPr>
          <w:rFonts w:ascii="Arial" w:hAnsi="Arial" w:cs="Arial"/>
          <w:sz w:val="16"/>
          <w:szCs w:val="16"/>
        </w:rPr>
        <w:t xml:space="preserve"> employ</w:t>
      </w:r>
      <w:r>
        <w:rPr>
          <w:rFonts w:ascii="Arial" w:hAnsi="Arial" w:cs="Arial"/>
          <w:sz w:val="16"/>
          <w:szCs w:val="16"/>
        </w:rPr>
        <w:t>ee</w:t>
      </w:r>
      <w:r w:rsidRPr="00912C80">
        <w:rPr>
          <w:rFonts w:ascii="Arial" w:hAnsi="Arial" w:cs="Arial"/>
          <w:sz w:val="16"/>
          <w:szCs w:val="16"/>
        </w:rPr>
        <w:t xml:space="preserve"> on </w:t>
      </w:r>
      <w:r>
        <w:rPr>
          <w:rFonts w:ascii="Arial" w:hAnsi="Arial" w:cs="Arial"/>
          <w:sz w:val="16"/>
          <w:szCs w:val="16"/>
        </w:rPr>
        <w:t>temporary transfer</w:t>
      </w:r>
      <w:r w:rsidRPr="00912C80">
        <w:rPr>
          <w:rFonts w:ascii="Arial" w:hAnsi="Arial" w:cs="Arial"/>
          <w:sz w:val="16"/>
          <w:szCs w:val="16"/>
        </w:rPr>
        <w:t>.</w:t>
      </w:r>
    </w:p>
    <w:p w:rsidR="000D37E4" w:rsidRPr="00912C80" w:rsidRDefault="000D37E4" w:rsidP="00132228">
      <w:pPr>
        <w:pStyle w:val="Blocks"/>
        <w:ind w:left="600" w:hanging="600"/>
        <w:rPr>
          <w:rFonts w:ascii="Arial" w:hAnsi="Arial" w:cs="Arial"/>
          <w:sz w:val="16"/>
          <w:szCs w:val="16"/>
        </w:rPr>
      </w:pPr>
    </w:p>
    <w:p w:rsidR="00132228" w:rsidRPr="00246266" w:rsidRDefault="00132228" w:rsidP="00132228">
      <w:pPr>
        <w:pStyle w:val="Head4"/>
      </w:pPr>
      <w:r w:rsidRPr="00583767">
        <w:lastRenderedPageBreak/>
        <w:t>Male and female employees as at 30 June 20</w:t>
      </w:r>
      <w:r w:rsidR="00F42B76">
        <w:t>1</w:t>
      </w:r>
      <w:r w:rsidR="000D37E4">
        <w:t>7</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99"/>
        <w:gridCol w:w="834"/>
        <w:gridCol w:w="834"/>
        <w:gridCol w:w="834"/>
        <w:gridCol w:w="834"/>
        <w:gridCol w:w="834"/>
        <w:gridCol w:w="834"/>
      </w:tblGrid>
      <w:tr w:rsidR="00132228" w:rsidTr="00DE340C">
        <w:trPr>
          <w:cantSplit/>
          <w:tblHeader/>
        </w:trPr>
        <w:tc>
          <w:tcPr>
            <w:tcW w:w="1574" w:type="pct"/>
            <w:vMerge w:val="restart"/>
            <w:tcBorders>
              <w:top w:val="single" w:sz="12" w:space="0" w:color="auto"/>
              <w:left w:val="nil"/>
              <w:right w:val="nil"/>
            </w:tcBorders>
            <w:vAlign w:val="center"/>
          </w:tcPr>
          <w:p w:rsidR="00132228" w:rsidRDefault="00132228" w:rsidP="00DE340C">
            <w:pPr>
              <w:keepLines/>
              <w:rPr>
                <w:rFonts w:ascii="Arial" w:hAnsi="Arial" w:cs="Arial"/>
                <w:b/>
                <w:color w:val="0000FF"/>
                <w:sz w:val="20"/>
              </w:rPr>
            </w:pPr>
            <w:r>
              <w:rPr>
                <w:rFonts w:ascii="Arial" w:hAnsi="Arial" w:cs="Arial"/>
                <w:b/>
                <w:color w:val="0000FF"/>
                <w:sz w:val="20"/>
              </w:rPr>
              <w:t>Category</w:t>
            </w:r>
          </w:p>
        </w:tc>
        <w:tc>
          <w:tcPr>
            <w:tcW w:w="1142" w:type="pct"/>
            <w:gridSpan w:val="2"/>
            <w:tcBorders>
              <w:top w:val="single" w:sz="12" w:space="0" w:color="auto"/>
              <w:left w:val="nil"/>
              <w:bottom w:val="single" w:sz="4" w:space="0" w:color="auto"/>
              <w:right w:val="nil"/>
            </w:tcBorders>
          </w:tcPr>
          <w:p w:rsidR="00132228" w:rsidRDefault="00132228" w:rsidP="00DE340C">
            <w:pPr>
              <w:keepLines/>
              <w:jc w:val="center"/>
              <w:rPr>
                <w:rFonts w:ascii="Arial" w:hAnsi="Arial" w:cs="Arial"/>
                <w:b/>
                <w:color w:val="0000FF"/>
                <w:sz w:val="20"/>
              </w:rPr>
            </w:pPr>
            <w:r>
              <w:rPr>
                <w:rFonts w:ascii="Arial" w:hAnsi="Arial" w:cs="Arial"/>
                <w:b/>
                <w:color w:val="0000FF"/>
                <w:sz w:val="20"/>
              </w:rPr>
              <w:t>Total staff</w:t>
            </w:r>
          </w:p>
        </w:tc>
        <w:tc>
          <w:tcPr>
            <w:tcW w:w="1142" w:type="pct"/>
            <w:gridSpan w:val="2"/>
            <w:tcBorders>
              <w:top w:val="single" w:sz="12" w:space="0" w:color="auto"/>
              <w:left w:val="nil"/>
              <w:bottom w:val="nil"/>
              <w:right w:val="nil"/>
            </w:tcBorders>
            <w:shd w:val="clear" w:color="auto" w:fill="auto"/>
          </w:tcPr>
          <w:p w:rsidR="00132228" w:rsidRDefault="00132228" w:rsidP="00DE340C">
            <w:pPr>
              <w:keepLines/>
              <w:jc w:val="center"/>
              <w:rPr>
                <w:rFonts w:ascii="Arial" w:hAnsi="Arial" w:cs="Arial"/>
                <w:b/>
                <w:color w:val="0000FF"/>
                <w:sz w:val="20"/>
              </w:rPr>
            </w:pPr>
            <w:r>
              <w:rPr>
                <w:rFonts w:ascii="Arial" w:hAnsi="Arial" w:cs="Arial"/>
                <w:b/>
                <w:color w:val="0000FF"/>
                <w:sz w:val="20"/>
              </w:rPr>
              <w:t>Male</w:t>
            </w:r>
          </w:p>
        </w:tc>
        <w:tc>
          <w:tcPr>
            <w:tcW w:w="1142" w:type="pct"/>
            <w:gridSpan w:val="2"/>
            <w:tcBorders>
              <w:top w:val="single" w:sz="12" w:space="0" w:color="auto"/>
              <w:left w:val="nil"/>
              <w:bottom w:val="nil"/>
              <w:right w:val="nil"/>
            </w:tcBorders>
            <w:shd w:val="clear" w:color="auto" w:fill="auto"/>
          </w:tcPr>
          <w:p w:rsidR="00132228" w:rsidRDefault="00132228" w:rsidP="00DE340C">
            <w:pPr>
              <w:keepLines/>
              <w:jc w:val="center"/>
              <w:rPr>
                <w:rFonts w:ascii="Arial" w:hAnsi="Arial" w:cs="Arial"/>
                <w:b/>
                <w:color w:val="0000FF"/>
                <w:sz w:val="20"/>
              </w:rPr>
            </w:pPr>
            <w:r>
              <w:rPr>
                <w:rFonts w:ascii="Arial" w:hAnsi="Arial" w:cs="Arial"/>
                <w:b/>
                <w:color w:val="0000FF"/>
                <w:sz w:val="20"/>
              </w:rPr>
              <w:t>Female</w:t>
            </w:r>
          </w:p>
        </w:tc>
      </w:tr>
      <w:tr w:rsidR="00132228" w:rsidTr="00DE340C">
        <w:trPr>
          <w:cantSplit/>
          <w:tblHeader/>
        </w:trPr>
        <w:tc>
          <w:tcPr>
            <w:tcW w:w="1574" w:type="pct"/>
            <w:vMerge/>
            <w:tcBorders>
              <w:left w:val="nil"/>
              <w:bottom w:val="single" w:sz="12" w:space="0" w:color="auto"/>
              <w:right w:val="nil"/>
            </w:tcBorders>
            <w:vAlign w:val="center"/>
          </w:tcPr>
          <w:p w:rsidR="00132228" w:rsidRDefault="00132228" w:rsidP="00DE340C">
            <w:pPr>
              <w:keepLines/>
              <w:rPr>
                <w:rFonts w:ascii="Arial" w:hAnsi="Arial" w:cs="Arial"/>
                <w:b/>
                <w:color w:val="0000FF"/>
                <w:sz w:val="20"/>
              </w:rPr>
            </w:pPr>
          </w:p>
        </w:tc>
        <w:tc>
          <w:tcPr>
            <w:tcW w:w="571" w:type="pct"/>
            <w:tcBorders>
              <w:top w:val="single" w:sz="4" w:space="0" w:color="auto"/>
              <w:left w:val="nil"/>
              <w:bottom w:val="single" w:sz="12" w:space="0" w:color="auto"/>
              <w:right w:val="nil"/>
            </w:tcBorders>
            <w:shd w:val="clear" w:color="auto" w:fill="99CCFF"/>
          </w:tcPr>
          <w:p w:rsidR="00132228" w:rsidRDefault="000D37E4" w:rsidP="00DE340C">
            <w:pPr>
              <w:keepLines/>
              <w:jc w:val="center"/>
              <w:rPr>
                <w:rFonts w:ascii="Arial" w:hAnsi="Arial" w:cs="Arial"/>
                <w:b/>
                <w:color w:val="0000FF"/>
                <w:sz w:val="20"/>
              </w:rPr>
            </w:pPr>
            <w:r>
              <w:rPr>
                <w:rFonts w:ascii="Arial" w:hAnsi="Arial" w:cs="Arial"/>
                <w:b/>
                <w:color w:val="0000FF"/>
                <w:sz w:val="20"/>
              </w:rPr>
              <w:t>16</w:t>
            </w:r>
          </w:p>
        </w:tc>
        <w:tc>
          <w:tcPr>
            <w:tcW w:w="571" w:type="pct"/>
            <w:tcBorders>
              <w:top w:val="single" w:sz="4" w:space="0" w:color="auto"/>
              <w:left w:val="nil"/>
              <w:bottom w:val="single" w:sz="12" w:space="0" w:color="auto"/>
              <w:right w:val="nil"/>
            </w:tcBorders>
            <w:shd w:val="clear" w:color="auto" w:fill="auto"/>
          </w:tcPr>
          <w:p w:rsidR="00132228" w:rsidRDefault="000D37E4" w:rsidP="00DE340C">
            <w:pPr>
              <w:keepLines/>
              <w:jc w:val="center"/>
              <w:rPr>
                <w:rFonts w:ascii="Arial" w:hAnsi="Arial" w:cs="Arial"/>
                <w:b/>
                <w:color w:val="0000FF"/>
                <w:sz w:val="20"/>
              </w:rPr>
            </w:pPr>
            <w:r>
              <w:rPr>
                <w:rFonts w:ascii="Arial" w:hAnsi="Arial" w:cs="Arial"/>
                <w:b/>
                <w:color w:val="0000FF"/>
                <w:sz w:val="20"/>
              </w:rPr>
              <w:t>17</w:t>
            </w:r>
          </w:p>
        </w:tc>
        <w:tc>
          <w:tcPr>
            <w:tcW w:w="571" w:type="pct"/>
            <w:tcBorders>
              <w:top w:val="single" w:sz="4" w:space="0" w:color="auto"/>
              <w:left w:val="nil"/>
              <w:bottom w:val="single" w:sz="12" w:space="0" w:color="auto"/>
              <w:right w:val="nil"/>
            </w:tcBorders>
            <w:shd w:val="clear" w:color="auto" w:fill="99CCFF"/>
          </w:tcPr>
          <w:p w:rsidR="00132228" w:rsidRDefault="000D37E4" w:rsidP="00DE340C">
            <w:pPr>
              <w:keepLines/>
              <w:jc w:val="center"/>
              <w:rPr>
                <w:rFonts w:ascii="Arial" w:hAnsi="Arial" w:cs="Arial"/>
                <w:b/>
                <w:color w:val="0000FF"/>
                <w:sz w:val="20"/>
              </w:rPr>
            </w:pPr>
            <w:r>
              <w:rPr>
                <w:rFonts w:ascii="Arial" w:hAnsi="Arial" w:cs="Arial"/>
                <w:b/>
                <w:color w:val="0000FF"/>
                <w:sz w:val="20"/>
              </w:rPr>
              <w:t>16</w:t>
            </w:r>
          </w:p>
        </w:tc>
        <w:tc>
          <w:tcPr>
            <w:tcW w:w="571" w:type="pct"/>
            <w:tcBorders>
              <w:top w:val="single" w:sz="4" w:space="0" w:color="auto"/>
              <w:left w:val="nil"/>
              <w:bottom w:val="single" w:sz="12" w:space="0" w:color="auto"/>
              <w:right w:val="nil"/>
            </w:tcBorders>
            <w:shd w:val="clear" w:color="auto" w:fill="auto"/>
          </w:tcPr>
          <w:p w:rsidR="00132228" w:rsidRDefault="000D37E4" w:rsidP="00DE340C">
            <w:pPr>
              <w:keepLines/>
              <w:jc w:val="center"/>
              <w:rPr>
                <w:rFonts w:ascii="Arial" w:hAnsi="Arial" w:cs="Arial"/>
                <w:b/>
                <w:color w:val="0000FF"/>
                <w:sz w:val="20"/>
              </w:rPr>
            </w:pPr>
            <w:r>
              <w:rPr>
                <w:rFonts w:ascii="Arial" w:hAnsi="Arial" w:cs="Arial"/>
                <w:b/>
                <w:color w:val="0000FF"/>
                <w:sz w:val="20"/>
              </w:rPr>
              <w:t>17</w:t>
            </w:r>
          </w:p>
        </w:tc>
        <w:tc>
          <w:tcPr>
            <w:tcW w:w="571" w:type="pct"/>
            <w:tcBorders>
              <w:top w:val="single" w:sz="4" w:space="0" w:color="auto"/>
              <w:left w:val="nil"/>
              <w:bottom w:val="single" w:sz="12" w:space="0" w:color="auto"/>
              <w:right w:val="nil"/>
            </w:tcBorders>
            <w:shd w:val="clear" w:color="auto" w:fill="99CCFF"/>
          </w:tcPr>
          <w:p w:rsidR="00132228" w:rsidRDefault="000D37E4" w:rsidP="00DE340C">
            <w:pPr>
              <w:keepLines/>
              <w:jc w:val="center"/>
              <w:rPr>
                <w:rFonts w:ascii="Arial" w:hAnsi="Arial" w:cs="Arial"/>
                <w:b/>
                <w:color w:val="0000FF"/>
                <w:sz w:val="20"/>
              </w:rPr>
            </w:pPr>
            <w:r>
              <w:rPr>
                <w:rFonts w:ascii="Arial" w:hAnsi="Arial" w:cs="Arial"/>
                <w:b/>
                <w:color w:val="0000FF"/>
                <w:sz w:val="20"/>
              </w:rPr>
              <w:t>16</w:t>
            </w:r>
          </w:p>
        </w:tc>
        <w:tc>
          <w:tcPr>
            <w:tcW w:w="571" w:type="pct"/>
            <w:tcBorders>
              <w:top w:val="single" w:sz="4" w:space="0" w:color="auto"/>
              <w:left w:val="nil"/>
              <w:bottom w:val="single" w:sz="12" w:space="0" w:color="auto"/>
              <w:right w:val="nil"/>
            </w:tcBorders>
            <w:shd w:val="clear" w:color="auto" w:fill="auto"/>
          </w:tcPr>
          <w:p w:rsidR="00132228" w:rsidRDefault="000D37E4" w:rsidP="00DE340C">
            <w:pPr>
              <w:keepLines/>
              <w:jc w:val="center"/>
              <w:rPr>
                <w:rFonts w:ascii="Arial" w:hAnsi="Arial" w:cs="Arial"/>
                <w:b/>
                <w:color w:val="0000FF"/>
                <w:sz w:val="20"/>
              </w:rPr>
            </w:pPr>
            <w:r>
              <w:rPr>
                <w:rFonts w:ascii="Arial" w:hAnsi="Arial" w:cs="Arial"/>
                <w:b/>
                <w:color w:val="0000FF"/>
                <w:sz w:val="20"/>
              </w:rPr>
              <w:t>17</w:t>
            </w:r>
          </w:p>
        </w:tc>
      </w:tr>
      <w:tr w:rsidR="00132228" w:rsidTr="00DE340C">
        <w:trPr>
          <w:cantSplit/>
        </w:trPr>
        <w:tc>
          <w:tcPr>
            <w:tcW w:w="1574" w:type="pct"/>
            <w:tcBorders>
              <w:top w:val="single" w:sz="12"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Statutory office holders</w:t>
            </w:r>
            <w:r>
              <w:rPr>
                <w:rFonts w:ascii="Arial" w:hAnsi="Arial" w:cs="Arial"/>
                <w:color w:val="0000FF"/>
                <w:sz w:val="18"/>
                <w:szCs w:val="18"/>
              </w:rPr>
              <w:br/>
            </w:r>
          </w:p>
        </w:tc>
        <w:tc>
          <w:tcPr>
            <w:tcW w:w="571" w:type="pct"/>
            <w:tcBorders>
              <w:top w:val="single" w:sz="12"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12" w:space="0" w:color="auto"/>
              <w:left w:val="nil"/>
              <w:bottom w:val="single" w:sz="4" w:space="0" w:color="auto"/>
              <w:right w:val="nil"/>
            </w:tcBorders>
            <w:shd w:val="clear" w:color="auto" w:fill="auto"/>
          </w:tcPr>
          <w:p w:rsidR="00132228" w:rsidRPr="006B45FC" w:rsidRDefault="00132228" w:rsidP="00DE340C">
            <w:pPr>
              <w:keepLines/>
              <w:spacing w:before="60"/>
              <w:jc w:val="center"/>
              <w:rPr>
                <w:rFonts w:ascii="Arial" w:hAnsi="Arial" w:cs="Arial"/>
                <w:color w:val="0000FF"/>
                <w:sz w:val="18"/>
                <w:szCs w:val="18"/>
              </w:rPr>
            </w:pPr>
            <w:r w:rsidRPr="006B45FC">
              <w:rPr>
                <w:rFonts w:ascii="Arial" w:hAnsi="Arial" w:cs="Arial"/>
                <w:color w:val="0000FF"/>
                <w:sz w:val="18"/>
                <w:szCs w:val="18"/>
              </w:rPr>
              <w:t>3</w:t>
            </w:r>
          </w:p>
          <w:p w:rsidR="00132228" w:rsidRPr="006B45FC" w:rsidRDefault="00132228" w:rsidP="00DE340C">
            <w:pPr>
              <w:keepLines/>
              <w:spacing w:before="60"/>
              <w:jc w:val="center"/>
              <w:rPr>
                <w:rFonts w:ascii="Arial" w:hAnsi="Arial" w:cs="Arial"/>
                <w:color w:val="0000FF"/>
                <w:sz w:val="18"/>
                <w:szCs w:val="18"/>
              </w:rPr>
            </w:pPr>
          </w:p>
        </w:tc>
        <w:tc>
          <w:tcPr>
            <w:tcW w:w="571" w:type="pct"/>
            <w:tcBorders>
              <w:top w:val="single" w:sz="12" w:space="0" w:color="auto"/>
              <w:left w:val="nil"/>
              <w:bottom w:val="single" w:sz="4" w:space="0" w:color="auto"/>
              <w:right w:val="nil"/>
            </w:tcBorders>
            <w:shd w:val="clear" w:color="auto" w:fill="99CCFF"/>
          </w:tcPr>
          <w:p w:rsidR="00132228"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1</w:t>
            </w:r>
          </w:p>
        </w:tc>
        <w:tc>
          <w:tcPr>
            <w:tcW w:w="571" w:type="pct"/>
            <w:tcBorders>
              <w:top w:val="single" w:sz="12" w:space="0" w:color="auto"/>
              <w:left w:val="nil"/>
              <w:bottom w:val="single" w:sz="4" w:space="0" w:color="auto"/>
              <w:right w:val="nil"/>
            </w:tcBorders>
            <w:shd w:val="clear" w:color="auto" w:fill="auto"/>
          </w:tcPr>
          <w:p w:rsidR="00132228" w:rsidRPr="006B45FC"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12" w:space="0" w:color="auto"/>
              <w:left w:val="nil"/>
              <w:bottom w:val="single" w:sz="4" w:space="0" w:color="auto"/>
              <w:right w:val="nil"/>
            </w:tcBorders>
            <w:shd w:val="clear" w:color="auto" w:fill="99CCFF"/>
          </w:tcPr>
          <w:p w:rsidR="00132228"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12" w:space="0" w:color="auto"/>
              <w:left w:val="nil"/>
              <w:bottom w:val="single" w:sz="4" w:space="0" w:color="auto"/>
              <w:right w:val="nil"/>
            </w:tcBorders>
            <w:shd w:val="clear" w:color="auto" w:fill="auto"/>
          </w:tcPr>
          <w:p w:rsidR="00132228" w:rsidRPr="006B45FC"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1</w:t>
            </w:r>
          </w:p>
        </w:tc>
      </w:tr>
      <w:tr w:rsidR="00351C2E" w:rsidTr="00DE340C">
        <w:trPr>
          <w:cantSplit/>
        </w:trPr>
        <w:tc>
          <w:tcPr>
            <w:tcW w:w="1574" w:type="pct"/>
            <w:tcBorders>
              <w:top w:val="single" w:sz="4" w:space="0" w:color="auto"/>
              <w:left w:val="nil"/>
              <w:bottom w:val="single" w:sz="4" w:space="0" w:color="auto"/>
              <w:right w:val="nil"/>
            </w:tcBorders>
          </w:tcPr>
          <w:p w:rsidR="00351C2E" w:rsidRDefault="00351C2E" w:rsidP="00DE340C">
            <w:pPr>
              <w:keepLines/>
              <w:spacing w:before="60"/>
              <w:rPr>
                <w:rFonts w:ascii="Arial" w:hAnsi="Arial" w:cs="Arial"/>
                <w:color w:val="0000FF"/>
                <w:sz w:val="18"/>
                <w:szCs w:val="18"/>
              </w:rPr>
            </w:pPr>
            <w:r>
              <w:rPr>
                <w:rFonts w:ascii="Arial" w:hAnsi="Arial" w:cs="Arial"/>
                <w:color w:val="0000FF"/>
                <w:sz w:val="18"/>
                <w:szCs w:val="18"/>
              </w:rPr>
              <w:t>SES Band 2</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351C2E"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auto"/>
          </w:tcPr>
          <w:p w:rsidR="00351C2E" w:rsidRPr="006B45FC" w:rsidRDefault="00351C2E" w:rsidP="00503299">
            <w:pPr>
              <w:keepLines/>
              <w:spacing w:before="60"/>
              <w:jc w:val="center"/>
              <w:rPr>
                <w:rFonts w:ascii="Arial" w:hAnsi="Arial" w:cs="Arial"/>
                <w:color w:val="0000FF"/>
                <w:sz w:val="18"/>
                <w:szCs w:val="18"/>
              </w:rPr>
            </w:pPr>
            <w:r>
              <w:rPr>
                <w:rFonts w:ascii="Arial" w:hAnsi="Arial" w:cs="Arial"/>
                <w:color w:val="0000FF"/>
                <w:sz w:val="18"/>
                <w:szCs w:val="18"/>
              </w:rPr>
              <w:t>7</w:t>
            </w:r>
            <w:r>
              <w:rPr>
                <w:rFonts w:ascii="Arial" w:hAnsi="Arial" w:cs="Arial"/>
                <w:color w:val="0000FF"/>
                <w:sz w:val="18"/>
                <w:szCs w:val="18"/>
                <w:vertAlign w:val="superscript"/>
              </w:rPr>
              <w:t>4</w:t>
            </w:r>
          </w:p>
        </w:tc>
        <w:tc>
          <w:tcPr>
            <w:tcW w:w="571" w:type="pct"/>
            <w:tcBorders>
              <w:top w:val="single" w:sz="4" w:space="0" w:color="auto"/>
              <w:left w:val="nil"/>
              <w:bottom w:val="single" w:sz="4" w:space="0" w:color="auto"/>
              <w:right w:val="nil"/>
            </w:tcBorders>
            <w:shd w:val="clear" w:color="auto" w:fill="99CCFF"/>
          </w:tcPr>
          <w:p w:rsidR="00351C2E"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4" w:space="0" w:color="auto"/>
              <w:left w:val="nil"/>
              <w:bottom w:val="single" w:sz="4" w:space="0" w:color="auto"/>
              <w:right w:val="nil"/>
            </w:tcBorders>
            <w:shd w:val="clear" w:color="auto" w:fill="auto"/>
          </w:tcPr>
          <w:p w:rsidR="00351C2E" w:rsidRPr="006B45FC"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99CCFF"/>
          </w:tcPr>
          <w:p w:rsidR="00351C2E"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1</w:t>
            </w:r>
          </w:p>
        </w:tc>
        <w:tc>
          <w:tcPr>
            <w:tcW w:w="571" w:type="pct"/>
            <w:tcBorders>
              <w:top w:val="single" w:sz="4" w:space="0" w:color="auto"/>
              <w:left w:val="nil"/>
              <w:bottom w:val="single" w:sz="4" w:space="0" w:color="auto"/>
              <w:right w:val="nil"/>
            </w:tcBorders>
            <w:shd w:val="clear" w:color="auto" w:fill="auto"/>
          </w:tcPr>
          <w:p w:rsidR="00351C2E" w:rsidRPr="006B45FC"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5</w:t>
            </w:r>
          </w:p>
        </w:tc>
      </w:tr>
      <w:tr w:rsidR="00351C2E" w:rsidTr="00DE340C">
        <w:trPr>
          <w:cantSplit/>
        </w:trPr>
        <w:tc>
          <w:tcPr>
            <w:tcW w:w="1574" w:type="pct"/>
            <w:tcBorders>
              <w:top w:val="single" w:sz="4" w:space="0" w:color="auto"/>
              <w:left w:val="nil"/>
              <w:bottom w:val="single" w:sz="4" w:space="0" w:color="auto"/>
              <w:right w:val="nil"/>
            </w:tcBorders>
          </w:tcPr>
          <w:p w:rsidR="00351C2E" w:rsidRDefault="00351C2E" w:rsidP="00DE340C">
            <w:pPr>
              <w:keepLines/>
              <w:spacing w:before="60"/>
              <w:rPr>
                <w:rFonts w:ascii="Arial" w:hAnsi="Arial" w:cs="Arial"/>
                <w:color w:val="0000FF"/>
                <w:sz w:val="18"/>
                <w:szCs w:val="18"/>
              </w:rPr>
            </w:pPr>
            <w:r>
              <w:rPr>
                <w:rFonts w:ascii="Arial" w:hAnsi="Arial" w:cs="Arial"/>
                <w:color w:val="0000FF"/>
                <w:sz w:val="18"/>
                <w:szCs w:val="18"/>
              </w:rPr>
              <w:t>SES Band 1</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351C2E" w:rsidRDefault="00351C2E" w:rsidP="00503299">
            <w:pPr>
              <w:keepLines/>
              <w:spacing w:before="60"/>
              <w:jc w:val="center"/>
              <w:rPr>
                <w:rFonts w:ascii="Arial" w:hAnsi="Arial" w:cs="Arial"/>
                <w:color w:val="0000FF"/>
                <w:sz w:val="18"/>
                <w:szCs w:val="18"/>
              </w:rPr>
            </w:pPr>
            <w:r>
              <w:rPr>
                <w:rFonts w:ascii="Arial" w:hAnsi="Arial" w:cs="Arial"/>
                <w:color w:val="0000FF"/>
                <w:sz w:val="18"/>
                <w:szCs w:val="18"/>
              </w:rPr>
              <w:t>18</w:t>
            </w:r>
            <w:r>
              <w:rPr>
                <w:rFonts w:ascii="Arial" w:hAnsi="Arial" w:cs="Arial"/>
                <w:color w:val="0000FF"/>
                <w:sz w:val="18"/>
                <w:szCs w:val="18"/>
                <w:vertAlign w:val="superscript"/>
              </w:rPr>
              <w:t>1</w:t>
            </w:r>
          </w:p>
        </w:tc>
        <w:tc>
          <w:tcPr>
            <w:tcW w:w="571" w:type="pct"/>
            <w:tcBorders>
              <w:top w:val="single" w:sz="4" w:space="0" w:color="auto"/>
              <w:left w:val="nil"/>
              <w:bottom w:val="single" w:sz="4" w:space="0" w:color="auto"/>
              <w:right w:val="nil"/>
            </w:tcBorders>
            <w:shd w:val="clear" w:color="auto" w:fill="auto"/>
          </w:tcPr>
          <w:p w:rsidR="00351C2E" w:rsidRPr="006B45FC" w:rsidRDefault="00351C2E" w:rsidP="00503299">
            <w:pPr>
              <w:keepLines/>
              <w:spacing w:before="60"/>
              <w:jc w:val="center"/>
              <w:rPr>
                <w:rFonts w:ascii="Arial" w:hAnsi="Arial" w:cs="Arial"/>
                <w:color w:val="0000FF"/>
                <w:sz w:val="18"/>
                <w:szCs w:val="18"/>
              </w:rPr>
            </w:pPr>
            <w:r>
              <w:rPr>
                <w:rFonts w:ascii="Arial" w:hAnsi="Arial" w:cs="Arial"/>
                <w:color w:val="0000FF"/>
                <w:sz w:val="18"/>
                <w:szCs w:val="18"/>
              </w:rPr>
              <w:t>15</w:t>
            </w:r>
            <w:r>
              <w:rPr>
                <w:rFonts w:ascii="Arial" w:hAnsi="Arial" w:cs="Arial"/>
                <w:color w:val="0000FF"/>
                <w:sz w:val="18"/>
                <w:szCs w:val="18"/>
                <w:vertAlign w:val="superscript"/>
              </w:rPr>
              <w:t>5</w:t>
            </w:r>
          </w:p>
        </w:tc>
        <w:tc>
          <w:tcPr>
            <w:tcW w:w="571" w:type="pct"/>
            <w:tcBorders>
              <w:top w:val="single" w:sz="4" w:space="0" w:color="auto"/>
              <w:left w:val="nil"/>
              <w:bottom w:val="single" w:sz="4" w:space="0" w:color="auto"/>
              <w:right w:val="nil"/>
            </w:tcBorders>
            <w:shd w:val="clear" w:color="auto" w:fill="99CCFF"/>
          </w:tcPr>
          <w:p w:rsidR="00351C2E"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auto"/>
          </w:tcPr>
          <w:p w:rsidR="00351C2E" w:rsidRPr="006B45FC" w:rsidRDefault="00351C2E" w:rsidP="00DE340C">
            <w:pPr>
              <w:keepLines/>
              <w:spacing w:before="60"/>
              <w:jc w:val="center"/>
              <w:rPr>
                <w:rFonts w:ascii="Arial" w:hAnsi="Arial" w:cs="Arial"/>
                <w:color w:val="0000FF"/>
                <w:sz w:val="18"/>
                <w:szCs w:val="18"/>
              </w:rPr>
            </w:pPr>
            <w:r w:rsidRPr="006B45FC">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99CCFF"/>
          </w:tcPr>
          <w:p w:rsidR="00351C2E"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14</w:t>
            </w:r>
          </w:p>
        </w:tc>
        <w:tc>
          <w:tcPr>
            <w:tcW w:w="571" w:type="pct"/>
            <w:tcBorders>
              <w:top w:val="single" w:sz="4" w:space="0" w:color="auto"/>
              <w:left w:val="nil"/>
              <w:bottom w:val="single" w:sz="4" w:space="0" w:color="auto"/>
              <w:right w:val="nil"/>
            </w:tcBorders>
            <w:shd w:val="clear" w:color="auto" w:fill="auto"/>
          </w:tcPr>
          <w:p w:rsidR="00351C2E" w:rsidRPr="006B45FC"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11</w:t>
            </w:r>
          </w:p>
        </w:tc>
      </w:tr>
      <w:tr w:rsidR="00351C2E" w:rsidTr="00DE340C">
        <w:trPr>
          <w:cantSplit/>
        </w:trPr>
        <w:tc>
          <w:tcPr>
            <w:tcW w:w="1574" w:type="pct"/>
            <w:tcBorders>
              <w:top w:val="single" w:sz="4" w:space="0" w:color="auto"/>
              <w:left w:val="nil"/>
              <w:bottom w:val="single" w:sz="4" w:space="0" w:color="auto"/>
              <w:right w:val="nil"/>
            </w:tcBorders>
          </w:tcPr>
          <w:p w:rsidR="00351C2E" w:rsidRDefault="00351C2E"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3</w:t>
            </w:r>
          </w:p>
        </w:tc>
        <w:tc>
          <w:tcPr>
            <w:tcW w:w="571" w:type="pct"/>
            <w:tcBorders>
              <w:top w:val="single" w:sz="4" w:space="0" w:color="auto"/>
              <w:left w:val="nil"/>
              <w:bottom w:val="single" w:sz="4" w:space="0" w:color="auto"/>
              <w:right w:val="nil"/>
            </w:tcBorders>
            <w:shd w:val="clear" w:color="auto" w:fill="99CCFF"/>
          </w:tcPr>
          <w:p w:rsidR="00351C2E" w:rsidRDefault="00351C2E" w:rsidP="00503299">
            <w:pPr>
              <w:keepLines/>
              <w:spacing w:before="60"/>
              <w:jc w:val="center"/>
              <w:rPr>
                <w:rFonts w:ascii="Arial" w:hAnsi="Arial" w:cs="Arial"/>
                <w:color w:val="0000FF"/>
                <w:sz w:val="18"/>
                <w:szCs w:val="18"/>
              </w:rPr>
            </w:pPr>
            <w:r>
              <w:rPr>
                <w:rFonts w:ascii="Arial" w:hAnsi="Arial" w:cs="Arial"/>
                <w:color w:val="0000FF"/>
                <w:sz w:val="18"/>
                <w:szCs w:val="18"/>
              </w:rPr>
              <w:t>15</w:t>
            </w:r>
            <w:r>
              <w:rPr>
                <w:rFonts w:ascii="Arial" w:hAnsi="Arial" w:cs="Arial"/>
                <w:color w:val="0000FF"/>
                <w:sz w:val="18"/>
                <w:szCs w:val="18"/>
                <w:vertAlign w:val="superscript"/>
              </w:rPr>
              <w:t>2</w:t>
            </w:r>
          </w:p>
        </w:tc>
        <w:tc>
          <w:tcPr>
            <w:tcW w:w="571" w:type="pct"/>
            <w:tcBorders>
              <w:top w:val="single" w:sz="4" w:space="0" w:color="auto"/>
              <w:left w:val="nil"/>
              <w:bottom w:val="single" w:sz="4" w:space="0" w:color="auto"/>
              <w:right w:val="nil"/>
            </w:tcBorders>
            <w:shd w:val="clear" w:color="auto" w:fill="auto"/>
          </w:tcPr>
          <w:p w:rsidR="00351C2E" w:rsidRPr="006B45FC" w:rsidRDefault="00351C2E" w:rsidP="00503299">
            <w:pPr>
              <w:keepLines/>
              <w:spacing w:before="60"/>
              <w:jc w:val="center"/>
              <w:rPr>
                <w:rFonts w:ascii="Arial" w:hAnsi="Arial" w:cs="Arial"/>
                <w:color w:val="0000FF"/>
                <w:sz w:val="18"/>
                <w:szCs w:val="18"/>
              </w:rPr>
            </w:pPr>
            <w:r>
              <w:rPr>
                <w:rFonts w:ascii="Arial" w:hAnsi="Arial" w:cs="Arial"/>
                <w:color w:val="0000FF"/>
                <w:sz w:val="18"/>
                <w:szCs w:val="18"/>
              </w:rPr>
              <w:t>15</w:t>
            </w:r>
            <w:r>
              <w:rPr>
                <w:rFonts w:ascii="Arial" w:hAnsi="Arial" w:cs="Arial"/>
                <w:color w:val="0000FF"/>
                <w:sz w:val="18"/>
                <w:szCs w:val="18"/>
                <w:vertAlign w:val="superscript"/>
              </w:rPr>
              <w:t>6</w:t>
            </w:r>
          </w:p>
        </w:tc>
        <w:tc>
          <w:tcPr>
            <w:tcW w:w="571" w:type="pct"/>
            <w:tcBorders>
              <w:top w:val="single" w:sz="4" w:space="0" w:color="auto"/>
              <w:left w:val="nil"/>
              <w:bottom w:val="single" w:sz="4" w:space="0" w:color="auto"/>
              <w:right w:val="nil"/>
            </w:tcBorders>
            <w:shd w:val="clear" w:color="auto" w:fill="99CCFF"/>
          </w:tcPr>
          <w:p w:rsidR="00351C2E"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9</w:t>
            </w:r>
          </w:p>
        </w:tc>
        <w:tc>
          <w:tcPr>
            <w:tcW w:w="571" w:type="pct"/>
            <w:tcBorders>
              <w:top w:val="single" w:sz="4" w:space="0" w:color="auto"/>
              <w:left w:val="nil"/>
              <w:bottom w:val="single" w:sz="4" w:space="0" w:color="auto"/>
              <w:right w:val="nil"/>
            </w:tcBorders>
            <w:shd w:val="clear" w:color="auto" w:fill="auto"/>
          </w:tcPr>
          <w:p w:rsidR="00351C2E" w:rsidRPr="001E5F0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99CCFF"/>
          </w:tcPr>
          <w:p w:rsidR="00351C2E"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auto"/>
          </w:tcPr>
          <w:p w:rsidR="00351C2E" w:rsidRPr="001E5F0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7</w:t>
            </w:r>
          </w:p>
        </w:tc>
      </w:tr>
      <w:tr w:rsidR="00F42B76" w:rsidTr="00DE340C">
        <w:trPr>
          <w:cantSplit/>
        </w:trPr>
        <w:tc>
          <w:tcPr>
            <w:tcW w:w="1574" w:type="pct"/>
            <w:tcBorders>
              <w:top w:val="single" w:sz="4" w:space="0" w:color="auto"/>
              <w:left w:val="nil"/>
              <w:bottom w:val="single" w:sz="4" w:space="0" w:color="auto"/>
              <w:right w:val="nil"/>
            </w:tcBorders>
          </w:tcPr>
          <w:p w:rsidR="00F42B76" w:rsidRDefault="00F42B76"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2</w:t>
            </w:r>
          </w:p>
        </w:tc>
        <w:tc>
          <w:tcPr>
            <w:tcW w:w="571" w:type="pct"/>
            <w:tcBorders>
              <w:top w:val="single" w:sz="4" w:space="0" w:color="auto"/>
              <w:left w:val="nil"/>
              <w:bottom w:val="single" w:sz="4" w:space="0" w:color="auto"/>
              <w:right w:val="nil"/>
            </w:tcBorders>
            <w:shd w:val="clear" w:color="auto" w:fill="99CCFF"/>
          </w:tcPr>
          <w:p w:rsidR="00F42B76" w:rsidRDefault="000D37E4" w:rsidP="00BF3B3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F42B76" w:rsidRPr="001E5F0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4" w:space="0" w:color="auto"/>
              <w:left w:val="nil"/>
              <w:bottom w:val="single" w:sz="4" w:space="0" w:color="auto"/>
              <w:right w:val="nil"/>
            </w:tcBorders>
            <w:shd w:val="clear" w:color="auto" w:fill="99CCFF"/>
          </w:tcPr>
          <w:p w:rsidR="00F42B7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4" w:space="0" w:color="auto"/>
              <w:right w:val="nil"/>
            </w:tcBorders>
            <w:shd w:val="clear" w:color="auto" w:fill="auto"/>
          </w:tcPr>
          <w:p w:rsidR="00F42B76" w:rsidRPr="001E5F0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1</w:t>
            </w:r>
          </w:p>
        </w:tc>
        <w:tc>
          <w:tcPr>
            <w:tcW w:w="571" w:type="pct"/>
            <w:tcBorders>
              <w:top w:val="single" w:sz="4" w:space="0" w:color="auto"/>
              <w:left w:val="nil"/>
              <w:bottom w:val="single" w:sz="4" w:space="0" w:color="auto"/>
              <w:right w:val="nil"/>
            </w:tcBorders>
            <w:shd w:val="clear" w:color="auto" w:fill="99CCFF"/>
          </w:tcPr>
          <w:p w:rsidR="00F42B76"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F42B76" w:rsidRPr="001E5F0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2</w:t>
            </w:r>
          </w:p>
        </w:tc>
      </w:tr>
      <w:tr w:rsidR="00132228" w:rsidTr="00DE340C">
        <w:trPr>
          <w:cantSplit/>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Assistant Parliamentary Counsel Grade 1</w:t>
            </w:r>
          </w:p>
        </w:tc>
        <w:tc>
          <w:tcPr>
            <w:tcW w:w="571" w:type="pct"/>
            <w:tcBorders>
              <w:top w:val="single" w:sz="4" w:space="0" w:color="auto"/>
              <w:left w:val="nil"/>
              <w:bottom w:val="single" w:sz="4" w:space="0" w:color="auto"/>
              <w:right w:val="nil"/>
            </w:tcBorders>
            <w:shd w:val="clear" w:color="auto" w:fill="99CCFF"/>
          </w:tcPr>
          <w:p w:rsidR="00132228"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132228" w:rsidRPr="001E5F0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4</w:t>
            </w:r>
          </w:p>
        </w:tc>
        <w:tc>
          <w:tcPr>
            <w:tcW w:w="571" w:type="pct"/>
            <w:tcBorders>
              <w:top w:val="single" w:sz="4" w:space="0" w:color="auto"/>
              <w:left w:val="nil"/>
              <w:bottom w:val="single" w:sz="4" w:space="0" w:color="auto"/>
              <w:right w:val="nil"/>
            </w:tcBorders>
            <w:shd w:val="clear" w:color="auto" w:fill="99CCFF"/>
          </w:tcPr>
          <w:p w:rsidR="00132228"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1</w:t>
            </w:r>
          </w:p>
        </w:tc>
        <w:tc>
          <w:tcPr>
            <w:tcW w:w="571" w:type="pct"/>
            <w:tcBorders>
              <w:top w:val="single" w:sz="4" w:space="0" w:color="auto"/>
              <w:left w:val="nil"/>
              <w:bottom w:val="single" w:sz="4" w:space="0" w:color="auto"/>
              <w:right w:val="nil"/>
            </w:tcBorders>
            <w:shd w:val="clear" w:color="auto" w:fill="auto"/>
          </w:tcPr>
          <w:p w:rsidR="00132228" w:rsidRPr="001E5F0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3</w:t>
            </w:r>
          </w:p>
        </w:tc>
        <w:tc>
          <w:tcPr>
            <w:tcW w:w="571" w:type="pct"/>
            <w:tcBorders>
              <w:top w:val="single" w:sz="4" w:space="0" w:color="auto"/>
              <w:left w:val="nil"/>
              <w:bottom w:val="single" w:sz="4" w:space="0" w:color="auto"/>
              <w:right w:val="nil"/>
            </w:tcBorders>
            <w:shd w:val="clear" w:color="auto" w:fill="99CCFF"/>
          </w:tcPr>
          <w:p w:rsidR="00132228"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1</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1</w:t>
            </w:r>
          </w:p>
        </w:tc>
      </w:tr>
      <w:tr w:rsidR="00132228" w:rsidTr="00DE340C">
        <w:trPr>
          <w:cantSplit/>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Executive Level 2</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8</w:t>
            </w:r>
          </w:p>
        </w:tc>
        <w:tc>
          <w:tcPr>
            <w:tcW w:w="571" w:type="pct"/>
            <w:tcBorders>
              <w:top w:val="single" w:sz="4" w:space="0" w:color="auto"/>
              <w:left w:val="nil"/>
              <w:bottom w:val="single" w:sz="4" w:space="0" w:color="auto"/>
              <w:right w:val="nil"/>
            </w:tcBorders>
            <w:shd w:val="clear" w:color="auto" w:fill="99CCFF"/>
          </w:tcPr>
          <w:p w:rsidR="00132228"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6</w:t>
            </w:r>
          </w:p>
        </w:tc>
        <w:tc>
          <w:tcPr>
            <w:tcW w:w="571" w:type="pct"/>
            <w:tcBorders>
              <w:top w:val="single" w:sz="4" w:space="0" w:color="auto"/>
              <w:left w:val="nil"/>
              <w:bottom w:val="single" w:sz="4"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r>
      <w:tr w:rsidR="00132228" w:rsidTr="00DE340C">
        <w:trPr>
          <w:cantSplit/>
        </w:trPr>
        <w:tc>
          <w:tcPr>
            <w:tcW w:w="1574" w:type="pct"/>
            <w:tcBorders>
              <w:top w:val="single" w:sz="4" w:space="0" w:color="auto"/>
              <w:left w:val="nil"/>
              <w:bottom w:val="single" w:sz="4"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Executive Level 1</w:t>
            </w:r>
            <w:r>
              <w:rPr>
                <w:rFonts w:ascii="Arial" w:hAnsi="Arial" w:cs="Arial"/>
                <w:color w:val="0000FF"/>
                <w:sz w:val="18"/>
                <w:szCs w:val="18"/>
              </w:rPr>
              <w:br/>
            </w:r>
          </w:p>
        </w:tc>
        <w:tc>
          <w:tcPr>
            <w:tcW w:w="571" w:type="pct"/>
            <w:tcBorders>
              <w:top w:val="single" w:sz="4" w:space="0" w:color="auto"/>
              <w:left w:val="nil"/>
              <w:bottom w:val="single" w:sz="4" w:space="0" w:color="auto"/>
              <w:right w:val="nil"/>
            </w:tcBorders>
            <w:shd w:val="clear" w:color="auto" w:fill="99CCFF"/>
          </w:tcPr>
          <w:p w:rsidR="00132228"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7</w:t>
            </w:r>
          </w:p>
        </w:tc>
        <w:tc>
          <w:tcPr>
            <w:tcW w:w="571" w:type="pct"/>
            <w:tcBorders>
              <w:top w:val="single" w:sz="4" w:space="0" w:color="auto"/>
              <w:left w:val="nil"/>
              <w:bottom w:val="single" w:sz="4" w:space="0" w:color="auto"/>
              <w:right w:val="nil"/>
            </w:tcBorders>
            <w:shd w:val="clear" w:color="auto" w:fill="99CCFF"/>
          </w:tcPr>
          <w:p w:rsidR="00132228"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5</w:t>
            </w:r>
          </w:p>
        </w:tc>
        <w:tc>
          <w:tcPr>
            <w:tcW w:w="571" w:type="pct"/>
            <w:tcBorders>
              <w:top w:val="single" w:sz="4" w:space="0" w:color="auto"/>
              <w:left w:val="nil"/>
              <w:bottom w:val="single" w:sz="4" w:space="0" w:color="auto"/>
              <w:right w:val="nil"/>
            </w:tcBorders>
            <w:shd w:val="clear" w:color="auto" w:fill="auto"/>
          </w:tcPr>
          <w:p w:rsidR="00132228" w:rsidRPr="001E5F06" w:rsidRDefault="001E5F06" w:rsidP="00DE340C">
            <w:pPr>
              <w:keepLines/>
              <w:spacing w:before="60"/>
              <w:jc w:val="center"/>
              <w:rPr>
                <w:rFonts w:ascii="Arial" w:hAnsi="Arial" w:cs="Arial"/>
                <w:color w:val="0000FF"/>
                <w:sz w:val="18"/>
                <w:szCs w:val="18"/>
              </w:rPr>
            </w:pPr>
            <w:r w:rsidRPr="001E5F06">
              <w:rPr>
                <w:rFonts w:ascii="Arial" w:hAnsi="Arial" w:cs="Arial"/>
                <w:color w:val="0000FF"/>
                <w:sz w:val="18"/>
                <w:szCs w:val="18"/>
              </w:rPr>
              <w:t>5</w:t>
            </w:r>
          </w:p>
        </w:tc>
        <w:tc>
          <w:tcPr>
            <w:tcW w:w="571" w:type="pct"/>
            <w:tcBorders>
              <w:top w:val="single" w:sz="4" w:space="0" w:color="auto"/>
              <w:left w:val="nil"/>
              <w:bottom w:val="single" w:sz="4" w:space="0" w:color="auto"/>
              <w:right w:val="nil"/>
            </w:tcBorders>
            <w:shd w:val="clear" w:color="auto" w:fill="99CCFF"/>
          </w:tcPr>
          <w:p w:rsidR="00132228" w:rsidRDefault="00F42B76" w:rsidP="00DE340C">
            <w:pPr>
              <w:keepLines/>
              <w:spacing w:before="60"/>
              <w:jc w:val="center"/>
              <w:rPr>
                <w:rFonts w:ascii="Arial" w:hAnsi="Arial" w:cs="Arial"/>
                <w:color w:val="0000FF"/>
                <w:sz w:val="18"/>
                <w:szCs w:val="18"/>
              </w:rPr>
            </w:pPr>
            <w:r>
              <w:rPr>
                <w:rFonts w:ascii="Arial" w:hAnsi="Arial" w:cs="Arial"/>
                <w:color w:val="0000FF"/>
                <w:sz w:val="18"/>
                <w:szCs w:val="18"/>
              </w:rPr>
              <w:t>2</w:t>
            </w:r>
          </w:p>
        </w:tc>
        <w:tc>
          <w:tcPr>
            <w:tcW w:w="571" w:type="pct"/>
            <w:tcBorders>
              <w:top w:val="single" w:sz="4" w:space="0" w:color="auto"/>
              <w:left w:val="nil"/>
              <w:bottom w:val="single" w:sz="4" w:space="0" w:color="auto"/>
              <w:right w:val="nil"/>
            </w:tcBorders>
            <w:shd w:val="clear" w:color="auto" w:fill="auto"/>
          </w:tcPr>
          <w:p w:rsidR="00132228" w:rsidRPr="001E5F06" w:rsidRDefault="00132228" w:rsidP="00DE340C">
            <w:pPr>
              <w:keepLines/>
              <w:spacing w:before="60"/>
              <w:jc w:val="center"/>
              <w:rPr>
                <w:rFonts w:ascii="Arial" w:hAnsi="Arial" w:cs="Arial"/>
                <w:color w:val="0000FF"/>
                <w:sz w:val="18"/>
                <w:szCs w:val="18"/>
              </w:rPr>
            </w:pPr>
            <w:r w:rsidRPr="001E5F06">
              <w:rPr>
                <w:rFonts w:ascii="Arial" w:hAnsi="Arial" w:cs="Arial"/>
                <w:color w:val="0000FF"/>
                <w:sz w:val="18"/>
                <w:szCs w:val="18"/>
              </w:rPr>
              <w:t>2</w:t>
            </w:r>
          </w:p>
        </w:tc>
      </w:tr>
      <w:tr w:rsidR="00F42B76" w:rsidTr="00DE340C">
        <w:trPr>
          <w:cantSplit/>
        </w:trPr>
        <w:tc>
          <w:tcPr>
            <w:tcW w:w="1574" w:type="pct"/>
            <w:tcBorders>
              <w:top w:val="single" w:sz="4" w:space="0" w:color="auto"/>
              <w:left w:val="nil"/>
              <w:bottom w:val="single" w:sz="4" w:space="0" w:color="auto"/>
              <w:right w:val="nil"/>
            </w:tcBorders>
          </w:tcPr>
          <w:p w:rsidR="00F42B76" w:rsidRDefault="00F42B76" w:rsidP="00DE340C">
            <w:pPr>
              <w:keepLines/>
              <w:spacing w:before="60"/>
              <w:rPr>
                <w:rFonts w:ascii="Arial" w:hAnsi="Arial" w:cs="Arial"/>
                <w:color w:val="0000FF"/>
                <w:sz w:val="18"/>
                <w:szCs w:val="18"/>
              </w:rPr>
            </w:pPr>
            <w:r>
              <w:rPr>
                <w:rFonts w:ascii="Arial" w:hAnsi="Arial" w:cs="Arial"/>
                <w:color w:val="0000FF"/>
                <w:sz w:val="18"/>
                <w:szCs w:val="18"/>
              </w:rPr>
              <w:t xml:space="preserve">OPC Broadband B </w:t>
            </w:r>
          </w:p>
          <w:p w:rsidR="00F42B76" w:rsidRDefault="00F42B76" w:rsidP="00DE340C">
            <w:pPr>
              <w:keepLines/>
              <w:spacing w:before="60"/>
              <w:rPr>
                <w:rFonts w:ascii="Arial" w:hAnsi="Arial" w:cs="Arial"/>
                <w:color w:val="0000FF"/>
                <w:sz w:val="18"/>
                <w:szCs w:val="18"/>
              </w:rPr>
            </w:pPr>
            <w:r>
              <w:rPr>
                <w:rFonts w:ascii="Arial" w:hAnsi="Arial" w:cs="Arial"/>
                <w:color w:val="0000FF"/>
                <w:sz w:val="18"/>
                <w:szCs w:val="18"/>
              </w:rPr>
              <w:t>(APS 4 - 6)</w:t>
            </w:r>
          </w:p>
        </w:tc>
        <w:tc>
          <w:tcPr>
            <w:tcW w:w="571" w:type="pct"/>
            <w:tcBorders>
              <w:top w:val="single" w:sz="4" w:space="0" w:color="auto"/>
              <w:left w:val="nil"/>
              <w:bottom w:val="single" w:sz="4" w:space="0" w:color="auto"/>
              <w:right w:val="nil"/>
            </w:tcBorders>
            <w:shd w:val="clear" w:color="auto" w:fill="99CCFF"/>
          </w:tcPr>
          <w:p w:rsidR="00F42B76" w:rsidRDefault="00351C2E" w:rsidP="00BF3B3C">
            <w:pPr>
              <w:keepLines/>
              <w:spacing w:before="60"/>
              <w:jc w:val="center"/>
              <w:rPr>
                <w:rFonts w:ascii="Arial" w:hAnsi="Arial" w:cs="Arial"/>
                <w:color w:val="0000FF"/>
                <w:sz w:val="18"/>
                <w:szCs w:val="18"/>
              </w:rPr>
            </w:pPr>
            <w:r>
              <w:rPr>
                <w:rFonts w:ascii="Arial" w:hAnsi="Arial" w:cs="Arial"/>
                <w:color w:val="0000FF"/>
                <w:sz w:val="18"/>
                <w:szCs w:val="18"/>
              </w:rPr>
              <w:t>43</w:t>
            </w:r>
            <w:r w:rsidR="00F42B76">
              <w:rPr>
                <w:rFonts w:ascii="Arial" w:hAnsi="Arial" w:cs="Arial"/>
                <w:color w:val="0000FF"/>
                <w:sz w:val="18"/>
                <w:szCs w:val="18"/>
                <w:vertAlign w:val="superscript"/>
              </w:rPr>
              <w:t>3</w:t>
            </w:r>
          </w:p>
        </w:tc>
        <w:tc>
          <w:tcPr>
            <w:tcW w:w="571" w:type="pct"/>
            <w:tcBorders>
              <w:top w:val="single" w:sz="4" w:space="0" w:color="auto"/>
              <w:left w:val="nil"/>
              <w:bottom w:val="single" w:sz="4" w:space="0" w:color="auto"/>
              <w:right w:val="nil"/>
            </w:tcBorders>
            <w:shd w:val="clear" w:color="auto" w:fill="auto"/>
          </w:tcPr>
          <w:p w:rsidR="00F42B76" w:rsidRPr="005B58C1" w:rsidRDefault="00351C2E" w:rsidP="00351C2E">
            <w:pPr>
              <w:keepLines/>
              <w:spacing w:before="60"/>
              <w:jc w:val="center"/>
              <w:rPr>
                <w:rFonts w:ascii="Arial" w:hAnsi="Arial" w:cs="Arial"/>
                <w:color w:val="0000FF"/>
                <w:sz w:val="18"/>
                <w:szCs w:val="18"/>
              </w:rPr>
            </w:pPr>
            <w:r>
              <w:rPr>
                <w:rFonts w:ascii="Arial" w:hAnsi="Arial" w:cs="Arial"/>
                <w:color w:val="0000FF"/>
                <w:sz w:val="18"/>
                <w:szCs w:val="18"/>
              </w:rPr>
              <w:t>44</w:t>
            </w:r>
            <w:r>
              <w:rPr>
                <w:rFonts w:ascii="Arial" w:hAnsi="Arial" w:cs="Arial"/>
                <w:color w:val="0000FF"/>
                <w:sz w:val="18"/>
                <w:szCs w:val="18"/>
                <w:vertAlign w:val="superscript"/>
              </w:rPr>
              <w:t>7</w:t>
            </w:r>
          </w:p>
        </w:tc>
        <w:tc>
          <w:tcPr>
            <w:tcW w:w="571" w:type="pct"/>
            <w:tcBorders>
              <w:top w:val="single" w:sz="4" w:space="0" w:color="auto"/>
              <w:left w:val="nil"/>
              <w:bottom w:val="single" w:sz="4" w:space="0" w:color="auto"/>
              <w:right w:val="nil"/>
            </w:tcBorders>
            <w:shd w:val="clear" w:color="auto" w:fill="99CCFF"/>
          </w:tcPr>
          <w:p w:rsidR="00F42B7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9</w:t>
            </w:r>
          </w:p>
        </w:tc>
        <w:tc>
          <w:tcPr>
            <w:tcW w:w="571" w:type="pct"/>
            <w:tcBorders>
              <w:top w:val="single" w:sz="4" w:space="0" w:color="auto"/>
              <w:left w:val="nil"/>
              <w:bottom w:val="single" w:sz="4" w:space="0" w:color="auto"/>
              <w:right w:val="nil"/>
            </w:tcBorders>
            <w:shd w:val="clear" w:color="auto" w:fill="auto"/>
          </w:tcPr>
          <w:p w:rsidR="00F42B76" w:rsidRPr="005B58C1" w:rsidRDefault="005B58C1" w:rsidP="00DE340C">
            <w:pPr>
              <w:keepLines/>
              <w:spacing w:before="60"/>
              <w:jc w:val="center"/>
              <w:rPr>
                <w:rFonts w:ascii="Arial" w:hAnsi="Arial" w:cs="Arial"/>
                <w:color w:val="0000FF"/>
                <w:sz w:val="18"/>
                <w:szCs w:val="18"/>
              </w:rPr>
            </w:pPr>
            <w:r w:rsidRPr="005B58C1">
              <w:rPr>
                <w:rFonts w:ascii="Arial" w:hAnsi="Arial" w:cs="Arial"/>
                <w:color w:val="0000FF"/>
                <w:sz w:val="18"/>
                <w:szCs w:val="18"/>
              </w:rPr>
              <w:t>9</w:t>
            </w:r>
          </w:p>
        </w:tc>
        <w:tc>
          <w:tcPr>
            <w:tcW w:w="571" w:type="pct"/>
            <w:tcBorders>
              <w:top w:val="single" w:sz="4" w:space="0" w:color="auto"/>
              <w:left w:val="nil"/>
              <w:bottom w:val="single" w:sz="4" w:space="0" w:color="auto"/>
              <w:right w:val="nil"/>
            </w:tcBorders>
            <w:shd w:val="clear" w:color="auto" w:fill="99CCFF"/>
          </w:tcPr>
          <w:p w:rsidR="00F42B76"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34</w:t>
            </w:r>
          </w:p>
        </w:tc>
        <w:tc>
          <w:tcPr>
            <w:tcW w:w="571" w:type="pct"/>
            <w:tcBorders>
              <w:top w:val="single" w:sz="4" w:space="0" w:color="auto"/>
              <w:left w:val="nil"/>
              <w:bottom w:val="single" w:sz="4" w:space="0" w:color="auto"/>
              <w:right w:val="nil"/>
            </w:tcBorders>
            <w:shd w:val="clear" w:color="auto" w:fill="auto"/>
          </w:tcPr>
          <w:p w:rsidR="00F42B76" w:rsidRPr="005B58C1" w:rsidRDefault="00351C2E" w:rsidP="00DE340C">
            <w:pPr>
              <w:keepLines/>
              <w:spacing w:before="60"/>
              <w:jc w:val="center"/>
              <w:rPr>
                <w:rFonts w:ascii="Arial" w:hAnsi="Arial" w:cs="Arial"/>
                <w:color w:val="0000FF"/>
                <w:sz w:val="18"/>
                <w:szCs w:val="18"/>
              </w:rPr>
            </w:pPr>
            <w:r>
              <w:rPr>
                <w:rFonts w:ascii="Arial" w:hAnsi="Arial" w:cs="Arial"/>
                <w:color w:val="0000FF"/>
                <w:sz w:val="18"/>
                <w:szCs w:val="18"/>
              </w:rPr>
              <w:t>35</w:t>
            </w:r>
          </w:p>
        </w:tc>
      </w:tr>
      <w:tr w:rsidR="00132228" w:rsidTr="00DE340C">
        <w:trPr>
          <w:cantSplit/>
        </w:trPr>
        <w:tc>
          <w:tcPr>
            <w:tcW w:w="1574" w:type="pct"/>
            <w:tcBorders>
              <w:top w:val="single" w:sz="4" w:space="0" w:color="auto"/>
              <w:left w:val="nil"/>
              <w:bottom w:val="single" w:sz="12" w:space="0" w:color="auto"/>
              <w:right w:val="nil"/>
            </w:tcBorders>
          </w:tcPr>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OPC Broadband A</w:t>
            </w:r>
          </w:p>
          <w:p w:rsidR="00132228" w:rsidRDefault="00132228" w:rsidP="00DE340C">
            <w:pPr>
              <w:keepLines/>
              <w:spacing w:before="60"/>
              <w:rPr>
                <w:rFonts w:ascii="Arial" w:hAnsi="Arial" w:cs="Arial"/>
                <w:color w:val="0000FF"/>
                <w:sz w:val="18"/>
                <w:szCs w:val="18"/>
              </w:rPr>
            </w:pPr>
            <w:r>
              <w:rPr>
                <w:rFonts w:ascii="Arial" w:hAnsi="Arial" w:cs="Arial"/>
                <w:color w:val="0000FF"/>
                <w:sz w:val="18"/>
                <w:szCs w:val="18"/>
              </w:rPr>
              <w:t>(APS 1 - 3)</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5B58C1" w:rsidRDefault="00132228" w:rsidP="00DE340C">
            <w:pPr>
              <w:keepLines/>
              <w:spacing w:before="60"/>
              <w:jc w:val="center"/>
              <w:rPr>
                <w:rFonts w:ascii="Arial" w:hAnsi="Arial" w:cs="Arial"/>
                <w:color w:val="0000FF"/>
                <w:sz w:val="18"/>
                <w:szCs w:val="18"/>
              </w:rPr>
            </w:pPr>
            <w:r w:rsidRPr="005B58C1">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5B58C1" w:rsidRDefault="00132228" w:rsidP="00DE340C">
            <w:pPr>
              <w:keepLines/>
              <w:spacing w:before="60"/>
              <w:jc w:val="center"/>
              <w:rPr>
                <w:rFonts w:ascii="Arial" w:hAnsi="Arial" w:cs="Arial"/>
                <w:color w:val="0000FF"/>
                <w:sz w:val="18"/>
                <w:szCs w:val="18"/>
              </w:rPr>
            </w:pPr>
            <w:r w:rsidRPr="005B58C1">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99CCFF"/>
          </w:tcPr>
          <w:p w:rsidR="00132228" w:rsidRDefault="00132228" w:rsidP="00DE340C">
            <w:pPr>
              <w:keepLines/>
              <w:spacing w:before="60"/>
              <w:jc w:val="center"/>
              <w:rPr>
                <w:rFonts w:ascii="Arial" w:hAnsi="Arial" w:cs="Arial"/>
                <w:color w:val="0000FF"/>
                <w:sz w:val="18"/>
                <w:szCs w:val="18"/>
              </w:rPr>
            </w:pPr>
            <w:r>
              <w:rPr>
                <w:rFonts w:ascii="Arial" w:hAnsi="Arial" w:cs="Arial"/>
                <w:color w:val="0000FF"/>
                <w:sz w:val="18"/>
                <w:szCs w:val="18"/>
              </w:rPr>
              <w:t>0</w:t>
            </w:r>
          </w:p>
        </w:tc>
        <w:tc>
          <w:tcPr>
            <w:tcW w:w="571" w:type="pct"/>
            <w:tcBorders>
              <w:top w:val="single" w:sz="4" w:space="0" w:color="auto"/>
              <w:left w:val="nil"/>
              <w:bottom w:val="single" w:sz="12" w:space="0" w:color="auto"/>
              <w:right w:val="nil"/>
            </w:tcBorders>
            <w:shd w:val="clear" w:color="auto" w:fill="auto"/>
          </w:tcPr>
          <w:p w:rsidR="00132228" w:rsidRPr="005B58C1" w:rsidRDefault="00132228" w:rsidP="00DE340C">
            <w:pPr>
              <w:keepLines/>
              <w:spacing w:before="60"/>
              <w:jc w:val="center"/>
              <w:rPr>
                <w:rFonts w:ascii="Arial" w:hAnsi="Arial" w:cs="Arial"/>
                <w:color w:val="0000FF"/>
                <w:sz w:val="18"/>
                <w:szCs w:val="18"/>
              </w:rPr>
            </w:pPr>
            <w:r w:rsidRPr="005B58C1">
              <w:rPr>
                <w:rFonts w:ascii="Arial" w:hAnsi="Arial" w:cs="Arial"/>
                <w:color w:val="0000FF"/>
                <w:sz w:val="18"/>
                <w:szCs w:val="18"/>
              </w:rPr>
              <w:t>0</w:t>
            </w:r>
          </w:p>
        </w:tc>
      </w:tr>
      <w:tr w:rsidR="00132228" w:rsidTr="00DE340C">
        <w:trPr>
          <w:cantSplit/>
        </w:trPr>
        <w:tc>
          <w:tcPr>
            <w:tcW w:w="1574" w:type="pct"/>
            <w:tcBorders>
              <w:top w:val="single" w:sz="12" w:space="0" w:color="auto"/>
              <w:left w:val="nil"/>
              <w:bottom w:val="single" w:sz="12" w:space="0" w:color="auto"/>
              <w:right w:val="nil"/>
            </w:tcBorders>
          </w:tcPr>
          <w:p w:rsidR="00132228" w:rsidRDefault="006E227F" w:rsidP="00DE340C">
            <w:pPr>
              <w:spacing w:after="60"/>
              <w:rPr>
                <w:rFonts w:ascii="Arial" w:hAnsi="Arial" w:cs="Arial"/>
                <w:b/>
                <w:color w:val="0000FF"/>
                <w:sz w:val="18"/>
                <w:szCs w:val="18"/>
              </w:rPr>
            </w:pPr>
            <w:r>
              <w:rPr>
                <w:rFonts w:ascii="Arial" w:hAnsi="Arial" w:cs="Arial"/>
                <w:b/>
                <w:color w:val="0000FF"/>
                <w:sz w:val="18"/>
                <w:szCs w:val="18"/>
              </w:rPr>
              <w:t>Totals</w:t>
            </w:r>
          </w:p>
        </w:tc>
        <w:tc>
          <w:tcPr>
            <w:tcW w:w="571" w:type="pct"/>
            <w:tcBorders>
              <w:top w:val="single" w:sz="12" w:space="0" w:color="auto"/>
              <w:left w:val="nil"/>
              <w:bottom w:val="single" w:sz="12" w:space="0" w:color="auto"/>
              <w:right w:val="nil"/>
            </w:tcBorders>
            <w:shd w:val="clear" w:color="auto" w:fill="99CCFF"/>
            <w:vAlign w:val="bottom"/>
          </w:tcPr>
          <w:p w:rsidR="00132228" w:rsidRDefault="00351C2E" w:rsidP="00DE340C">
            <w:pPr>
              <w:spacing w:after="60"/>
              <w:jc w:val="center"/>
              <w:rPr>
                <w:rFonts w:ascii="Arial" w:hAnsi="Arial" w:cs="Arial"/>
                <w:b/>
                <w:color w:val="0000FF"/>
                <w:sz w:val="18"/>
                <w:szCs w:val="18"/>
              </w:rPr>
            </w:pPr>
            <w:r>
              <w:rPr>
                <w:rFonts w:ascii="Arial" w:hAnsi="Arial" w:cs="Arial"/>
                <w:b/>
                <w:color w:val="0000FF"/>
                <w:sz w:val="18"/>
                <w:szCs w:val="18"/>
              </w:rPr>
              <w:t>102</w:t>
            </w:r>
          </w:p>
        </w:tc>
        <w:tc>
          <w:tcPr>
            <w:tcW w:w="571" w:type="pct"/>
            <w:tcBorders>
              <w:top w:val="single" w:sz="12" w:space="0" w:color="auto"/>
              <w:left w:val="nil"/>
              <w:bottom w:val="single" w:sz="12" w:space="0" w:color="auto"/>
              <w:right w:val="nil"/>
            </w:tcBorders>
            <w:shd w:val="clear" w:color="auto" w:fill="auto"/>
            <w:vAlign w:val="bottom"/>
          </w:tcPr>
          <w:p w:rsidR="00132228" w:rsidRPr="005B58C1" w:rsidRDefault="00351C2E" w:rsidP="00DE340C">
            <w:pPr>
              <w:spacing w:after="60"/>
              <w:jc w:val="center"/>
              <w:rPr>
                <w:rFonts w:ascii="Arial" w:hAnsi="Arial" w:cs="Arial"/>
                <w:b/>
                <w:color w:val="0000FF"/>
                <w:sz w:val="18"/>
                <w:szCs w:val="18"/>
              </w:rPr>
            </w:pPr>
            <w:r>
              <w:rPr>
                <w:rFonts w:ascii="Arial" w:hAnsi="Arial" w:cs="Arial"/>
                <w:b/>
                <w:color w:val="0000FF"/>
                <w:sz w:val="18"/>
                <w:szCs w:val="18"/>
              </w:rPr>
              <w:t>106</w:t>
            </w:r>
          </w:p>
        </w:tc>
        <w:tc>
          <w:tcPr>
            <w:tcW w:w="571" w:type="pct"/>
            <w:tcBorders>
              <w:top w:val="single" w:sz="12" w:space="0" w:color="auto"/>
              <w:left w:val="nil"/>
              <w:bottom w:val="single" w:sz="12" w:space="0" w:color="auto"/>
              <w:right w:val="nil"/>
            </w:tcBorders>
            <w:shd w:val="clear" w:color="auto" w:fill="99CCFF"/>
            <w:vAlign w:val="bottom"/>
          </w:tcPr>
          <w:p w:rsidR="00132228" w:rsidRDefault="00F42B76" w:rsidP="00DE340C">
            <w:pPr>
              <w:spacing w:after="60"/>
              <w:jc w:val="center"/>
              <w:rPr>
                <w:rFonts w:ascii="Arial" w:hAnsi="Arial" w:cs="Arial"/>
                <w:b/>
                <w:color w:val="0000FF"/>
                <w:sz w:val="18"/>
                <w:szCs w:val="18"/>
              </w:rPr>
            </w:pPr>
            <w:r>
              <w:rPr>
                <w:rFonts w:ascii="Arial" w:hAnsi="Arial" w:cs="Arial"/>
                <w:b/>
                <w:color w:val="0000FF"/>
                <w:sz w:val="18"/>
                <w:szCs w:val="18"/>
              </w:rPr>
              <w:t>38</w:t>
            </w:r>
          </w:p>
        </w:tc>
        <w:tc>
          <w:tcPr>
            <w:tcW w:w="571" w:type="pct"/>
            <w:tcBorders>
              <w:top w:val="single" w:sz="12" w:space="0" w:color="auto"/>
              <w:left w:val="nil"/>
              <w:bottom w:val="single" w:sz="12" w:space="0" w:color="auto"/>
              <w:right w:val="nil"/>
            </w:tcBorders>
            <w:shd w:val="clear" w:color="auto" w:fill="auto"/>
            <w:vAlign w:val="bottom"/>
          </w:tcPr>
          <w:p w:rsidR="00132228" w:rsidRPr="005B58C1" w:rsidRDefault="00351C2E" w:rsidP="00DE340C">
            <w:pPr>
              <w:spacing w:after="60"/>
              <w:jc w:val="center"/>
              <w:rPr>
                <w:rFonts w:ascii="Arial" w:hAnsi="Arial" w:cs="Arial"/>
                <w:b/>
                <w:color w:val="0000FF"/>
                <w:sz w:val="18"/>
                <w:szCs w:val="18"/>
              </w:rPr>
            </w:pPr>
            <w:r>
              <w:rPr>
                <w:rFonts w:ascii="Arial" w:hAnsi="Arial" w:cs="Arial"/>
                <w:b/>
                <w:color w:val="0000FF"/>
                <w:sz w:val="18"/>
                <w:szCs w:val="18"/>
              </w:rPr>
              <w:t>40</w:t>
            </w:r>
          </w:p>
        </w:tc>
        <w:tc>
          <w:tcPr>
            <w:tcW w:w="571" w:type="pct"/>
            <w:tcBorders>
              <w:top w:val="single" w:sz="12" w:space="0" w:color="auto"/>
              <w:left w:val="nil"/>
              <w:bottom w:val="single" w:sz="12" w:space="0" w:color="auto"/>
              <w:right w:val="nil"/>
            </w:tcBorders>
            <w:shd w:val="clear" w:color="auto" w:fill="99CCFF"/>
            <w:vAlign w:val="bottom"/>
          </w:tcPr>
          <w:p w:rsidR="00132228" w:rsidRDefault="00351C2E" w:rsidP="00DE340C">
            <w:pPr>
              <w:spacing w:after="60"/>
              <w:jc w:val="center"/>
              <w:rPr>
                <w:rFonts w:ascii="Arial" w:hAnsi="Arial" w:cs="Arial"/>
                <w:b/>
                <w:color w:val="0000FF"/>
                <w:sz w:val="18"/>
                <w:szCs w:val="18"/>
              </w:rPr>
            </w:pPr>
            <w:r>
              <w:rPr>
                <w:rFonts w:ascii="Arial" w:hAnsi="Arial" w:cs="Arial"/>
                <w:b/>
                <w:color w:val="0000FF"/>
                <w:sz w:val="18"/>
                <w:szCs w:val="18"/>
              </w:rPr>
              <w:t>64</w:t>
            </w:r>
          </w:p>
        </w:tc>
        <w:tc>
          <w:tcPr>
            <w:tcW w:w="571" w:type="pct"/>
            <w:tcBorders>
              <w:top w:val="single" w:sz="12" w:space="0" w:color="auto"/>
              <w:left w:val="nil"/>
              <w:bottom w:val="single" w:sz="12" w:space="0" w:color="auto"/>
              <w:right w:val="nil"/>
            </w:tcBorders>
            <w:shd w:val="clear" w:color="auto" w:fill="auto"/>
            <w:vAlign w:val="bottom"/>
          </w:tcPr>
          <w:p w:rsidR="00132228" w:rsidRPr="005B58C1" w:rsidRDefault="00351C2E" w:rsidP="00DE340C">
            <w:pPr>
              <w:spacing w:after="60"/>
              <w:jc w:val="center"/>
              <w:rPr>
                <w:rFonts w:ascii="Arial" w:hAnsi="Arial" w:cs="Arial"/>
                <w:b/>
                <w:color w:val="0000FF"/>
                <w:sz w:val="18"/>
                <w:szCs w:val="18"/>
              </w:rPr>
            </w:pPr>
            <w:r>
              <w:rPr>
                <w:rFonts w:ascii="Arial" w:hAnsi="Arial" w:cs="Arial"/>
                <w:b/>
                <w:color w:val="0000FF"/>
                <w:sz w:val="18"/>
                <w:szCs w:val="18"/>
              </w:rPr>
              <w:t>66</w:t>
            </w:r>
          </w:p>
        </w:tc>
      </w:tr>
    </w:tbl>
    <w:p w:rsidR="00132228" w:rsidRDefault="00132228" w:rsidP="00132228">
      <w:pPr>
        <w:pStyle w:val="Blocks"/>
        <w:ind w:left="600" w:hanging="600"/>
        <w:rPr>
          <w:rFonts w:ascii="Arial" w:hAnsi="Arial" w:cs="Arial"/>
          <w:sz w:val="20"/>
        </w:rPr>
      </w:pPr>
    </w:p>
    <w:p w:rsidR="000D37E4" w:rsidRDefault="000D37E4" w:rsidP="000D37E4">
      <w:pPr>
        <w:pStyle w:val="Blocks"/>
        <w:ind w:left="600" w:hanging="600"/>
        <w:rPr>
          <w:rFonts w:ascii="Arial" w:hAnsi="Arial" w:cs="Arial"/>
          <w:sz w:val="16"/>
          <w:szCs w:val="16"/>
        </w:rPr>
      </w:pPr>
      <w:r w:rsidRPr="00840C86">
        <w:rPr>
          <w:rFonts w:ascii="Arial" w:hAnsi="Arial" w:cs="Arial"/>
          <w:sz w:val="16"/>
          <w:szCs w:val="16"/>
        </w:rPr>
        <w:t>1</w:t>
      </w:r>
      <w:r w:rsidRPr="00840C86">
        <w:rPr>
          <w:rFonts w:ascii="Arial" w:hAnsi="Arial" w:cs="Arial"/>
          <w:sz w:val="16"/>
          <w:szCs w:val="16"/>
        </w:rPr>
        <w:tab/>
      </w:r>
      <w:r>
        <w:rPr>
          <w:rFonts w:ascii="Arial" w:hAnsi="Arial" w:cs="Arial"/>
          <w:sz w:val="16"/>
          <w:szCs w:val="16"/>
        </w:rPr>
        <w:t>Includes 1 employee on leave without pay.</w:t>
      </w:r>
    </w:p>
    <w:p w:rsidR="000D37E4" w:rsidRDefault="000D37E4" w:rsidP="000D37E4">
      <w:pPr>
        <w:pStyle w:val="Blocks"/>
        <w:ind w:left="600" w:hanging="600"/>
        <w:rPr>
          <w:rFonts w:ascii="Arial" w:hAnsi="Arial" w:cs="Arial"/>
          <w:sz w:val="16"/>
          <w:szCs w:val="16"/>
        </w:rPr>
      </w:pPr>
      <w:r>
        <w:rPr>
          <w:rFonts w:ascii="Arial" w:hAnsi="Arial" w:cs="Arial"/>
          <w:sz w:val="16"/>
          <w:szCs w:val="16"/>
        </w:rPr>
        <w:t>2</w:t>
      </w:r>
      <w:r>
        <w:rPr>
          <w:rFonts w:ascii="Arial" w:hAnsi="Arial" w:cs="Arial"/>
          <w:sz w:val="16"/>
          <w:szCs w:val="16"/>
        </w:rPr>
        <w:tab/>
        <w:t>Includes 1 employee on maternity leave.</w:t>
      </w:r>
    </w:p>
    <w:p w:rsidR="000D37E4" w:rsidRDefault="000D37E4" w:rsidP="000D37E4">
      <w:pPr>
        <w:pStyle w:val="Blocks"/>
        <w:ind w:left="600" w:hanging="600"/>
        <w:rPr>
          <w:rFonts w:ascii="Arial" w:hAnsi="Arial" w:cs="Arial"/>
          <w:sz w:val="16"/>
          <w:szCs w:val="16"/>
        </w:rPr>
      </w:pPr>
      <w:r>
        <w:rPr>
          <w:rFonts w:ascii="Arial" w:hAnsi="Arial" w:cs="Arial"/>
          <w:sz w:val="16"/>
          <w:szCs w:val="16"/>
        </w:rPr>
        <w:t>3</w:t>
      </w:r>
      <w:r>
        <w:rPr>
          <w:rFonts w:ascii="Arial" w:hAnsi="Arial" w:cs="Arial"/>
          <w:sz w:val="16"/>
          <w:szCs w:val="16"/>
        </w:rPr>
        <w:tab/>
        <w:t>Includes 3 employees on leave without pay and 2 employees on maternity leave.</w:t>
      </w:r>
    </w:p>
    <w:p w:rsidR="000D37E4" w:rsidRPr="006B45FC" w:rsidRDefault="000D37E4" w:rsidP="000D37E4">
      <w:pPr>
        <w:pStyle w:val="Blocks"/>
        <w:ind w:left="600" w:hanging="600"/>
        <w:rPr>
          <w:rFonts w:ascii="Arial" w:hAnsi="Arial" w:cs="Arial"/>
          <w:sz w:val="16"/>
          <w:szCs w:val="16"/>
        </w:rPr>
      </w:pPr>
      <w:r w:rsidRPr="006B45FC">
        <w:rPr>
          <w:rFonts w:ascii="Arial" w:hAnsi="Arial" w:cs="Arial"/>
          <w:sz w:val="16"/>
          <w:szCs w:val="16"/>
        </w:rPr>
        <w:t>4</w:t>
      </w:r>
      <w:r w:rsidRPr="006B45FC">
        <w:rPr>
          <w:rFonts w:ascii="Arial" w:hAnsi="Arial" w:cs="Arial"/>
          <w:sz w:val="16"/>
          <w:szCs w:val="16"/>
        </w:rPr>
        <w:tab/>
        <w:t>Includes 1 employee on leave without pay.</w:t>
      </w:r>
    </w:p>
    <w:p w:rsidR="000D37E4" w:rsidRPr="00F42B76" w:rsidRDefault="000D37E4" w:rsidP="000D37E4">
      <w:pPr>
        <w:pStyle w:val="Blocks"/>
        <w:ind w:left="600" w:hanging="600"/>
        <w:rPr>
          <w:rFonts w:ascii="Arial" w:hAnsi="Arial" w:cs="Arial"/>
          <w:sz w:val="16"/>
          <w:szCs w:val="16"/>
          <w:highlight w:val="yellow"/>
        </w:rPr>
      </w:pPr>
      <w:r w:rsidRPr="006B45FC">
        <w:rPr>
          <w:rFonts w:ascii="Arial" w:hAnsi="Arial" w:cs="Arial"/>
          <w:sz w:val="16"/>
          <w:szCs w:val="16"/>
        </w:rPr>
        <w:t>5</w:t>
      </w:r>
      <w:r w:rsidRPr="006B45FC">
        <w:rPr>
          <w:rFonts w:ascii="Arial" w:hAnsi="Arial" w:cs="Arial"/>
          <w:sz w:val="16"/>
          <w:szCs w:val="16"/>
        </w:rPr>
        <w:tab/>
        <w:t>Includes 1 employee on maternity leave.</w:t>
      </w:r>
    </w:p>
    <w:p w:rsidR="000D37E4" w:rsidRDefault="000D37E4" w:rsidP="000D37E4">
      <w:pPr>
        <w:pStyle w:val="Blocks"/>
        <w:ind w:left="600" w:hanging="600"/>
        <w:rPr>
          <w:rFonts w:ascii="Arial" w:hAnsi="Arial" w:cs="Arial"/>
          <w:sz w:val="16"/>
          <w:szCs w:val="16"/>
        </w:rPr>
      </w:pPr>
      <w:r w:rsidRPr="00912C80">
        <w:rPr>
          <w:rFonts w:ascii="Arial" w:hAnsi="Arial" w:cs="Arial"/>
          <w:sz w:val="16"/>
          <w:szCs w:val="16"/>
        </w:rPr>
        <w:t>6</w:t>
      </w:r>
      <w:r w:rsidRPr="00912C80">
        <w:rPr>
          <w:rFonts w:ascii="Arial" w:hAnsi="Arial" w:cs="Arial"/>
          <w:sz w:val="16"/>
          <w:szCs w:val="16"/>
        </w:rPr>
        <w:tab/>
      </w:r>
      <w:r w:rsidRPr="006B45FC">
        <w:rPr>
          <w:rFonts w:ascii="Arial" w:hAnsi="Arial" w:cs="Arial"/>
          <w:sz w:val="16"/>
          <w:szCs w:val="16"/>
        </w:rPr>
        <w:t>Includes 1 employee on maternity leave.</w:t>
      </w:r>
    </w:p>
    <w:p w:rsidR="000D37E4" w:rsidRPr="00912C80" w:rsidRDefault="000D37E4" w:rsidP="000D37E4">
      <w:pPr>
        <w:pStyle w:val="Blocks"/>
        <w:ind w:left="600" w:hanging="600"/>
        <w:rPr>
          <w:rFonts w:ascii="Arial" w:hAnsi="Arial" w:cs="Arial"/>
          <w:sz w:val="16"/>
          <w:szCs w:val="16"/>
        </w:rPr>
      </w:pPr>
      <w:r>
        <w:rPr>
          <w:rFonts w:ascii="Arial" w:hAnsi="Arial" w:cs="Arial"/>
          <w:sz w:val="16"/>
          <w:szCs w:val="16"/>
        </w:rPr>
        <w:t>7</w:t>
      </w:r>
      <w:r w:rsidRPr="00912C80">
        <w:rPr>
          <w:rFonts w:ascii="Arial" w:hAnsi="Arial" w:cs="Arial"/>
          <w:sz w:val="16"/>
          <w:szCs w:val="16"/>
        </w:rPr>
        <w:tab/>
        <w:t xml:space="preserve">Includes </w:t>
      </w:r>
      <w:r>
        <w:rPr>
          <w:rFonts w:ascii="Arial" w:hAnsi="Arial" w:cs="Arial"/>
          <w:sz w:val="16"/>
          <w:szCs w:val="16"/>
        </w:rPr>
        <w:t>2</w:t>
      </w:r>
      <w:r w:rsidRPr="00912C80">
        <w:rPr>
          <w:rFonts w:ascii="Arial" w:hAnsi="Arial" w:cs="Arial"/>
          <w:sz w:val="16"/>
          <w:szCs w:val="16"/>
        </w:rPr>
        <w:t xml:space="preserve"> employees on</w:t>
      </w:r>
      <w:r>
        <w:rPr>
          <w:rFonts w:ascii="Arial" w:hAnsi="Arial" w:cs="Arial"/>
          <w:sz w:val="16"/>
          <w:szCs w:val="16"/>
        </w:rPr>
        <w:t xml:space="preserve"> maternity leave, 2 employees on</w:t>
      </w:r>
      <w:r w:rsidRPr="00912C80">
        <w:rPr>
          <w:rFonts w:ascii="Arial" w:hAnsi="Arial" w:cs="Arial"/>
          <w:sz w:val="16"/>
          <w:szCs w:val="16"/>
        </w:rPr>
        <w:t xml:space="preserve"> leave without pay and </w:t>
      </w:r>
      <w:r>
        <w:rPr>
          <w:rFonts w:ascii="Arial" w:hAnsi="Arial" w:cs="Arial"/>
          <w:sz w:val="16"/>
          <w:szCs w:val="16"/>
        </w:rPr>
        <w:t>1</w:t>
      </w:r>
      <w:r w:rsidRPr="00912C80">
        <w:rPr>
          <w:rFonts w:ascii="Arial" w:hAnsi="Arial" w:cs="Arial"/>
          <w:sz w:val="16"/>
          <w:szCs w:val="16"/>
        </w:rPr>
        <w:t xml:space="preserve"> employ</w:t>
      </w:r>
      <w:r>
        <w:rPr>
          <w:rFonts w:ascii="Arial" w:hAnsi="Arial" w:cs="Arial"/>
          <w:sz w:val="16"/>
          <w:szCs w:val="16"/>
        </w:rPr>
        <w:t>ee</w:t>
      </w:r>
      <w:r w:rsidRPr="00912C80">
        <w:rPr>
          <w:rFonts w:ascii="Arial" w:hAnsi="Arial" w:cs="Arial"/>
          <w:sz w:val="16"/>
          <w:szCs w:val="16"/>
        </w:rPr>
        <w:t xml:space="preserve"> on </w:t>
      </w:r>
      <w:r>
        <w:rPr>
          <w:rFonts w:ascii="Arial" w:hAnsi="Arial" w:cs="Arial"/>
          <w:sz w:val="16"/>
          <w:szCs w:val="16"/>
        </w:rPr>
        <w:t>temporary transfer</w:t>
      </w:r>
      <w:r w:rsidRPr="00912C80">
        <w:rPr>
          <w:rFonts w:ascii="Arial" w:hAnsi="Arial" w:cs="Arial"/>
          <w:sz w:val="16"/>
          <w:szCs w:val="16"/>
        </w:rPr>
        <w:t>.</w:t>
      </w:r>
    </w:p>
    <w:p w:rsidR="008339B8" w:rsidRPr="001F5E11" w:rsidRDefault="008339B8" w:rsidP="008339B8">
      <w:pPr>
        <w:pStyle w:val="PageBreak"/>
      </w:pPr>
      <w:r w:rsidRPr="001F5E11">
        <w:br w:type="page"/>
      </w:r>
    </w:p>
    <w:p w:rsidR="008339B8" w:rsidRDefault="008339B8" w:rsidP="008339B8">
      <w:pPr>
        <w:pStyle w:val="Head4"/>
      </w:pPr>
      <w:r>
        <w:lastRenderedPageBreak/>
        <w:t xml:space="preserve">Salary ranges </w:t>
      </w:r>
      <w:r w:rsidR="0033174F">
        <w:t>as at 30 June 201</w:t>
      </w:r>
      <w:r w:rsidR="00351C2E">
        <w:t>7</w:t>
      </w:r>
    </w:p>
    <w:tbl>
      <w:tblPr>
        <w:tblW w:w="737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40"/>
        <w:gridCol w:w="1440"/>
        <w:gridCol w:w="1491"/>
      </w:tblGrid>
      <w:tr w:rsidR="00132228" w:rsidTr="00DE340C">
        <w:trPr>
          <w:cantSplit/>
          <w:tblHeader/>
        </w:trPr>
        <w:tc>
          <w:tcPr>
            <w:tcW w:w="4440" w:type="dxa"/>
            <w:tcBorders>
              <w:top w:val="single" w:sz="12" w:space="0" w:color="auto"/>
              <w:left w:val="nil"/>
              <w:bottom w:val="single" w:sz="12" w:space="0" w:color="auto"/>
              <w:right w:val="nil"/>
            </w:tcBorders>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Category</w:t>
            </w:r>
          </w:p>
          <w:p w:rsidR="00132228" w:rsidRDefault="00132228" w:rsidP="00DE340C">
            <w:pPr>
              <w:keepLines/>
              <w:rPr>
                <w:rFonts w:ascii="Arial" w:hAnsi="Arial" w:cs="Arial"/>
                <w:b/>
                <w:color w:val="0000FF"/>
                <w:sz w:val="20"/>
              </w:rPr>
            </w:pPr>
          </w:p>
        </w:tc>
        <w:tc>
          <w:tcPr>
            <w:tcW w:w="1440" w:type="dxa"/>
            <w:tcBorders>
              <w:top w:val="single" w:sz="12" w:space="0" w:color="auto"/>
              <w:left w:val="nil"/>
              <w:bottom w:val="single" w:sz="12" w:space="0" w:color="auto"/>
              <w:right w:val="nil"/>
            </w:tcBorders>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Minimum ($)</w:t>
            </w:r>
          </w:p>
        </w:tc>
        <w:tc>
          <w:tcPr>
            <w:tcW w:w="1491" w:type="dxa"/>
            <w:tcBorders>
              <w:top w:val="single" w:sz="12" w:space="0" w:color="auto"/>
              <w:left w:val="nil"/>
              <w:bottom w:val="single" w:sz="12" w:space="0" w:color="auto"/>
              <w:right w:val="nil"/>
            </w:tcBorders>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Maximum ($)</w:t>
            </w:r>
          </w:p>
        </w:tc>
      </w:tr>
      <w:tr w:rsidR="00132228" w:rsidTr="00DE340C">
        <w:trPr>
          <w:cantSplit/>
          <w:tblHeader/>
        </w:trPr>
        <w:tc>
          <w:tcPr>
            <w:tcW w:w="7371" w:type="dxa"/>
            <w:gridSpan w:val="3"/>
            <w:tcBorders>
              <w:top w:val="single" w:sz="12" w:space="0" w:color="auto"/>
              <w:left w:val="nil"/>
              <w:bottom w:val="nil"/>
              <w:right w:val="nil"/>
            </w:tcBorders>
            <w:shd w:val="clear" w:color="auto" w:fill="99CCFF"/>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Salary ranges—SES positions</w:t>
            </w:r>
          </w:p>
          <w:p w:rsidR="00132228" w:rsidRDefault="00132228" w:rsidP="00DE340C">
            <w:pPr>
              <w:keepLines/>
              <w:rPr>
                <w:rFonts w:ascii="Arial" w:hAnsi="Arial" w:cs="Arial"/>
                <w:b/>
                <w:color w:val="0000FF"/>
                <w:sz w:val="20"/>
              </w:rPr>
            </w:pPr>
          </w:p>
        </w:tc>
      </w:tr>
      <w:tr w:rsidR="00132228" w:rsidTr="00DE340C">
        <w:trPr>
          <w:cantSplit/>
        </w:trPr>
        <w:tc>
          <w:tcPr>
            <w:tcW w:w="4440" w:type="dxa"/>
            <w:tcBorders>
              <w:top w:val="nil"/>
              <w:left w:val="nil"/>
              <w:bottom w:val="single" w:sz="12" w:space="0" w:color="auto"/>
              <w:right w:val="nil"/>
            </w:tcBorders>
          </w:tcPr>
          <w:p w:rsidR="00132228" w:rsidRDefault="00132228" w:rsidP="00DE340C">
            <w:pPr>
              <w:keepLines/>
              <w:spacing w:before="60" w:after="60"/>
              <w:rPr>
                <w:rFonts w:ascii="Arial" w:hAnsi="Arial" w:cs="Arial"/>
                <w:color w:val="0000FF"/>
                <w:sz w:val="18"/>
                <w:szCs w:val="18"/>
              </w:rPr>
            </w:pPr>
            <w:r>
              <w:rPr>
                <w:rFonts w:ascii="Arial" w:hAnsi="Arial" w:cs="Arial"/>
                <w:color w:val="0000FF"/>
                <w:sz w:val="18"/>
                <w:szCs w:val="18"/>
              </w:rPr>
              <w:t>First Assistant Parliamentary Counsel (SES Band 2), Senior Assistant Parliamentary Counsel (SES Band 1) and General Manager (SES Band 1)</w:t>
            </w:r>
          </w:p>
        </w:tc>
        <w:tc>
          <w:tcPr>
            <w:tcW w:w="1440" w:type="dxa"/>
            <w:tcBorders>
              <w:top w:val="nil"/>
              <w:left w:val="nil"/>
              <w:bottom w:val="single" w:sz="12" w:space="0" w:color="auto"/>
              <w:right w:val="nil"/>
            </w:tcBorders>
          </w:tcPr>
          <w:p w:rsidR="00132228" w:rsidRPr="006C688C" w:rsidRDefault="00351C2E" w:rsidP="00DE340C">
            <w:pPr>
              <w:keepLines/>
              <w:tabs>
                <w:tab w:val="decimal" w:pos="840"/>
              </w:tabs>
              <w:spacing w:before="60" w:after="60"/>
              <w:rPr>
                <w:rFonts w:ascii="Arial" w:hAnsi="Arial" w:cs="Arial"/>
                <w:color w:val="0000FF"/>
                <w:sz w:val="18"/>
                <w:szCs w:val="18"/>
                <w:highlight w:val="yellow"/>
              </w:rPr>
            </w:pPr>
            <w:r>
              <w:rPr>
                <w:rFonts w:ascii="Arial" w:hAnsi="Arial" w:cs="Arial"/>
                <w:color w:val="0000FF"/>
                <w:sz w:val="18"/>
                <w:szCs w:val="18"/>
              </w:rPr>
              <w:t>150,915</w:t>
            </w:r>
          </w:p>
        </w:tc>
        <w:tc>
          <w:tcPr>
            <w:tcW w:w="1491" w:type="dxa"/>
            <w:tcBorders>
              <w:top w:val="nil"/>
              <w:left w:val="nil"/>
              <w:bottom w:val="single" w:sz="12" w:space="0" w:color="auto"/>
              <w:right w:val="nil"/>
            </w:tcBorders>
          </w:tcPr>
          <w:p w:rsidR="00132228" w:rsidRPr="006C688C" w:rsidRDefault="00132228" w:rsidP="00351C2E">
            <w:pPr>
              <w:keepLines/>
              <w:tabs>
                <w:tab w:val="decimal" w:pos="860"/>
              </w:tabs>
              <w:spacing w:before="60" w:after="60"/>
              <w:rPr>
                <w:rFonts w:ascii="Arial" w:hAnsi="Arial" w:cs="Arial"/>
                <w:color w:val="0000FF"/>
                <w:sz w:val="18"/>
                <w:szCs w:val="18"/>
                <w:highlight w:val="yellow"/>
              </w:rPr>
            </w:pPr>
            <w:r>
              <w:rPr>
                <w:rFonts w:ascii="Arial" w:hAnsi="Arial" w:cs="Arial"/>
                <w:color w:val="0000FF"/>
                <w:sz w:val="18"/>
                <w:szCs w:val="18"/>
              </w:rPr>
              <w:t>24</w:t>
            </w:r>
            <w:r w:rsidR="00351C2E">
              <w:rPr>
                <w:rFonts w:ascii="Arial" w:hAnsi="Arial" w:cs="Arial"/>
                <w:color w:val="0000FF"/>
                <w:sz w:val="18"/>
                <w:szCs w:val="18"/>
              </w:rPr>
              <w:t>9,397</w:t>
            </w:r>
          </w:p>
        </w:tc>
      </w:tr>
      <w:tr w:rsidR="00132228" w:rsidTr="00DE340C">
        <w:trPr>
          <w:cantSplit/>
          <w:tblHeader/>
        </w:trPr>
        <w:tc>
          <w:tcPr>
            <w:tcW w:w="7371" w:type="dxa"/>
            <w:gridSpan w:val="3"/>
            <w:tcBorders>
              <w:top w:val="single" w:sz="12" w:space="0" w:color="auto"/>
              <w:left w:val="nil"/>
              <w:bottom w:val="nil"/>
              <w:right w:val="nil"/>
            </w:tcBorders>
            <w:shd w:val="clear" w:color="auto" w:fill="99CCFF"/>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Salary ranges—Non-SES drafting positions</w:t>
            </w:r>
          </w:p>
          <w:p w:rsidR="00132228" w:rsidRDefault="00132228" w:rsidP="00DE340C">
            <w:pPr>
              <w:keepLines/>
              <w:rPr>
                <w:rFonts w:ascii="Arial" w:hAnsi="Arial" w:cs="Arial"/>
                <w:b/>
                <w:color w:val="0000FF"/>
                <w:sz w:val="20"/>
              </w:rPr>
            </w:pPr>
          </w:p>
        </w:tc>
      </w:tr>
      <w:tr w:rsidR="00132228" w:rsidTr="00DE340C">
        <w:trPr>
          <w:cantSplit/>
        </w:trPr>
        <w:tc>
          <w:tcPr>
            <w:tcW w:w="4440" w:type="dxa"/>
            <w:tcBorders>
              <w:top w:val="nil"/>
              <w:left w:val="nil"/>
              <w:bottom w:val="single" w:sz="4" w:space="0" w:color="auto"/>
              <w:right w:val="nil"/>
            </w:tcBorders>
          </w:tcPr>
          <w:p w:rsidR="00132228" w:rsidRDefault="00132228" w:rsidP="00DE340C">
            <w:pPr>
              <w:keepLines/>
              <w:spacing w:before="60" w:after="60"/>
              <w:rPr>
                <w:rFonts w:ascii="Arial" w:hAnsi="Arial" w:cs="Arial"/>
                <w:color w:val="0000FF"/>
                <w:sz w:val="18"/>
                <w:szCs w:val="18"/>
              </w:rPr>
            </w:pPr>
            <w:r>
              <w:rPr>
                <w:rFonts w:ascii="Arial" w:hAnsi="Arial" w:cs="Arial"/>
                <w:color w:val="0000FF"/>
                <w:sz w:val="18"/>
                <w:szCs w:val="18"/>
              </w:rPr>
              <w:t>Assistant Parliamentary Counsel Grade 3</w:t>
            </w:r>
          </w:p>
        </w:tc>
        <w:tc>
          <w:tcPr>
            <w:tcW w:w="1440" w:type="dxa"/>
            <w:tcBorders>
              <w:top w:val="nil"/>
              <w:left w:val="nil"/>
              <w:bottom w:val="single" w:sz="4" w:space="0" w:color="auto"/>
              <w:right w:val="nil"/>
            </w:tcBorders>
          </w:tcPr>
          <w:p w:rsidR="00132228" w:rsidRDefault="00351C2E" w:rsidP="00351C2E">
            <w:pPr>
              <w:keepLines/>
              <w:tabs>
                <w:tab w:val="decimal" w:pos="840"/>
              </w:tabs>
              <w:spacing w:before="60" w:after="60"/>
              <w:rPr>
                <w:rFonts w:ascii="Arial" w:hAnsi="Arial" w:cs="Arial"/>
                <w:color w:val="0000FF"/>
                <w:sz w:val="18"/>
                <w:szCs w:val="18"/>
              </w:rPr>
            </w:pPr>
            <w:r>
              <w:rPr>
                <w:rFonts w:ascii="Arial" w:hAnsi="Arial" w:cs="Arial"/>
                <w:color w:val="0000FF"/>
                <w:sz w:val="18"/>
                <w:szCs w:val="18"/>
              </w:rPr>
              <w:t>115</w:t>
            </w:r>
            <w:r w:rsidR="005E54C1">
              <w:rPr>
                <w:rFonts w:ascii="Arial" w:hAnsi="Arial" w:cs="Arial"/>
                <w:color w:val="0000FF"/>
                <w:sz w:val="18"/>
                <w:szCs w:val="18"/>
              </w:rPr>
              <w:t>,</w:t>
            </w:r>
            <w:r>
              <w:rPr>
                <w:rFonts w:ascii="Arial" w:hAnsi="Arial" w:cs="Arial"/>
                <w:color w:val="0000FF"/>
                <w:sz w:val="18"/>
                <w:szCs w:val="18"/>
              </w:rPr>
              <w:t>881</w:t>
            </w:r>
          </w:p>
        </w:tc>
        <w:tc>
          <w:tcPr>
            <w:tcW w:w="1491" w:type="dxa"/>
            <w:tcBorders>
              <w:top w:val="nil"/>
              <w:left w:val="nil"/>
              <w:bottom w:val="single" w:sz="4" w:space="0" w:color="auto"/>
              <w:right w:val="nil"/>
            </w:tcBorders>
          </w:tcPr>
          <w:p w:rsidR="00132228" w:rsidRDefault="005E54C1" w:rsidP="00351C2E">
            <w:pPr>
              <w:keepLines/>
              <w:tabs>
                <w:tab w:val="decimal" w:pos="860"/>
              </w:tabs>
              <w:spacing w:before="60" w:after="60"/>
              <w:rPr>
                <w:rFonts w:ascii="Arial" w:hAnsi="Arial" w:cs="Arial"/>
                <w:color w:val="0000FF"/>
                <w:sz w:val="18"/>
                <w:szCs w:val="18"/>
              </w:rPr>
            </w:pPr>
            <w:r>
              <w:rPr>
                <w:rFonts w:ascii="Arial" w:hAnsi="Arial" w:cs="Arial"/>
                <w:color w:val="0000FF"/>
                <w:sz w:val="18"/>
                <w:szCs w:val="18"/>
              </w:rPr>
              <w:t>13</w:t>
            </w:r>
            <w:r w:rsidR="00351C2E">
              <w:rPr>
                <w:rFonts w:ascii="Arial" w:hAnsi="Arial" w:cs="Arial"/>
                <w:color w:val="0000FF"/>
                <w:sz w:val="18"/>
                <w:szCs w:val="18"/>
              </w:rPr>
              <w:t>9</w:t>
            </w:r>
            <w:r>
              <w:rPr>
                <w:rFonts w:ascii="Arial" w:hAnsi="Arial" w:cs="Arial"/>
                <w:color w:val="0000FF"/>
                <w:sz w:val="18"/>
                <w:szCs w:val="18"/>
              </w:rPr>
              <w:t>,</w:t>
            </w:r>
            <w:r w:rsidR="00351C2E">
              <w:rPr>
                <w:rFonts w:ascii="Arial" w:hAnsi="Arial" w:cs="Arial"/>
                <w:color w:val="0000FF"/>
                <w:sz w:val="18"/>
                <w:szCs w:val="18"/>
              </w:rPr>
              <w:t>509</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rPr>
                <w:rFonts w:ascii="Arial" w:hAnsi="Arial" w:cs="Arial"/>
                <w:color w:val="0000FF"/>
                <w:sz w:val="18"/>
                <w:szCs w:val="18"/>
              </w:rPr>
            </w:pPr>
            <w:r>
              <w:rPr>
                <w:rFonts w:ascii="Arial" w:hAnsi="Arial" w:cs="Arial"/>
                <w:color w:val="0000FF"/>
                <w:sz w:val="18"/>
                <w:szCs w:val="18"/>
              </w:rPr>
              <w:t>Assistant Parliamentary Counsel Grade 2</w:t>
            </w:r>
          </w:p>
        </w:tc>
        <w:tc>
          <w:tcPr>
            <w:tcW w:w="1440" w:type="dxa"/>
            <w:tcBorders>
              <w:top w:val="single" w:sz="4" w:space="0" w:color="auto"/>
              <w:left w:val="nil"/>
              <w:bottom w:val="single" w:sz="4" w:space="0" w:color="auto"/>
              <w:right w:val="nil"/>
            </w:tcBorders>
          </w:tcPr>
          <w:p w:rsidR="00132228" w:rsidRDefault="00351C2E" w:rsidP="00351C2E">
            <w:pPr>
              <w:keepLines/>
              <w:tabs>
                <w:tab w:val="decimal" w:pos="840"/>
              </w:tabs>
              <w:spacing w:before="60" w:after="60"/>
              <w:rPr>
                <w:rFonts w:ascii="Arial" w:hAnsi="Arial" w:cs="Arial"/>
                <w:color w:val="0000FF"/>
                <w:sz w:val="18"/>
                <w:szCs w:val="18"/>
              </w:rPr>
            </w:pPr>
            <w:r>
              <w:rPr>
                <w:rFonts w:ascii="Arial" w:hAnsi="Arial" w:cs="Arial"/>
                <w:color w:val="0000FF"/>
                <w:sz w:val="18"/>
                <w:szCs w:val="18"/>
              </w:rPr>
              <w:t>100</w:t>
            </w:r>
            <w:r w:rsidR="005E54C1">
              <w:rPr>
                <w:rFonts w:ascii="Arial" w:hAnsi="Arial" w:cs="Arial"/>
                <w:color w:val="0000FF"/>
                <w:sz w:val="18"/>
                <w:szCs w:val="18"/>
              </w:rPr>
              <w:t>,7</w:t>
            </w:r>
            <w:r>
              <w:rPr>
                <w:rFonts w:ascii="Arial" w:hAnsi="Arial" w:cs="Arial"/>
                <w:color w:val="0000FF"/>
                <w:sz w:val="18"/>
                <w:szCs w:val="18"/>
              </w:rPr>
              <w:t>40</w:t>
            </w:r>
          </w:p>
        </w:tc>
        <w:tc>
          <w:tcPr>
            <w:tcW w:w="1491" w:type="dxa"/>
            <w:tcBorders>
              <w:top w:val="single" w:sz="4" w:space="0" w:color="auto"/>
              <w:left w:val="nil"/>
              <w:bottom w:val="single" w:sz="4" w:space="0" w:color="auto"/>
              <w:right w:val="nil"/>
            </w:tcBorders>
          </w:tcPr>
          <w:p w:rsidR="00132228" w:rsidRDefault="00351C2E" w:rsidP="00351C2E">
            <w:pPr>
              <w:keepLines/>
              <w:tabs>
                <w:tab w:val="decimal" w:pos="860"/>
              </w:tabs>
              <w:spacing w:before="60" w:after="60"/>
              <w:rPr>
                <w:rFonts w:ascii="Arial" w:hAnsi="Arial" w:cs="Arial"/>
                <w:color w:val="0000FF"/>
                <w:sz w:val="18"/>
                <w:szCs w:val="18"/>
              </w:rPr>
            </w:pPr>
            <w:r>
              <w:rPr>
                <w:rFonts w:ascii="Arial" w:hAnsi="Arial" w:cs="Arial"/>
                <w:color w:val="0000FF"/>
                <w:sz w:val="18"/>
                <w:szCs w:val="18"/>
              </w:rPr>
              <w:t>122</w:t>
            </w:r>
            <w:r w:rsidR="005E54C1">
              <w:rPr>
                <w:rFonts w:ascii="Arial" w:hAnsi="Arial" w:cs="Arial"/>
                <w:color w:val="0000FF"/>
                <w:sz w:val="18"/>
                <w:szCs w:val="18"/>
              </w:rPr>
              <w:t>,</w:t>
            </w:r>
            <w:r>
              <w:rPr>
                <w:rFonts w:ascii="Arial" w:hAnsi="Arial" w:cs="Arial"/>
                <w:color w:val="0000FF"/>
                <w:sz w:val="18"/>
                <w:szCs w:val="18"/>
              </w:rPr>
              <w:t>325</w:t>
            </w:r>
          </w:p>
        </w:tc>
      </w:tr>
      <w:tr w:rsidR="00132228" w:rsidTr="00DE340C">
        <w:trPr>
          <w:cantSplit/>
        </w:trPr>
        <w:tc>
          <w:tcPr>
            <w:tcW w:w="4440" w:type="dxa"/>
            <w:tcBorders>
              <w:top w:val="single" w:sz="4" w:space="0" w:color="auto"/>
              <w:left w:val="nil"/>
              <w:bottom w:val="single" w:sz="12" w:space="0" w:color="auto"/>
              <w:right w:val="nil"/>
            </w:tcBorders>
          </w:tcPr>
          <w:p w:rsidR="00132228" w:rsidRDefault="00132228" w:rsidP="00DE340C">
            <w:pPr>
              <w:keepLines/>
              <w:spacing w:before="60" w:after="60"/>
              <w:rPr>
                <w:rFonts w:ascii="Arial" w:hAnsi="Arial" w:cs="Arial"/>
                <w:color w:val="0000FF"/>
                <w:sz w:val="18"/>
                <w:szCs w:val="18"/>
              </w:rPr>
            </w:pPr>
            <w:r>
              <w:rPr>
                <w:rFonts w:ascii="Arial" w:hAnsi="Arial" w:cs="Arial"/>
                <w:color w:val="0000FF"/>
                <w:sz w:val="18"/>
                <w:szCs w:val="18"/>
              </w:rPr>
              <w:t>Assistant Parliamentary Counsel Grade 1</w:t>
            </w:r>
          </w:p>
        </w:tc>
        <w:tc>
          <w:tcPr>
            <w:tcW w:w="1440" w:type="dxa"/>
            <w:tcBorders>
              <w:top w:val="single" w:sz="4" w:space="0" w:color="auto"/>
              <w:left w:val="nil"/>
              <w:bottom w:val="single" w:sz="12" w:space="0" w:color="auto"/>
              <w:right w:val="nil"/>
            </w:tcBorders>
          </w:tcPr>
          <w:p w:rsidR="00132228" w:rsidRDefault="00351C2E" w:rsidP="00351C2E">
            <w:pPr>
              <w:keepLines/>
              <w:tabs>
                <w:tab w:val="decimal" w:pos="840"/>
              </w:tabs>
              <w:spacing w:before="60" w:after="60"/>
              <w:rPr>
                <w:rFonts w:ascii="Arial" w:hAnsi="Arial" w:cs="Arial"/>
                <w:color w:val="0000FF"/>
                <w:sz w:val="18"/>
                <w:szCs w:val="18"/>
              </w:rPr>
            </w:pPr>
            <w:r>
              <w:rPr>
                <w:rFonts w:ascii="Arial" w:hAnsi="Arial" w:cs="Arial"/>
                <w:color w:val="0000FF"/>
                <w:sz w:val="18"/>
                <w:szCs w:val="18"/>
              </w:rPr>
              <w:t>62</w:t>
            </w:r>
            <w:r w:rsidR="005E54C1">
              <w:rPr>
                <w:rFonts w:ascii="Arial" w:hAnsi="Arial" w:cs="Arial"/>
                <w:color w:val="0000FF"/>
                <w:sz w:val="18"/>
                <w:szCs w:val="18"/>
              </w:rPr>
              <w:t>,</w:t>
            </w:r>
            <w:r>
              <w:rPr>
                <w:rFonts w:ascii="Arial" w:hAnsi="Arial" w:cs="Arial"/>
                <w:color w:val="0000FF"/>
                <w:sz w:val="18"/>
                <w:szCs w:val="18"/>
              </w:rPr>
              <w:t>116</w:t>
            </w:r>
          </w:p>
        </w:tc>
        <w:tc>
          <w:tcPr>
            <w:tcW w:w="1491" w:type="dxa"/>
            <w:tcBorders>
              <w:top w:val="single" w:sz="4" w:space="0" w:color="auto"/>
              <w:left w:val="nil"/>
              <w:bottom w:val="single" w:sz="12" w:space="0" w:color="auto"/>
              <w:right w:val="nil"/>
            </w:tcBorders>
          </w:tcPr>
          <w:p w:rsidR="00132228" w:rsidRDefault="00351C2E" w:rsidP="00351C2E">
            <w:pPr>
              <w:keepLines/>
              <w:tabs>
                <w:tab w:val="decimal" w:pos="860"/>
              </w:tabs>
              <w:spacing w:before="60" w:after="60"/>
              <w:rPr>
                <w:rFonts w:ascii="Arial" w:hAnsi="Arial" w:cs="Arial"/>
                <w:color w:val="0000FF"/>
                <w:sz w:val="18"/>
                <w:szCs w:val="18"/>
              </w:rPr>
            </w:pPr>
            <w:r>
              <w:rPr>
                <w:rFonts w:ascii="Arial" w:hAnsi="Arial" w:cs="Arial"/>
                <w:color w:val="0000FF"/>
                <w:sz w:val="18"/>
                <w:szCs w:val="18"/>
              </w:rPr>
              <w:t>115</w:t>
            </w:r>
            <w:r w:rsidR="005E54C1">
              <w:rPr>
                <w:rFonts w:ascii="Arial" w:hAnsi="Arial" w:cs="Arial"/>
                <w:color w:val="0000FF"/>
                <w:sz w:val="18"/>
                <w:szCs w:val="18"/>
              </w:rPr>
              <w:t>,</w:t>
            </w:r>
            <w:r>
              <w:rPr>
                <w:rFonts w:ascii="Arial" w:hAnsi="Arial" w:cs="Arial"/>
                <w:color w:val="0000FF"/>
                <w:sz w:val="18"/>
                <w:szCs w:val="18"/>
              </w:rPr>
              <w:t>881</w:t>
            </w:r>
          </w:p>
        </w:tc>
      </w:tr>
      <w:tr w:rsidR="00132228" w:rsidTr="00DE340C">
        <w:trPr>
          <w:cantSplit/>
          <w:tblHeader/>
        </w:trPr>
        <w:tc>
          <w:tcPr>
            <w:tcW w:w="7371" w:type="dxa"/>
            <w:gridSpan w:val="3"/>
            <w:tcBorders>
              <w:top w:val="single" w:sz="12" w:space="0" w:color="auto"/>
              <w:left w:val="nil"/>
              <w:bottom w:val="nil"/>
              <w:right w:val="nil"/>
            </w:tcBorders>
            <w:shd w:val="clear" w:color="auto" w:fill="99CCFF"/>
          </w:tcPr>
          <w:p w:rsidR="00132228" w:rsidRDefault="00132228" w:rsidP="00DE340C">
            <w:pPr>
              <w:keepLines/>
              <w:rPr>
                <w:rFonts w:ascii="Arial" w:hAnsi="Arial" w:cs="Arial"/>
                <w:b/>
                <w:color w:val="0000FF"/>
                <w:sz w:val="20"/>
              </w:rPr>
            </w:pPr>
          </w:p>
          <w:p w:rsidR="00132228" w:rsidRDefault="00132228" w:rsidP="00DE340C">
            <w:pPr>
              <w:keepLines/>
              <w:rPr>
                <w:rFonts w:ascii="Arial" w:hAnsi="Arial" w:cs="Arial"/>
                <w:b/>
                <w:color w:val="0000FF"/>
                <w:sz w:val="20"/>
              </w:rPr>
            </w:pPr>
            <w:r>
              <w:rPr>
                <w:rFonts w:ascii="Arial" w:hAnsi="Arial" w:cs="Arial"/>
                <w:b/>
                <w:color w:val="0000FF"/>
                <w:sz w:val="20"/>
              </w:rPr>
              <w:t>Salary ranges—Non-SES non-drafting positions</w:t>
            </w:r>
          </w:p>
          <w:p w:rsidR="00132228" w:rsidRDefault="00132228" w:rsidP="00DE340C">
            <w:pPr>
              <w:keepLines/>
              <w:rPr>
                <w:rFonts w:ascii="Arial" w:hAnsi="Arial" w:cs="Arial"/>
                <w:b/>
                <w:color w:val="0000FF"/>
                <w:sz w:val="20"/>
              </w:rPr>
            </w:pPr>
          </w:p>
        </w:tc>
      </w:tr>
      <w:tr w:rsidR="00132228" w:rsidTr="00DE340C">
        <w:trPr>
          <w:cantSplit/>
        </w:trPr>
        <w:tc>
          <w:tcPr>
            <w:tcW w:w="4440" w:type="dxa"/>
            <w:tcBorders>
              <w:top w:val="nil"/>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Executive Level 2</w:t>
            </w:r>
          </w:p>
        </w:tc>
        <w:tc>
          <w:tcPr>
            <w:tcW w:w="1440" w:type="dxa"/>
            <w:tcBorders>
              <w:top w:val="nil"/>
              <w:left w:val="nil"/>
              <w:bottom w:val="single" w:sz="4" w:space="0" w:color="auto"/>
              <w:right w:val="nil"/>
            </w:tcBorders>
          </w:tcPr>
          <w:p w:rsidR="00132228" w:rsidRDefault="00351C2E"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115,881</w:t>
            </w:r>
          </w:p>
        </w:tc>
        <w:tc>
          <w:tcPr>
            <w:tcW w:w="1491" w:type="dxa"/>
            <w:tcBorders>
              <w:top w:val="nil"/>
              <w:left w:val="nil"/>
              <w:bottom w:val="single" w:sz="4" w:space="0" w:color="auto"/>
              <w:right w:val="nil"/>
            </w:tcBorders>
          </w:tcPr>
          <w:p w:rsidR="00132228" w:rsidRDefault="00351C2E"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139,509</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Executive Level 1</w:t>
            </w:r>
          </w:p>
        </w:tc>
        <w:tc>
          <w:tcPr>
            <w:tcW w:w="1440" w:type="dxa"/>
            <w:tcBorders>
              <w:top w:val="single" w:sz="4" w:space="0" w:color="auto"/>
              <w:left w:val="nil"/>
              <w:bottom w:val="single" w:sz="4" w:space="0" w:color="auto"/>
              <w:right w:val="nil"/>
            </w:tcBorders>
          </w:tcPr>
          <w:p w:rsidR="00132228" w:rsidRDefault="00351C2E" w:rsidP="00DE340C">
            <w:pPr>
              <w:keepLines/>
              <w:tabs>
                <w:tab w:val="decimal" w:pos="840"/>
              </w:tabs>
              <w:spacing w:before="60" w:after="60"/>
              <w:rPr>
                <w:rFonts w:ascii="Arial" w:hAnsi="Arial" w:cs="Arial"/>
                <w:color w:val="0000FF"/>
                <w:sz w:val="18"/>
                <w:szCs w:val="18"/>
              </w:rPr>
            </w:pPr>
            <w:r>
              <w:rPr>
                <w:rFonts w:ascii="Arial" w:hAnsi="Arial" w:cs="Arial"/>
                <w:color w:val="0000FF"/>
                <w:sz w:val="18"/>
                <w:szCs w:val="18"/>
              </w:rPr>
              <w:t>100,740</w:t>
            </w:r>
          </w:p>
        </w:tc>
        <w:tc>
          <w:tcPr>
            <w:tcW w:w="1491" w:type="dxa"/>
            <w:tcBorders>
              <w:top w:val="single" w:sz="4" w:space="0" w:color="auto"/>
              <w:left w:val="nil"/>
              <w:bottom w:val="single" w:sz="4" w:space="0" w:color="auto"/>
              <w:right w:val="nil"/>
            </w:tcBorders>
          </w:tcPr>
          <w:p w:rsidR="00132228" w:rsidRDefault="00351C2E" w:rsidP="00DE340C">
            <w:pPr>
              <w:keepLines/>
              <w:tabs>
                <w:tab w:val="decimal" w:pos="860"/>
              </w:tabs>
              <w:spacing w:before="60" w:after="60"/>
              <w:rPr>
                <w:rFonts w:ascii="Arial" w:hAnsi="Arial" w:cs="Arial"/>
                <w:color w:val="0000FF"/>
                <w:sz w:val="18"/>
                <w:szCs w:val="18"/>
              </w:rPr>
            </w:pPr>
            <w:r>
              <w:rPr>
                <w:rFonts w:ascii="Arial" w:hAnsi="Arial" w:cs="Arial"/>
                <w:color w:val="0000FF"/>
                <w:sz w:val="18"/>
                <w:szCs w:val="18"/>
              </w:rPr>
              <w:t>122,325</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rPr>
                <w:rFonts w:ascii="Arial" w:hAnsi="Arial" w:cs="Arial"/>
                <w:b/>
                <w:color w:val="0000FF"/>
                <w:sz w:val="18"/>
                <w:szCs w:val="18"/>
              </w:rPr>
            </w:pPr>
            <w:r>
              <w:rPr>
                <w:rFonts w:ascii="Arial" w:hAnsi="Arial" w:cs="Arial"/>
                <w:b/>
                <w:color w:val="0000FF"/>
                <w:sz w:val="18"/>
                <w:szCs w:val="18"/>
              </w:rPr>
              <w:t>OPC Broadband B:</w:t>
            </w:r>
          </w:p>
        </w:tc>
        <w:tc>
          <w:tcPr>
            <w:tcW w:w="1440" w:type="dxa"/>
            <w:tcBorders>
              <w:top w:val="single" w:sz="4" w:space="0" w:color="auto"/>
              <w:left w:val="nil"/>
              <w:bottom w:val="single" w:sz="4" w:space="0" w:color="auto"/>
              <w:right w:val="nil"/>
            </w:tcBorders>
          </w:tcPr>
          <w:p w:rsidR="00132228" w:rsidRDefault="00132228" w:rsidP="00DE340C">
            <w:pPr>
              <w:keepLines/>
              <w:tabs>
                <w:tab w:val="decimal" w:pos="840"/>
              </w:tabs>
              <w:spacing w:before="60" w:after="60"/>
              <w:rPr>
                <w:rFonts w:ascii="Arial" w:hAnsi="Arial" w:cs="Arial"/>
                <w:color w:val="0000FF"/>
                <w:sz w:val="18"/>
                <w:szCs w:val="18"/>
              </w:rPr>
            </w:pPr>
          </w:p>
        </w:tc>
        <w:tc>
          <w:tcPr>
            <w:tcW w:w="1491" w:type="dxa"/>
            <w:tcBorders>
              <w:top w:val="single" w:sz="4" w:space="0" w:color="auto"/>
              <w:left w:val="nil"/>
              <w:bottom w:val="single" w:sz="4" w:space="0" w:color="auto"/>
              <w:right w:val="nil"/>
            </w:tcBorders>
          </w:tcPr>
          <w:p w:rsidR="00132228" w:rsidRDefault="00132228" w:rsidP="00DE340C">
            <w:pPr>
              <w:keepLines/>
              <w:tabs>
                <w:tab w:val="decimal" w:pos="860"/>
              </w:tabs>
              <w:spacing w:before="60" w:after="60"/>
              <w:rPr>
                <w:rFonts w:ascii="Arial" w:hAnsi="Arial" w:cs="Arial"/>
                <w:color w:val="0000FF"/>
                <w:sz w:val="18"/>
                <w:szCs w:val="18"/>
              </w:rPr>
            </w:pP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6</w:t>
            </w:r>
          </w:p>
        </w:tc>
        <w:tc>
          <w:tcPr>
            <w:tcW w:w="1440" w:type="dxa"/>
            <w:tcBorders>
              <w:top w:val="single" w:sz="4" w:space="0" w:color="auto"/>
              <w:left w:val="nil"/>
              <w:bottom w:val="single" w:sz="4" w:space="0" w:color="auto"/>
              <w:right w:val="nil"/>
            </w:tcBorders>
          </w:tcPr>
          <w:p w:rsidR="00132228" w:rsidRDefault="00351C2E" w:rsidP="00351C2E">
            <w:pPr>
              <w:keepLines/>
              <w:tabs>
                <w:tab w:val="decimal" w:pos="840"/>
              </w:tabs>
              <w:spacing w:before="60" w:after="60"/>
              <w:rPr>
                <w:rFonts w:ascii="Arial" w:hAnsi="Arial" w:cs="Arial"/>
                <w:color w:val="0000FF"/>
                <w:sz w:val="18"/>
                <w:szCs w:val="18"/>
              </w:rPr>
            </w:pPr>
            <w:r>
              <w:rPr>
                <w:rFonts w:ascii="Arial" w:hAnsi="Arial" w:cs="Arial"/>
                <w:color w:val="0000FF"/>
                <w:sz w:val="18"/>
                <w:szCs w:val="18"/>
              </w:rPr>
              <w:t>79</w:t>
            </w:r>
            <w:r w:rsidR="005E54C1">
              <w:rPr>
                <w:rFonts w:ascii="Arial" w:hAnsi="Arial" w:cs="Arial"/>
                <w:color w:val="0000FF"/>
                <w:sz w:val="18"/>
                <w:szCs w:val="18"/>
              </w:rPr>
              <w:t>,</w:t>
            </w:r>
            <w:r>
              <w:rPr>
                <w:rFonts w:ascii="Arial" w:hAnsi="Arial" w:cs="Arial"/>
                <w:color w:val="0000FF"/>
                <w:sz w:val="18"/>
                <w:szCs w:val="18"/>
              </w:rPr>
              <w:t>274</w:t>
            </w:r>
          </w:p>
        </w:tc>
        <w:tc>
          <w:tcPr>
            <w:tcW w:w="1491" w:type="dxa"/>
            <w:tcBorders>
              <w:top w:val="single" w:sz="4" w:space="0" w:color="auto"/>
              <w:left w:val="nil"/>
              <w:bottom w:val="single" w:sz="4" w:space="0" w:color="auto"/>
              <w:right w:val="nil"/>
            </w:tcBorders>
          </w:tcPr>
          <w:p w:rsidR="00132228" w:rsidRDefault="00351C2E" w:rsidP="00351C2E">
            <w:pPr>
              <w:keepLines/>
              <w:tabs>
                <w:tab w:val="decimal" w:pos="860"/>
              </w:tabs>
              <w:spacing w:before="60" w:after="60"/>
              <w:rPr>
                <w:rFonts w:ascii="Arial" w:hAnsi="Arial" w:cs="Arial"/>
                <w:color w:val="0000FF"/>
                <w:sz w:val="18"/>
                <w:szCs w:val="18"/>
              </w:rPr>
            </w:pPr>
            <w:r>
              <w:rPr>
                <w:rFonts w:ascii="Arial" w:hAnsi="Arial" w:cs="Arial"/>
                <w:color w:val="0000FF"/>
                <w:sz w:val="18"/>
                <w:szCs w:val="18"/>
              </w:rPr>
              <w:t>91</w:t>
            </w:r>
            <w:r w:rsidR="00E334CF">
              <w:rPr>
                <w:rFonts w:ascii="Arial" w:hAnsi="Arial" w:cs="Arial"/>
                <w:color w:val="0000FF"/>
                <w:sz w:val="18"/>
                <w:szCs w:val="18"/>
              </w:rPr>
              <w:t>,</w:t>
            </w:r>
            <w:r>
              <w:rPr>
                <w:rFonts w:ascii="Arial" w:hAnsi="Arial" w:cs="Arial"/>
                <w:color w:val="0000FF"/>
                <w:sz w:val="18"/>
                <w:szCs w:val="18"/>
              </w:rPr>
              <w:t>063</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5</w:t>
            </w:r>
          </w:p>
        </w:tc>
        <w:tc>
          <w:tcPr>
            <w:tcW w:w="1440" w:type="dxa"/>
            <w:tcBorders>
              <w:top w:val="single" w:sz="4" w:space="0" w:color="auto"/>
              <w:left w:val="nil"/>
              <w:bottom w:val="single" w:sz="4" w:space="0" w:color="auto"/>
              <w:right w:val="nil"/>
            </w:tcBorders>
          </w:tcPr>
          <w:p w:rsidR="00132228" w:rsidRDefault="00351C2E" w:rsidP="00351C2E">
            <w:pPr>
              <w:keepLines/>
              <w:tabs>
                <w:tab w:val="decimal" w:pos="840"/>
              </w:tabs>
              <w:spacing w:before="60" w:after="60"/>
              <w:rPr>
                <w:rFonts w:ascii="Arial" w:hAnsi="Arial" w:cs="Arial"/>
                <w:color w:val="0000FF"/>
                <w:sz w:val="18"/>
                <w:szCs w:val="18"/>
              </w:rPr>
            </w:pPr>
            <w:r>
              <w:rPr>
                <w:rFonts w:ascii="Arial" w:hAnsi="Arial" w:cs="Arial"/>
                <w:color w:val="0000FF"/>
                <w:sz w:val="18"/>
                <w:szCs w:val="18"/>
              </w:rPr>
              <w:t>73</w:t>
            </w:r>
            <w:r w:rsidR="00E334CF">
              <w:rPr>
                <w:rFonts w:ascii="Arial" w:hAnsi="Arial" w:cs="Arial"/>
                <w:color w:val="0000FF"/>
                <w:sz w:val="18"/>
                <w:szCs w:val="18"/>
              </w:rPr>
              <w:t>,</w:t>
            </w:r>
            <w:r>
              <w:rPr>
                <w:rFonts w:ascii="Arial" w:hAnsi="Arial" w:cs="Arial"/>
                <w:color w:val="0000FF"/>
                <w:sz w:val="18"/>
                <w:szCs w:val="18"/>
              </w:rPr>
              <w:t>395</w:t>
            </w:r>
          </w:p>
        </w:tc>
        <w:tc>
          <w:tcPr>
            <w:tcW w:w="1491" w:type="dxa"/>
            <w:tcBorders>
              <w:top w:val="single" w:sz="4" w:space="0" w:color="auto"/>
              <w:left w:val="nil"/>
              <w:bottom w:val="single" w:sz="4" w:space="0" w:color="auto"/>
              <w:right w:val="nil"/>
            </w:tcBorders>
          </w:tcPr>
          <w:p w:rsidR="00132228" w:rsidRDefault="00351C2E" w:rsidP="00351C2E">
            <w:pPr>
              <w:keepLines/>
              <w:tabs>
                <w:tab w:val="decimal" w:pos="860"/>
              </w:tabs>
              <w:spacing w:before="60" w:after="60"/>
              <w:rPr>
                <w:rFonts w:ascii="Arial" w:hAnsi="Arial" w:cs="Arial"/>
                <w:color w:val="0000FF"/>
                <w:sz w:val="18"/>
                <w:szCs w:val="18"/>
              </w:rPr>
            </w:pPr>
            <w:r>
              <w:rPr>
                <w:rFonts w:ascii="Arial" w:hAnsi="Arial" w:cs="Arial"/>
                <w:color w:val="0000FF"/>
                <w:sz w:val="18"/>
                <w:szCs w:val="18"/>
              </w:rPr>
              <w:t>77</w:t>
            </w:r>
            <w:r w:rsidR="00E334CF">
              <w:rPr>
                <w:rFonts w:ascii="Arial" w:hAnsi="Arial" w:cs="Arial"/>
                <w:color w:val="0000FF"/>
                <w:sz w:val="18"/>
                <w:szCs w:val="18"/>
              </w:rPr>
              <w:t>,</w:t>
            </w:r>
            <w:r>
              <w:rPr>
                <w:rFonts w:ascii="Arial" w:hAnsi="Arial" w:cs="Arial"/>
                <w:color w:val="0000FF"/>
                <w:sz w:val="18"/>
                <w:szCs w:val="18"/>
              </w:rPr>
              <w:t>830</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4</w:t>
            </w:r>
          </w:p>
        </w:tc>
        <w:tc>
          <w:tcPr>
            <w:tcW w:w="1440" w:type="dxa"/>
            <w:tcBorders>
              <w:top w:val="single" w:sz="4" w:space="0" w:color="auto"/>
              <w:left w:val="nil"/>
              <w:bottom w:val="single" w:sz="4" w:space="0" w:color="auto"/>
              <w:right w:val="nil"/>
            </w:tcBorders>
          </w:tcPr>
          <w:p w:rsidR="00132228" w:rsidRDefault="00351C2E" w:rsidP="00351C2E">
            <w:pPr>
              <w:keepLines/>
              <w:tabs>
                <w:tab w:val="decimal" w:pos="840"/>
              </w:tabs>
              <w:spacing w:before="60" w:after="60"/>
              <w:rPr>
                <w:rFonts w:ascii="Arial" w:hAnsi="Arial" w:cs="Arial"/>
                <w:color w:val="0000FF"/>
                <w:sz w:val="18"/>
                <w:szCs w:val="18"/>
              </w:rPr>
            </w:pPr>
            <w:r>
              <w:rPr>
                <w:rFonts w:ascii="Arial" w:hAnsi="Arial" w:cs="Arial"/>
                <w:color w:val="0000FF"/>
                <w:sz w:val="18"/>
                <w:szCs w:val="18"/>
              </w:rPr>
              <w:t>65</w:t>
            </w:r>
            <w:r w:rsidR="00E334CF">
              <w:rPr>
                <w:rFonts w:ascii="Arial" w:hAnsi="Arial" w:cs="Arial"/>
                <w:color w:val="0000FF"/>
                <w:sz w:val="18"/>
                <w:szCs w:val="18"/>
              </w:rPr>
              <w:t>,</w:t>
            </w:r>
            <w:r>
              <w:rPr>
                <w:rFonts w:ascii="Arial" w:hAnsi="Arial" w:cs="Arial"/>
                <w:color w:val="0000FF"/>
                <w:sz w:val="18"/>
                <w:szCs w:val="18"/>
              </w:rPr>
              <w:t>804</w:t>
            </w:r>
          </w:p>
        </w:tc>
        <w:tc>
          <w:tcPr>
            <w:tcW w:w="1491" w:type="dxa"/>
            <w:tcBorders>
              <w:top w:val="single" w:sz="4" w:space="0" w:color="auto"/>
              <w:left w:val="nil"/>
              <w:bottom w:val="single" w:sz="4" w:space="0" w:color="auto"/>
              <w:right w:val="nil"/>
            </w:tcBorders>
          </w:tcPr>
          <w:p w:rsidR="00132228" w:rsidRDefault="00351C2E" w:rsidP="00351C2E">
            <w:pPr>
              <w:keepLines/>
              <w:tabs>
                <w:tab w:val="decimal" w:pos="860"/>
              </w:tabs>
              <w:spacing w:before="60" w:after="60"/>
              <w:rPr>
                <w:rFonts w:ascii="Arial" w:hAnsi="Arial" w:cs="Arial"/>
                <w:color w:val="0000FF"/>
                <w:sz w:val="18"/>
                <w:szCs w:val="18"/>
              </w:rPr>
            </w:pPr>
            <w:r>
              <w:rPr>
                <w:rFonts w:ascii="Arial" w:hAnsi="Arial" w:cs="Arial"/>
                <w:color w:val="0000FF"/>
                <w:sz w:val="18"/>
                <w:szCs w:val="18"/>
              </w:rPr>
              <w:t>71</w:t>
            </w:r>
            <w:r w:rsidR="00E334CF">
              <w:rPr>
                <w:rFonts w:ascii="Arial" w:hAnsi="Arial" w:cs="Arial"/>
                <w:color w:val="0000FF"/>
                <w:sz w:val="18"/>
                <w:szCs w:val="18"/>
              </w:rPr>
              <w:t>,</w:t>
            </w:r>
            <w:r>
              <w:rPr>
                <w:rFonts w:ascii="Arial" w:hAnsi="Arial" w:cs="Arial"/>
                <w:color w:val="0000FF"/>
                <w:sz w:val="18"/>
                <w:szCs w:val="18"/>
              </w:rPr>
              <w:t>449</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rPr>
                <w:rFonts w:ascii="Arial" w:hAnsi="Arial" w:cs="Arial"/>
                <w:b/>
                <w:color w:val="0000FF"/>
                <w:sz w:val="18"/>
                <w:szCs w:val="18"/>
              </w:rPr>
            </w:pPr>
            <w:r>
              <w:rPr>
                <w:rFonts w:ascii="Arial" w:hAnsi="Arial" w:cs="Arial"/>
                <w:b/>
                <w:color w:val="0000FF"/>
                <w:sz w:val="18"/>
                <w:szCs w:val="18"/>
              </w:rPr>
              <w:t>OPC Broadband A:</w:t>
            </w:r>
          </w:p>
        </w:tc>
        <w:tc>
          <w:tcPr>
            <w:tcW w:w="1440" w:type="dxa"/>
            <w:tcBorders>
              <w:top w:val="single" w:sz="4" w:space="0" w:color="auto"/>
              <w:left w:val="nil"/>
              <w:bottom w:val="single" w:sz="4" w:space="0" w:color="auto"/>
              <w:right w:val="nil"/>
            </w:tcBorders>
          </w:tcPr>
          <w:p w:rsidR="00132228" w:rsidRDefault="00132228" w:rsidP="00DE340C">
            <w:pPr>
              <w:keepLines/>
              <w:tabs>
                <w:tab w:val="decimal" w:pos="840"/>
              </w:tabs>
              <w:spacing w:before="60" w:after="60"/>
              <w:rPr>
                <w:rFonts w:ascii="Arial" w:hAnsi="Arial" w:cs="Arial"/>
                <w:color w:val="0000FF"/>
                <w:sz w:val="18"/>
                <w:szCs w:val="18"/>
              </w:rPr>
            </w:pPr>
          </w:p>
        </w:tc>
        <w:tc>
          <w:tcPr>
            <w:tcW w:w="1491" w:type="dxa"/>
            <w:tcBorders>
              <w:top w:val="single" w:sz="4" w:space="0" w:color="auto"/>
              <w:left w:val="nil"/>
              <w:bottom w:val="single" w:sz="4" w:space="0" w:color="auto"/>
              <w:right w:val="nil"/>
            </w:tcBorders>
          </w:tcPr>
          <w:p w:rsidR="00132228" w:rsidRDefault="00132228" w:rsidP="00DE340C">
            <w:pPr>
              <w:keepLines/>
              <w:tabs>
                <w:tab w:val="decimal" w:pos="860"/>
              </w:tabs>
              <w:spacing w:before="60" w:after="60"/>
              <w:rPr>
                <w:rFonts w:ascii="Arial" w:hAnsi="Arial" w:cs="Arial"/>
                <w:color w:val="0000FF"/>
                <w:sz w:val="18"/>
                <w:szCs w:val="18"/>
              </w:rPr>
            </w:pP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3</w:t>
            </w:r>
          </w:p>
        </w:tc>
        <w:tc>
          <w:tcPr>
            <w:tcW w:w="1440" w:type="dxa"/>
            <w:tcBorders>
              <w:top w:val="single" w:sz="4" w:space="0" w:color="auto"/>
              <w:left w:val="nil"/>
              <w:bottom w:val="single" w:sz="4" w:space="0" w:color="auto"/>
              <w:right w:val="nil"/>
            </w:tcBorders>
          </w:tcPr>
          <w:p w:rsidR="00132228" w:rsidRDefault="00351C2E" w:rsidP="00351C2E">
            <w:pPr>
              <w:keepLines/>
              <w:tabs>
                <w:tab w:val="decimal" w:pos="840"/>
              </w:tabs>
              <w:spacing w:before="60" w:after="60"/>
              <w:rPr>
                <w:rFonts w:ascii="Arial" w:hAnsi="Arial" w:cs="Arial"/>
                <w:color w:val="0000FF"/>
                <w:sz w:val="18"/>
                <w:szCs w:val="18"/>
              </w:rPr>
            </w:pPr>
            <w:r>
              <w:rPr>
                <w:rFonts w:ascii="Arial" w:hAnsi="Arial" w:cs="Arial"/>
                <w:color w:val="0000FF"/>
                <w:sz w:val="18"/>
                <w:szCs w:val="18"/>
              </w:rPr>
              <w:t>59</w:t>
            </w:r>
            <w:r w:rsidR="00E334CF">
              <w:rPr>
                <w:rFonts w:ascii="Arial" w:hAnsi="Arial" w:cs="Arial"/>
                <w:color w:val="0000FF"/>
                <w:sz w:val="18"/>
                <w:szCs w:val="18"/>
              </w:rPr>
              <w:t>,</w:t>
            </w:r>
            <w:r>
              <w:rPr>
                <w:rFonts w:ascii="Arial" w:hAnsi="Arial" w:cs="Arial"/>
                <w:color w:val="0000FF"/>
                <w:sz w:val="18"/>
                <w:szCs w:val="18"/>
              </w:rPr>
              <w:t>043</w:t>
            </w:r>
          </w:p>
        </w:tc>
        <w:tc>
          <w:tcPr>
            <w:tcW w:w="1491" w:type="dxa"/>
            <w:tcBorders>
              <w:top w:val="single" w:sz="4" w:space="0" w:color="auto"/>
              <w:left w:val="nil"/>
              <w:bottom w:val="single" w:sz="4" w:space="0" w:color="auto"/>
              <w:right w:val="nil"/>
            </w:tcBorders>
          </w:tcPr>
          <w:p w:rsidR="00132228" w:rsidRDefault="00351C2E" w:rsidP="00351C2E">
            <w:pPr>
              <w:keepLines/>
              <w:tabs>
                <w:tab w:val="decimal" w:pos="860"/>
              </w:tabs>
              <w:spacing w:before="60" w:after="60"/>
              <w:rPr>
                <w:rFonts w:ascii="Arial" w:hAnsi="Arial" w:cs="Arial"/>
                <w:color w:val="0000FF"/>
                <w:sz w:val="18"/>
                <w:szCs w:val="18"/>
              </w:rPr>
            </w:pPr>
            <w:r>
              <w:rPr>
                <w:rFonts w:ascii="Arial" w:hAnsi="Arial" w:cs="Arial"/>
                <w:color w:val="0000FF"/>
                <w:sz w:val="18"/>
                <w:szCs w:val="18"/>
              </w:rPr>
              <w:t>63</w:t>
            </w:r>
            <w:r w:rsidR="00E334CF">
              <w:rPr>
                <w:rFonts w:ascii="Arial" w:hAnsi="Arial" w:cs="Arial"/>
                <w:color w:val="0000FF"/>
                <w:sz w:val="18"/>
                <w:szCs w:val="18"/>
              </w:rPr>
              <w:t>,</w:t>
            </w:r>
            <w:r>
              <w:rPr>
                <w:rFonts w:ascii="Arial" w:hAnsi="Arial" w:cs="Arial"/>
                <w:color w:val="0000FF"/>
                <w:sz w:val="18"/>
                <w:szCs w:val="18"/>
              </w:rPr>
              <w:t>726</w:t>
            </w:r>
          </w:p>
        </w:tc>
      </w:tr>
      <w:tr w:rsidR="00132228" w:rsidTr="00DE340C">
        <w:trPr>
          <w:cantSplit/>
        </w:trPr>
        <w:tc>
          <w:tcPr>
            <w:tcW w:w="4440" w:type="dxa"/>
            <w:tcBorders>
              <w:top w:val="single" w:sz="4" w:space="0" w:color="auto"/>
              <w:left w:val="nil"/>
              <w:bottom w:val="single" w:sz="4"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2</w:t>
            </w:r>
          </w:p>
        </w:tc>
        <w:tc>
          <w:tcPr>
            <w:tcW w:w="1440" w:type="dxa"/>
            <w:tcBorders>
              <w:top w:val="single" w:sz="4" w:space="0" w:color="auto"/>
              <w:left w:val="nil"/>
              <w:bottom w:val="single" w:sz="4" w:space="0" w:color="auto"/>
              <w:right w:val="nil"/>
            </w:tcBorders>
          </w:tcPr>
          <w:p w:rsidR="00132228" w:rsidRDefault="00351C2E" w:rsidP="00351C2E">
            <w:pPr>
              <w:keepLines/>
              <w:tabs>
                <w:tab w:val="decimal" w:pos="840"/>
              </w:tabs>
              <w:spacing w:before="60" w:after="60"/>
              <w:rPr>
                <w:rFonts w:ascii="Arial" w:hAnsi="Arial" w:cs="Arial"/>
                <w:color w:val="0000FF"/>
                <w:sz w:val="18"/>
                <w:szCs w:val="18"/>
              </w:rPr>
            </w:pPr>
            <w:r>
              <w:rPr>
                <w:rFonts w:ascii="Arial" w:hAnsi="Arial" w:cs="Arial"/>
                <w:color w:val="0000FF"/>
                <w:sz w:val="18"/>
                <w:szCs w:val="18"/>
              </w:rPr>
              <w:t>51</w:t>
            </w:r>
            <w:r w:rsidR="00E334CF">
              <w:rPr>
                <w:rFonts w:ascii="Arial" w:hAnsi="Arial" w:cs="Arial"/>
                <w:color w:val="0000FF"/>
                <w:sz w:val="18"/>
                <w:szCs w:val="18"/>
              </w:rPr>
              <w:t>,</w:t>
            </w:r>
            <w:r>
              <w:rPr>
                <w:rFonts w:ascii="Arial" w:hAnsi="Arial" w:cs="Arial"/>
                <w:color w:val="0000FF"/>
                <w:sz w:val="18"/>
                <w:szCs w:val="18"/>
              </w:rPr>
              <w:t>836</w:t>
            </w:r>
          </w:p>
        </w:tc>
        <w:tc>
          <w:tcPr>
            <w:tcW w:w="1491" w:type="dxa"/>
            <w:tcBorders>
              <w:top w:val="single" w:sz="4" w:space="0" w:color="auto"/>
              <w:left w:val="nil"/>
              <w:bottom w:val="single" w:sz="4" w:space="0" w:color="auto"/>
              <w:right w:val="nil"/>
            </w:tcBorders>
          </w:tcPr>
          <w:p w:rsidR="00132228" w:rsidRDefault="00351C2E" w:rsidP="00351C2E">
            <w:pPr>
              <w:keepLines/>
              <w:tabs>
                <w:tab w:val="decimal" w:pos="860"/>
              </w:tabs>
              <w:spacing w:before="60" w:after="60"/>
              <w:rPr>
                <w:rFonts w:ascii="Arial" w:hAnsi="Arial" w:cs="Arial"/>
                <w:color w:val="0000FF"/>
                <w:sz w:val="18"/>
                <w:szCs w:val="18"/>
              </w:rPr>
            </w:pPr>
            <w:r>
              <w:rPr>
                <w:rFonts w:ascii="Arial" w:hAnsi="Arial" w:cs="Arial"/>
                <w:color w:val="0000FF"/>
                <w:sz w:val="18"/>
                <w:szCs w:val="18"/>
              </w:rPr>
              <w:t>57</w:t>
            </w:r>
            <w:r w:rsidR="00E334CF">
              <w:rPr>
                <w:rFonts w:ascii="Arial" w:hAnsi="Arial" w:cs="Arial"/>
                <w:color w:val="0000FF"/>
                <w:sz w:val="18"/>
                <w:szCs w:val="18"/>
              </w:rPr>
              <w:t>,</w:t>
            </w:r>
            <w:r>
              <w:rPr>
                <w:rFonts w:ascii="Arial" w:hAnsi="Arial" w:cs="Arial"/>
                <w:color w:val="0000FF"/>
                <w:sz w:val="18"/>
                <w:szCs w:val="18"/>
              </w:rPr>
              <w:t>485</w:t>
            </w:r>
          </w:p>
        </w:tc>
      </w:tr>
      <w:tr w:rsidR="00132228" w:rsidTr="00DE340C">
        <w:trPr>
          <w:cantSplit/>
        </w:trPr>
        <w:tc>
          <w:tcPr>
            <w:tcW w:w="4440" w:type="dxa"/>
            <w:tcBorders>
              <w:top w:val="single" w:sz="4" w:space="0" w:color="auto"/>
              <w:left w:val="nil"/>
              <w:bottom w:val="single" w:sz="12" w:space="0" w:color="auto"/>
              <w:right w:val="nil"/>
            </w:tcBorders>
          </w:tcPr>
          <w:p w:rsidR="00132228" w:rsidRDefault="00132228" w:rsidP="00DE340C">
            <w:pPr>
              <w:keepLines/>
              <w:spacing w:before="60" w:after="60"/>
              <w:ind w:left="372"/>
              <w:rPr>
                <w:rFonts w:ascii="Arial" w:hAnsi="Arial" w:cs="Arial"/>
                <w:color w:val="0000FF"/>
                <w:sz w:val="18"/>
                <w:szCs w:val="18"/>
              </w:rPr>
            </w:pPr>
            <w:r>
              <w:rPr>
                <w:rFonts w:ascii="Arial" w:hAnsi="Arial" w:cs="Arial"/>
                <w:color w:val="0000FF"/>
                <w:sz w:val="18"/>
                <w:szCs w:val="18"/>
              </w:rPr>
              <w:t>APS 1</w:t>
            </w:r>
          </w:p>
        </w:tc>
        <w:tc>
          <w:tcPr>
            <w:tcW w:w="1440" w:type="dxa"/>
            <w:tcBorders>
              <w:top w:val="single" w:sz="4" w:space="0" w:color="auto"/>
              <w:left w:val="nil"/>
              <w:bottom w:val="single" w:sz="12" w:space="0" w:color="auto"/>
              <w:right w:val="nil"/>
            </w:tcBorders>
          </w:tcPr>
          <w:p w:rsidR="00132228" w:rsidRDefault="00351C2E" w:rsidP="00351C2E">
            <w:pPr>
              <w:keepLines/>
              <w:tabs>
                <w:tab w:val="decimal" w:pos="840"/>
              </w:tabs>
              <w:spacing w:before="60" w:after="60"/>
              <w:rPr>
                <w:rFonts w:ascii="Arial" w:hAnsi="Arial" w:cs="Arial"/>
                <w:color w:val="0000FF"/>
                <w:sz w:val="18"/>
                <w:szCs w:val="18"/>
              </w:rPr>
            </w:pPr>
            <w:r>
              <w:rPr>
                <w:rFonts w:ascii="Arial" w:hAnsi="Arial" w:cs="Arial"/>
                <w:color w:val="0000FF"/>
                <w:sz w:val="18"/>
                <w:szCs w:val="18"/>
              </w:rPr>
              <w:t>45</w:t>
            </w:r>
            <w:r w:rsidR="00E334CF">
              <w:rPr>
                <w:rFonts w:ascii="Arial" w:hAnsi="Arial" w:cs="Arial"/>
                <w:color w:val="0000FF"/>
                <w:sz w:val="18"/>
                <w:szCs w:val="18"/>
              </w:rPr>
              <w:t>,</w:t>
            </w:r>
            <w:r>
              <w:rPr>
                <w:rFonts w:ascii="Arial" w:hAnsi="Arial" w:cs="Arial"/>
                <w:color w:val="0000FF"/>
                <w:sz w:val="18"/>
                <w:szCs w:val="18"/>
              </w:rPr>
              <w:t>805</w:t>
            </w:r>
          </w:p>
        </w:tc>
        <w:tc>
          <w:tcPr>
            <w:tcW w:w="1491" w:type="dxa"/>
            <w:tcBorders>
              <w:top w:val="single" w:sz="4" w:space="0" w:color="auto"/>
              <w:left w:val="nil"/>
              <w:bottom w:val="single" w:sz="12" w:space="0" w:color="auto"/>
              <w:right w:val="nil"/>
            </w:tcBorders>
          </w:tcPr>
          <w:p w:rsidR="00132228" w:rsidRDefault="00351C2E" w:rsidP="00351C2E">
            <w:pPr>
              <w:keepLines/>
              <w:tabs>
                <w:tab w:val="decimal" w:pos="860"/>
              </w:tabs>
              <w:spacing w:before="60" w:after="60"/>
              <w:rPr>
                <w:rFonts w:ascii="Arial" w:hAnsi="Arial" w:cs="Arial"/>
                <w:color w:val="0000FF"/>
                <w:sz w:val="18"/>
                <w:szCs w:val="18"/>
              </w:rPr>
            </w:pPr>
            <w:r>
              <w:rPr>
                <w:rFonts w:ascii="Arial" w:hAnsi="Arial" w:cs="Arial"/>
                <w:color w:val="0000FF"/>
                <w:sz w:val="18"/>
                <w:szCs w:val="18"/>
              </w:rPr>
              <w:t>50</w:t>
            </w:r>
            <w:r w:rsidR="00E334CF">
              <w:rPr>
                <w:rFonts w:ascii="Arial" w:hAnsi="Arial" w:cs="Arial"/>
                <w:color w:val="0000FF"/>
                <w:sz w:val="18"/>
                <w:szCs w:val="18"/>
              </w:rPr>
              <w:t>,</w:t>
            </w:r>
            <w:r>
              <w:rPr>
                <w:rFonts w:ascii="Arial" w:hAnsi="Arial" w:cs="Arial"/>
                <w:color w:val="0000FF"/>
                <w:sz w:val="18"/>
                <w:szCs w:val="18"/>
              </w:rPr>
              <w:t>623</w:t>
            </w:r>
          </w:p>
        </w:tc>
      </w:tr>
    </w:tbl>
    <w:p w:rsidR="001F5E11" w:rsidRPr="00AF72D1" w:rsidRDefault="001F5E11" w:rsidP="001F5E11">
      <w:pPr>
        <w:pStyle w:val="Blocks"/>
        <w:ind w:left="600" w:hanging="600"/>
        <w:rPr>
          <w:rFonts w:ascii="Arial" w:hAnsi="Arial" w:cs="Arial"/>
          <w:sz w:val="18"/>
          <w:szCs w:val="18"/>
        </w:rPr>
        <w:sectPr w:rsidR="001F5E11" w:rsidRPr="00AF72D1">
          <w:headerReference w:type="even" r:id="rId99"/>
          <w:headerReference w:type="default" r:id="rId100"/>
          <w:footerReference w:type="even" r:id="rId101"/>
          <w:footerReference w:type="default" r:id="rId102"/>
          <w:pgSz w:w="11907" w:h="16839" w:code="9"/>
          <w:pgMar w:top="1134" w:right="2410" w:bottom="4253" w:left="2410" w:header="510" w:footer="3402" w:gutter="0"/>
          <w:cols w:space="709"/>
          <w:docGrid w:linePitch="326"/>
        </w:sectPr>
      </w:pPr>
    </w:p>
    <w:p w:rsidR="00246266" w:rsidRDefault="00246266" w:rsidP="003D5FCA">
      <w:pPr>
        <w:pStyle w:val="Head2"/>
        <w:spacing w:before="0" w:after="0"/>
        <w:sectPr w:rsidR="00246266">
          <w:headerReference w:type="even" r:id="rId103"/>
          <w:headerReference w:type="default" r:id="rId104"/>
          <w:footerReference w:type="even" r:id="rId105"/>
          <w:footerReference w:type="default" r:id="rId106"/>
          <w:pgSz w:w="11907" w:h="16839" w:code="9"/>
          <w:pgMar w:top="1134" w:right="2410" w:bottom="4253" w:left="2410" w:header="510" w:footer="3402" w:gutter="0"/>
          <w:cols w:space="709"/>
          <w:docGrid w:linePitch="326"/>
        </w:sectPr>
      </w:pPr>
      <w:bookmarkStart w:id="128" w:name="_Toc492656492"/>
      <w:r>
        <w:lastRenderedPageBreak/>
        <w:t xml:space="preserve">Appendix </w:t>
      </w:r>
      <w:r w:rsidR="00AD12AA">
        <w:t>C</w:t>
      </w:r>
      <w:r>
        <w:t xml:space="preserve">—Reporting required by section 516A of the </w:t>
      </w:r>
      <w:r w:rsidRPr="004751FF">
        <w:rPr>
          <w:i/>
        </w:rPr>
        <w:t>Environment Protection and Biodiversity Conservation Act 1999</w:t>
      </w:r>
      <w:bookmarkEnd w:id="128"/>
    </w:p>
    <w:p w:rsidR="00246266" w:rsidRDefault="00246266" w:rsidP="003D5FCA">
      <w:pPr>
        <w:pStyle w:val="Head4"/>
        <w:spacing w:before="120"/>
        <w:rPr>
          <w:i/>
        </w:rPr>
      </w:pPr>
      <w:r>
        <w:rPr>
          <w:i/>
        </w:rPr>
        <w:lastRenderedPageBreak/>
        <w:t xml:space="preserve">How </w:t>
      </w:r>
      <w:proofErr w:type="spellStart"/>
      <w:r>
        <w:rPr>
          <w:i/>
        </w:rPr>
        <w:t>OPC</w:t>
      </w:r>
      <w:r w:rsidR="003C39D9">
        <w:rPr>
          <w:i/>
        </w:rPr>
        <w:t>’</w:t>
      </w:r>
      <w:r>
        <w:rPr>
          <w:i/>
        </w:rPr>
        <w:t>s</w:t>
      </w:r>
      <w:proofErr w:type="spellEnd"/>
      <w:r>
        <w:rPr>
          <w:i/>
        </w:rPr>
        <w:t xml:space="preserve"> activities accorded with principles of ecologically sustainable development</w:t>
      </w:r>
    </w:p>
    <w:p w:rsidR="00703A7F" w:rsidRPr="00703A7F" w:rsidRDefault="00703A7F" w:rsidP="00703A7F">
      <w:pPr>
        <w:numPr>
          <w:ilvl w:val="0"/>
          <w:numId w:val="1"/>
        </w:numPr>
        <w:spacing w:before="240" w:line="300" w:lineRule="exact"/>
        <w:rPr>
          <w:rFonts w:ascii="Arial" w:hAnsi="Arial"/>
          <w:sz w:val="20"/>
        </w:rPr>
      </w:pPr>
      <w:proofErr w:type="spellStart"/>
      <w:r w:rsidRPr="00703A7F">
        <w:rPr>
          <w:rFonts w:ascii="Arial" w:hAnsi="Arial"/>
          <w:sz w:val="20"/>
        </w:rPr>
        <w:t>OPC’s</w:t>
      </w:r>
      <w:proofErr w:type="spellEnd"/>
      <w:r w:rsidRPr="00703A7F">
        <w:rPr>
          <w:rFonts w:ascii="Arial" w:hAnsi="Arial"/>
          <w:sz w:val="20"/>
        </w:rPr>
        <w:t xml:space="preserve"> activities are fully describe</w:t>
      </w:r>
      <w:r w:rsidR="002D48EF">
        <w:rPr>
          <w:rFonts w:ascii="Arial" w:hAnsi="Arial"/>
          <w:sz w:val="20"/>
        </w:rPr>
        <w:t>d in Chapter 1 of this report.</w:t>
      </w:r>
    </w:p>
    <w:p w:rsidR="00246266" w:rsidRDefault="00703A7F" w:rsidP="00A80292">
      <w:pPr>
        <w:pStyle w:val="BodyNum"/>
      </w:pPr>
      <w:r>
        <w:t xml:space="preserve">Given that OPC did not administer any legislation during the year and </w:t>
      </w:r>
      <w:proofErr w:type="spellStart"/>
      <w:r>
        <w:t>OPC’s</w:t>
      </w:r>
      <w:proofErr w:type="spellEnd"/>
      <w:r>
        <w:t xml:space="preserve"> activities were undertaken largely on the instructions of clients, there was little scope for </w:t>
      </w:r>
      <w:proofErr w:type="spellStart"/>
      <w:r>
        <w:t>OPC’s</w:t>
      </w:r>
      <w:proofErr w:type="spellEnd"/>
      <w:r>
        <w:t xml:space="preserve"> activities to give effect to</w:t>
      </w:r>
      <w:r w:rsidR="002D48EF">
        <w:t xml:space="preserve"> the principles of ecologically-</w:t>
      </w:r>
      <w:r>
        <w:t xml:space="preserve">sustainable development listed in section 3A of the </w:t>
      </w:r>
      <w:r w:rsidRPr="007266C0">
        <w:rPr>
          <w:i/>
        </w:rPr>
        <w:t>Environment Protection and Biodiversity Conservation Act 1999</w:t>
      </w:r>
      <w:r>
        <w:t>.</w:t>
      </w:r>
    </w:p>
    <w:p w:rsidR="00246266" w:rsidRDefault="00703A7F" w:rsidP="00A80292">
      <w:pPr>
        <w:pStyle w:val="BodyNum"/>
      </w:pPr>
      <w:r>
        <w:t xml:space="preserve">However, OPC staff took opportunities in their drafting work to draw the attention of instructors to the long-term and short-term ecological implications of legislation embodying their instructions. This accords with the first of the principles listed in that section (“decision-making processes should effectively integrate both long-term and short-term economic, </w:t>
      </w:r>
      <w:r>
        <w:lastRenderedPageBreak/>
        <w:t>environmental, social and equitable considerations”).</w:t>
      </w:r>
    </w:p>
    <w:p w:rsidR="00246266" w:rsidRDefault="00246266" w:rsidP="003D5FCA">
      <w:pPr>
        <w:pStyle w:val="Head4"/>
        <w:spacing w:before="120"/>
        <w:rPr>
          <w:i/>
        </w:rPr>
      </w:pPr>
      <w:r>
        <w:rPr>
          <w:i/>
        </w:rPr>
        <w:t>Appropriations Act outcome contributing to ecologically sustainable development</w:t>
      </w:r>
    </w:p>
    <w:p w:rsidR="00246266" w:rsidRDefault="00246266" w:rsidP="00A80292">
      <w:pPr>
        <w:pStyle w:val="BodyNum"/>
      </w:pPr>
      <w:r>
        <w:t xml:space="preserve">OPC has only one Appropriations Act outcome: </w:t>
      </w:r>
      <w:r w:rsidR="00703A7F">
        <w:t>“</w:t>
      </w:r>
      <w:r w:rsidR="00703A7F" w:rsidRPr="00703A7F">
        <w:t>A body of Commonwealth laws and instruments that give effect to intended policy, and that are coherent, readable and readily accessible, through the drafting and publication of those laws and instruments</w:t>
      </w:r>
      <w:r w:rsidR="00703A7F">
        <w:t>”.</w:t>
      </w:r>
      <w:r>
        <w:t xml:space="preserve"> It is difficult to conclude that this outcome makes any identifiable contribution to ecologically sustainable development.</w:t>
      </w:r>
    </w:p>
    <w:p w:rsidR="00246266" w:rsidRPr="00703A7F" w:rsidRDefault="00246266" w:rsidP="003D5FCA">
      <w:pPr>
        <w:pStyle w:val="Head4"/>
        <w:spacing w:before="120"/>
        <w:rPr>
          <w:i/>
        </w:rPr>
      </w:pPr>
      <w:r>
        <w:rPr>
          <w:i/>
        </w:rPr>
        <w:t xml:space="preserve">Effect of </w:t>
      </w:r>
      <w:proofErr w:type="spellStart"/>
      <w:r>
        <w:rPr>
          <w:i/>
        </w:rPr>
        <w:t>OPC</w:t>
      </w:r>
      <w:r w:rsidR="003C39D9">
        <w:rPr>
          <w:i/>
        </w:rPr>
        <w:t>’</w:t>
      </w:r>
      <w:r>
        <w:rPr>
          <w:i/>
        </w:rPr>
        <w:t>s</w:t>
      </w:r>
      <w:proofErr w:type="spellEnd"/>
      <w:r>
        <w:rPr>
          <w:i/>
        </w:rPr>
        <w:t xml:space="preserve"> activities on the environment</w:t>
      </w:r>
    </w:p>
    <w:p w:rsidR="00AD12AA" w:rsidRPr="00CB5B68" w:rsidRDefault="00703A7F" w:rsidP="00A80292">
      <w:pPr>
        <w:pStyle w:val="BodyNum"/>
      </w:pPr>
      <w:proofErr w:type="spellStart"/>
      <w:r w:rsidRPr="00CB5B68">
        <w:t>OPC</w:t>
      </w:r>
      <w:r>
        <w:t>’s</w:t>
      </w:r>
      <w:proofErr w:type="spellEnd"/>
      <w:r>
        <w:t xml:space="preserve"> operations </w:t>
      </w:r>
      <w:r w:rsidRPr="00CB5B68">
        <w:t xml:space="preserve">have direct and indirect effects on the environment, particularly through the use of energy, transport, office equipment and materials in office equipment. The following table, which relates to some of those </w:t>
      </w:r>
      <w:r w:rsidR="004D7BCC">
        <w:t>commodities</w:t>
      </w:r>
      <w:r w:rsidRPr="00CB5B68">
        <w:t xml:space="preserve"> in the year, gives an indication of those effects and a comparison with the 201</w:t>
      </w:r>
      <w:r w:rsidR="004F680E">
        <w:t>5</w:t>
      </w:r>
      <w:r w:rsidRPr="00CB5B68">
        <w:t>-201</w:t>
      </w:r>
      <w:r w:rsidR="004F680E">
        <w:t>6</w:t>
      </w:r>
      <w:r w:rsidRPr="00CB5B68">
        <w:t xml:space="preserve"> year.</w:t>
      </w:r>
    </w:p>
    <w:p w:rsidR="00246266" w:rsidRDefault="00246266" w:rsidP="00246266">
      <w:pPr>
        <w:sectPr w:rsidR="00246266">
          <w:type w:val="continuous"/>
          <w:pgSz w:w="11907" w:h="16839" w:code="9"/>
          <w:pgMar w:top="1134" w:right="2410" w:bottom="4253" w:left="2410" w:header="510" w:footer="3402" w:gutter="0"/>
          <w:cols w:num="2" w:space="709"/>
          <w:docGrid w:linePitch="326"/>
        </w:sectPr>
      </w:pPr>
    </w:p>
    <w:p w:rsidR="007C2411" w:rsidRDefault="007C2411" w:rsidP="00B32762"/>
    <w:tbl>
      <w:tblPr>
        <w:tblW w:w="7080" w:type="dxa"/>
        <w:tblInd w:w="108" w:type="dxa"/>
        <w:tblLayout w:type="fixed"/>
        <w:tblLook w:val="0000" w:firstRow="0" w:lastRow="0" w:firstColumn="0" w:lastColumn="0" w:noHBand="0" w:noVBand="0"/>
      </w:tblPr>
      <w:tblGrid>
        <w:gridCol w:w="1372"/>
        <w:gridCol w:w="1190"/>
        <w:gridCol w:w="1204"/>
        <w:gridCol w:w="3314"/>
      </w:tblGrid>
      <w:tr w:rsidR="004F680E" w:rsidTr="00E66693">
        <w:trPr>
          <w:tblHeader/>
        </w:trPr>
        <w:tc>
          <w:tcPr>
            <w:tcW w:w="1372" w:type="dxa"/>
            <w:tcBorders>
              <w:top w:val="single" w:sz="12" w:space="0" w:color="auto"/>
              <w:bottom w:val="single" w:sz="12" w:space="0" w:color="auto"/>
            </w:tcBorders>
            <w:shd w:val="clear" w:color="auto" w:fill="auto"/>
          </w:tcPr>
          <w:p w:rsidR="004F680E" w:rsidRDefault="004F680E" w:rsidP="00E66693">
            <w:pPr>
              <w:pStyle w:val="Tabletexthead"/>
            </w:pPr>
          </w:p>
        </w:tc>
        <w:tc>
          <w:tcPr>
            <w:tcW w:w="1190" w:type="dxa"/>
            <w:tcBorders>
              <w:top w:val="single" w:sz="12" w:space="0" w:color="auto"/>
              <w:bottom w:val="single" w:sz="12" w:space="0" w:color="auto"/>
            </w:tcBorders>
            <w:shd w:val="clear" w:color="auto" w:fill="auto"/>
          </w:tcPr>
          <w:p w:rsidR="004F680E" w:rsidRDefault="004F680E" w:rsidP="00E66693">
            <w:pPr>
              <w:pStyle w:val="Tabletexthead"/>
            </w:pPr>
            <w:r w:rsidRPr="00CB5B68">
              <w:rPr>
                <w:rFonts w:cs="Arial"/>
              </w:rPr>
              <w:t>201</w:t>
            </w:r>
            <w:r>
              <w:rPr>
                <w:rFonts w:cs="Arial"/>
              </w:rPr>
              <w:t>6</w:t>
            </w:r>
            <w:r w:rsidRPr="00CB5B68">
              <w:rPr>
                <w:rFonts w:cs="Arial"/>
              </w:rPr>
              <w:noBreakHyphen/>
              <w:t>201</w:t>
            </w:r>
            <w:r>
              <w:rPr>
                <w:rFonts w:cs="Arial"/>
              </w:rPr>
              <w:t>7</w:t>
            </w:r>
          </w:p>
        </w:tc>
        <w:tc>
          <w:tcPr>
            <w:tcW w:w="1204" w:type="dxa"/>
            <w:tcBorders>
              <w:top w:val="single" w:sz="12" w:space="0" w:color="auto"/>
              <w:bottom w:val="single" w:sz="12" w:space="0" w:color="auto"/>
            </w:tcBorders>
            <w:shd w:val="clear" w:color="auto" w:fill="auto"/>
          </w:tcPr>
          <w:p w:rsidR="004F680E" w:rsidRDefault="004F680E" w:rsidP="00E66693">
            <w:pPr>
              <w:pStyle w:val="Tabletexthead"/>
            </w:pPr>
            <w:r w:rsidRPr="00CB5B68">
              <w:rPr>
                <w:rFonts w:cs="Arial"/>
              </w:rPr>
              <w:t>201</w:t>
            </w:r>
            <w:r>
              <w:rPr>
                <w:rFonts w:cs="Arial"/>
              </w:rPr>
              <w:t>5</w:t>
            </w:r>
            <w:r w:rsidRPr="00CB5B68">
              <w:rPr>
                <w:rFonts w:cs="Arial"/>
              </w:rPr>
              <w:noBreakHyphen/>
              <w:t>201</w:t>
            </w:r>
            <w:r>
              <w:rPr>
                <w:rFonts w:cs="Arial"/>
              </w:rPr>
              <w:t>6</w:t>
            </w:r>
          </w:p>
        </w:tc>
        <w:tc>
          <w:tcPr>
            <w:tcW w:w="3314" w:type="dxa"/>
            <w:tcBorders>
              <w:top w:val="single" w:sz="12" w:space="0" w:color="auto"/>
              <w:bottom w:val="single" w:sz="12" w:space="0" w:color="auto"/>
            </w:tcBorders>
            <w:shd w:val="clear" w:color="auto" w:fill="auto"/>
          </w:tcPr>
          <w:p w:rsidR="004F680E" w:rsidRDefault="004F680E" w:rsidP="00E66693">
            <w:pPr>
              <w:pStyle w:val="Tabletexthead"/>
            </w:pPr>
            <w:r>
              <w:t>Comments</w:t>
            </w:r>
          </w:p>
        </w:tc>
      </w:tr>
      <w:tr w:rsidR="004F680E" w:rsidTr="00E66693">
        <w:tc>
          <w:tcPr>
            <w:tcW w:w="7080" w:type="dxa"/>
            <w:gridSpan w:val="4"/>
            <w:tcBorders>
              <w:top w:val="single" w:sz="12" w:space="0" w:color="auto"/>
            </w:tcBorders>
            <w:shd w:val="clear" w:color="auto" w:fill="auto"/>
          </w:tcPr>
          <w:p w:rsidR="004F680E" w:rsidRPr="005755FB" w:rsidRDefault="004F680E" w:rsidP="00E66693">
            <w:pPr>
              <w:pStyle w:val="BodyNum"/>
              <w:numPr>
                <w:ilvl w:val="0"/>
                <w:numId w:val="0"/>
              </w:numPr>
              <w:rPr>
                <w:sz w:val="22"/>
                <w:szCs w:val="22"/>
              </w:rPr>
            </w:pPr>
            <w:r w:rsidRPr="005755FB">
              <w:rPr>
                <w:b/>
                <w:sz w:val="22"/>
                <w:szCs w:val="22"/>
              </w:rPr>
              <w:t>Building Performance</w:t>
            </w:r>
          </w:p>
        </w:tc>
      </w:tr>
      <w:tr w:rsidR="004F680E" w:rsidTr="00E66693">
        <w:tc>
          <w:tcPr>
            <w:tcW w:w="1372" w:type="dxa"/>
            <w:tcBorders>
              <w:bottom w:val="single" w:sz="12" w:space="0" w:color="auto"/>
            </w:tcBorders>
            <w:shd w:val="clear" w:color="auto" w:fill="auto"/>
          </w:tcPr>
          <w:p w:rsidR="004F680E" w:rsidRPr="00FD5CAA" w:rsidRDefault="004F680E" w:rsidP="00E66693">
            <w:pPr>
              <w:pStyle w:val="BodyNum"/>
              <w:numPr>
                <w:ilvl w:val="0"/>
                <w:numId w:val="0"/>
              </w:numPr>
            </w:pPr>
            <w:proofErr w:type="spellStart"/>
            <w:r w:rsidRPr="00FD5CAA">
              <w:t>NABERS</w:t>
            </w:r>
            <w:proofErr w:type="spellEnd"/>
            <w:r w:rsidRPr="00FD5CAA">
              <w:t xml:space="preserve"> Rating</w:t>
            </w:r>
          </w:p>
        </w:tc>
        <w:tc>
          <w:tcPr>
            <w:tcW w:w="1190" w:type="dxa"/>
            <w:tcBorders>
              <w:bottom w:val="single" w:sz="12" w:space="0" w:color="auto"/>
            </w:tcBorders>
            <w:shd w:val="clear" w:color="auto" w:fill="auto"/>
          </w:tcPr>
          <w:p w:rsidR="004F680E" w:rsidRDefault="004F680E" w:rsidP="00E66693">
            <w:pPr>
              <w:pStyle w:val="BodyNum"/>
              <w:numPr>
                <w:ilvl w:val="0"/>
                <w:numId w:val="0"/>
              </w:numPr>
            </w:pPr>
            <w:r>
              <w:t>4.5</w:t>
            </w:r>
          </w:p>
        </w:tc>
        <w:tc>
          <w:tcPr>
            <w:tcW w:w="1204" w:type="dxa"/>
            <w:tcBorders>
              <w:bottom w:val="single" w:sz="12" w:space="0" w:color="auto"/>
            </w:tcBorders>
            <w:shd w:val="clear" w:color="auto" w:fill="auto"/>
          </w:tcPr>
          <w:p w:rsidR="004F680E" w:rsidRDefault="004F680E" w:rsidP="00E66693">
            <w:pPr>
              <w:pStyle w:val="BodyNum"/>
              <w:numPr>
                <w:ilvl w:val="0"/>
                <w:numId w:val="0"/>
              </w:numPr>
            </w:pPr>
            <w:r>
              <w:t>n/a</w:t>
            </w:r>
          </w:p>
        </w:tc>
        <w:tc>
          <w:tcPr>
            <w:tcW w:w="3314" w:type="dxa"/>
            <w:tcBorders>
              <w:bottom w:val="single" w:sz="12" w:space="0" w:color="auto"/>
            </w:tcBorders>
            <w:shd w:val="clear" w:color="auto" w:fill="auto"/>
          </w:tcPr>
          <w:p w:rsidR="004F680E" w:rsidRDefault="004F680E" w:rsidP="00E66693">
            <w:pPr>
              <w:pStyle w:val="BodyNum"/>
              <w:numPr>
                <w:ilvl w:val="0"/>
                <w:numId w:val="0"/>
              </w:numPr>
            </w:pPr>
            <w:r>
              <w:t xml:space="preserve">Formal </w:t>
            </w:r>
            <w:proofErr w:type="spellStart"/>
            <w:r>
              <w:t>NABERS</w:t>
            </w:r>
            <w:proofErr w:type="spellEnd"/>
            <w:r>
              <w:t xml:space="preserve"> rating for 28 Sydney Avenue, Forrest not obtained until July 2016.</w:t>
            </w:r>
          </w:p>
        </w:tc>
      </w:tr>
      <w:tr w:rsidR="004F680E" w:rsidTr="00E66693">
        <w:tc>
          <w:tcPr>
            <w:tcW w:w="3766" w:type="dxa"/>
            <w:gridSpan w:val="3"/>
            <w:tcBorders>
              <w:top w:val="single" w:sz="2" w:space="0" w:color="auto"/>
              <w:bottom w:val="single" w:sz="2" w:space="0" w:color="auto"/>
            </w:tcBorders>
            <w:shd w:val="clear" w:color="auto" w:fill="auto"/>
          </w:tcPr>
          <w:p w:rsidR="004F680E" w:rsidRPr="005755FB" w:rsidRDefault="004F680E" w:rsidP="00E66693">
            <w:pPr>
              <w:pStyle w:val="BodyNum"/>
              <w:numPr>
                <w:ilvl w:val="0"/>
                <w:numId w:val="0"/>
              </w:numPr>
              <w:rPr>
                <w:sz w:val="22"/>
                <w:szCs w:val="22"/>
              </w:rPr>
            </w:pPr>
            <w:r w:rsidRPr="005755FB">
              <w:rPr>
                <w:b/>
                <w:sz w:val="22"/>
                <w:szCs w:val="22"/>
              </w:rPr>
              <w:t>OPC Tenancy Performance</w:t>
            </w:r>
          </w:p>
        </w:tc>
        <w:tc>
          <w:tcPr>
            <w:tcW w:w="3314" w:type="dxa"/>
            <w:tcBorders>
              <w:top w:val="single" w:sz="2" w:space="0" w:color="auto"/>
              <w:bottom w:val="single" w:sz="2" w:space="0" w:color="auto"/>
            </w:tcBorders>
            <w:shd w:val="clear" w:color="auto" w:fill="auto"/>
          </w:tcPr>
          <w:p w:rsidR="004F680E" w:rsidRDefault="004F680E" w:rsidP="00FD232C">
            <w:pPr>
              <w:pStyle w:val="BodyNum"/>
              <w:numPr>
                <w:ilvl w:val="0"/>
                <w:numId w:val="0"/>
              </w:numPr>
            </w:pPr>
            <w:r>
              <w:t>OPC occupies a single floor of 2,770 m</w:t>
            </w:r>
            <w:r w:rsidRPr="00D5427D">
              <w:rPr>
                <w:vertAlign w:val="superscript"/>
              </w:rPr>
              <w:t>2</w:t>
            </w:r>
            <w:r>
              <w:t xml:space="preserve"> with a lease </w:t>
            </w:r>
            <w:r w:rsidR="005755FB">
              <w:t>term until September</w:t>
            </w:r>
            <w:r>
              <w:t xml:space="preserve"> 2025. The lease includes a Green Lease Schedule as required by </w:t>
            </w:r>
            <w:r w:rsidR="005755FB">
              <w:t>g</w:t>
            </w:r>
            <w:r>
              <w:t xml:space="preserve">overnment policy. Although not certified, </w:t>
            </w:r>
            <w:proofErr w:type="spellStart"/>
            <w:r>
              <w:t>OPC’s</w:t>
            </w:r>
            <w:proofErr w:type="spellEnd"/>
            <w:r>
              <w:t xml:space="preserve"> tenancy is currently performing at a standard in excess of the requirements for a 4.5 </w:t>
            </w:r>
            <w:proofErr w:type="spellStart"/>
            <w:r>
              <w:t>NABERS</w:t>
            </w:r>
            <w:proofErr w:type="spellEnd"/>
            <w:r>
              <w:t xml:space="preserve"> rating.</w:t>
            </w:r>
          </w:p>
        </w:tc>
      </w:tr>
      <w:tr w:rsidR="004F680E" w:rsidTr="00E66693">
        <w:tc>
          <w:tcPr>
            <w:tcW w:w="7080" w:type="dxa"/>
            <w:gridSpan w:val="4"/>
            <w:tcBorders>
              <w:top w:val="single" w:sz="2" w:space="0" w:color="auto"/>
            </w:tcBorders>
            <w:shd w:val="clear" w:color="auto" w:fill="auto"/>
          </w:tcPr>
          <w:p w:rsidR="004F680E" w:rsidRPr="005755FB" w:rsidRDefault="004F680E" w:rsidP="00E66693">
            <w:pPr>
              <w:pStyle w:val="BodyNum"/>
              <w:numPr>
                <w:ilvl w:val="0"/>
                <w:numId w:val="0"/>
              </w:numPr>
              <w:rPr>
                <w:b/>
              </w:rPr>
            </w:pPr>
            <w:r w:rsidRPr="005755FB">
              <w:rPr>
                <w:b/>
              </w:rPr>
              <w:t>Gas consumption</w:t>
            </w:r>
          </w:p>
        </w:tc>
      </w:tr>
      <w:tr w:rsidR="004F680E" w:rsidTr="00E66693">
        <w:tc>
          <w:tcPr>
            <w:tcW w:w="1372" w:type="dxa"/>
            <w:tcBorders>
              <w:bottom w:val="single" w:sz="2" w:space="0" w:color="auto"/>
            </w:tcBorders>
            <w:shd w:val="clear" w:color="auto" w:fill="auto"/>
          </w:tcPr>
          <w:p w:rsidR="004F680E" w:rsidRPr="00743716" w:rsidRDefault="004F680E" w:rsidP="00E66693">
            <w:pPr>
              <w:pStyle w:val="BodyNum"/>
              <w:numPr>
                <w:ilvl w:val="0"/>
                <w:numId w:val="0"/>
              </w:numPr>
            </w:pPr>
            <w:proofErr w:type="spellStart"/>
            <w:r w:rsidRPr="00743716">
              <w:t>mJ</w:t>
            </w:r>
            <w:proofErr w:type="spellEnd"/>
          </w:p>
        </w:tc>
        <w:tc>
          <w:tcPr>
            <w:tcW w:w="1190" w:type="dxa"/>
            <w:tcBorders>
              <w:bottom w:val="single" w:sz="2" w:space="0" w:color="auto"/>
            </w:tcBorders>
            <w:shd w:val="clear" w:color="auto" w:fill="auto"/>
          </w:tcPr>
          <w:p w:rsidR="004F680E" w:rsidRDefault="004F680E" w:rsidP="00E66693">
            <w:pPr>
              <w:pStyle w:val="BodyNum"/>
              <w:numPr>
                <w:ilvl w:val="0"/>
                <w:numId w:val="0"/>
              </w:numPr>
            </w:pPr>
            <w:r>
              <w:t>0.0</w:t>
            </w:r>
          </w:p>
        </w:tc>
        <w:tc>
          <w:tcPr>
            <w:tcW w:w="1204" w:type="dxa"/>
            <w:tcBorders>
              <w:bottom w:val="single" w:sz="2" w:space="0" w:color="auto"/>
            </w:tcBorders>
            <w:shd w:val="clear" w:color="auto" w:fill="auto"/>
          </w:tcPr>
          <w:p w:rsidR="004F680E" w:rsidRDefault="004F680E" w:rsidP="00E66693">
            <w:pPr>
              <w:pStyle w:val="BodyNum"/>
              <w:numPr>
                <w:ilvl w:val="0"/>
                <w:numId w:val="0"/>
              </w:numPr>
            </w:pPr>
            <w:r>
              <w:t>2,854</w:t>
            </w:r>
          </w:p>
        </w:tc>
        <w:tc>
          <w:tcPr>
            <w:tcW w:w="3314" w:type="dxa"/>
            <w:tcBorders>
              <w:bottom w:val="single" w:sz="2" w:space="0" w:color="auto"/>
            </w:tcBorders>
            <w:shd w:val="clear" w:color="auto" w:fill="auto"/>
          </w:tcPr>
          <w:p w:rsidR="004F680E" w:rsidRDefault="005755FB" w:rsidP="005755FB">
            <w:pPr>
              <w:pStyle w:val="BodyNum"/>
              <w:numPr>
                <w:ilvl w:val="0"/>
                <w:numId w:val="0"/>
              </w:numPr>
            </w:pPr>
            <w:r>
              <w:t>This is</w:t>
            </w:r>
            <w:r w:rsidR="004F680E">
              <w:t xml:space="preserve"> gas </w:t>
            </w:r>
            <w:r>
              <w:t>consumption</w:t>
            </w:r>
            <w:r w:rsidR="004F680E">
              <w:t xml:space="preserve"> for one of </w:t>
            </w:r>
            <w:proofErr w:type="spellStart"/>
            <w:r w:rsidR="004F680E">
              <w:t>OPC’s</w:t>
            </w:r>
            <w:proofErr w:type="spellEnd"/>
            <w:r w:rsidR="004F680E">
              <w:t xml:space="preserve"> previous tenancies, which was vacated in September 2015.</w:t>
            </w:r>
          </w:p>
        </w:tc>
      </w:tr>
      <w:tr w:rsidR="004F680E" w:rsidTr="00E66693">
        <w:tc>
          <w:tcPr>
            <w:tcW w:w="7080" w:type="dxa"/>
            <w:gridSpan w:val="4"/>
            <w:tcBorders>
              <w:top w:val="single" w:sz="2" w:space="0" w:color="auto"/>
            </w:tcBorders>
            <w:shd w:val="clear" w:color="auto" w:fill="auto"/>
          </w:tcPr>
          <w:p w:rsidR="004F680E" w:rsidRPr="005755FB" w:rsidRDefault="005755FB" w:rsidP="00E66693">
            <w:pPr>
              <w:pStyle w:val="BodyNum"/>
              <w:numPr>
                <w:ilvl w:val="0"/>
                <w:numId w:val="0"/>
              </w:numPr>
              <w:rPr>
                <w:b/>
              </w:rPr>
            </w:pPr>
            <w:r>
              <w:rPr>
                <w:b/>
              </w:rPr>
              <w:t>Tenant Light and Power</w:t>
            </w:r>
          </w:p>
        </w:tc>
      </w:tr>
      <w:tr w:rsidR="004F680E" w:rsidTr="00E66693">
        <w:tc>
          <w:tcPr>
            <w:tcW w:w="1372" w:type="dxa"/>
            <w:shd w:val="clear" w:color="auto" w:fill="auto"/>
          </w:tcPr>
          <w:p w:rsidR="004F680E" w:rsidRDefault="004F680E" w:rsidP="00E66693">
            <w:pPr>
              <w:pStyle w:val="BodyNum"/>
              <w:numPr>
                <w:ilvl w:val="0"/>
                <w:numId w:val="0"/>
              </w:numPr>
            </w:pPr>
            <w:r>
              <w:t>Total kWh</w:t>
            </w:r>
          </w:p>
        </w:tc>
        <w:tc>
          <w:tcPr>
            <w:tcW w:w="1190" w:type="dxa"/>
            <w:shd w:val="clear" w:color="auto" w:fill="auto"/>
          </w:tcPr>
          <w:p w:rsidR="004F680E" w:rsidRDefault="004F680E" w:rsidP="00E66693">
            <w:pPr>
              <w:pStyle w:val="BodyNum"/>
              <w:numPr>
                <w:ilvl w:val="0"/>
                <w:numId w:val="0"/>
              </w:numPr>
            </w:pPr>
            <w:r>
              <w:t>139,219</w:t>
            </w:r>
          </w:p>
        </w:tc>
        <w:tc>
          <w:tcPr>
            <w:tcW w:w="1204" w:type="dxa"/>
            <w:shd w:val="clear" w:color="auto" w:fill="auto"/>
          </w:tcPr>
          <w:p w:rsidR="004F680E" w:rsidRDefault="004F680E" w:rsidP="00E66693">
            <w:pPr>
              <w:pStyle w:val="BodyNum"/>
              <w:numPr>
                <w:ilvl w:val="0"/>
                <w:numId w:val="0"/>
              </w:numPr>
            </w:pPr>
            <w:r>
              <w:t>198,573</w:t>
            </w:r>
          </w:p>
        </w:tc>
        <w:tc>
          <w:tcPr>
            <w:tcW w:w="3314" w:type="dxa"/>
            <w:vMerge w:val="restart"/>
            <w:shd w:val="clear" w:color="auto" w:fill="auto"/>
          </w:tcPr>
          <w:p w:rsidR="004F680E" w:rsidRDefault="004F680E" w:rsidP="00EE1FF7">
            <w:pPr>
              <w:pStyle w:val="BodyNum"/>
              <w:numPr>
                <w:ilvl w:val="0"/>
                <w:numId w:val="0"/>
              </w:numPr>
            </w:pPr>
            <w:r>
              <w:t>2015</w:t>
            </w:r>
            <w:r w:rsidR="005755FB">
              <w:t>-20</w:t>
            </w:r>
            <w:r>
              <w:t>16 consumption includes overlap of leases</w:t>
            </w:r>
            <w:r w:rsidR="00EE1FF7">
              <w:t xml:space="preserve"> due to </w:t>
            </w:r>
            <w:proofErr w:type="spellStart"/>
            <w:r w:rsidR="00EE1FF7">
              <w:t>OPC’s</w:t>
            </w:r>
            <w:proofErr w:type="spellEnd"/>
            <w:r w:rsidR="00EE1FF7">
              <w:t xml:space="preserve"> relocation</w:t>
            </w:r>
            <w:r>
              <w:t xml:space="preserve"> from 2 premises to </w:t>
            </w:r>
            <w:r w:rsidR="00EE1FF7">
              <w:t xml:space="preserve">the </w:t>
            </w:r>
            <w:r>
              <w:t>new premises at 28 Sydney Avenue, Forrest</w:t>
            </w:r>
            <w:r w:rsidR="00EE1FF7">
              <w:t xml:space="preserve"> on 10</w:t>
            </w:r>
            <w:r>
              <w:t xml:space="preserve"> August 2015.</w:t>
            </w:r>
          </w:p>
        </w:tc>
      </w:tr>
      <w:tr w:rsidR="004F680E" w:rsidTr="00E66693">
        <w:tc>
          <w:tcPr>
            <w:tcW w:w="1372" w:type="dxa"/>
            <w:shd w:val="clear" w:color="auto" w:fill="auto"/>
          </w:tcPr>
          <w:p w:rsidR="004F680E" w:rsidRDefault="004F680E" w:rsidP="00E66693">
            <w:pPr>
              <w:pStyle w:val="BodyNum"/>
              <w:numPr>
                <w:ilvl w:val="0"/>
                <w:numId w:val="0"/>
              </w:numPr>
            </w:pPr>
            <w:r>
              <w:t>Green Power k</w:t>
            </w:r>
            <w:r w:rsidRPr="007A072D">
              <w:t>Wh</w:t>
            </w:r>
          </w:p>
        </w:tc>
        <w:tc>
          <w:tcPr>
            <w:tcW w:w="1190" w:type="dxa"/>
            <w:shd w:val="clear" w:color="auto" w:fill="auto"/>
          </w:tcPr>
          <w:p w:rsidR="004F680E" w:rsidRDefault="004F680E" w:rsidP="00E66693">
            <w:pPr>
              <w:pStyle w:val="BodyNum"/>
              <w:numPr>
                <w:ilvl w:val="0"/>
                <w:numId w:val="0"/>
              </w:numPr>
            </w:pPr>
            <w:r>
              <w:t>13,922</w:t>
            </w:r>
          </w:p>
        </w:tc>
        <w:tc>
          <w:tcPr>
            <w:tcW w:w="1204" w:type="dxa"/>
            <w:shd w:val="clear" w:color="auto" w:fill="auto"/>
          </w:tcPr>
          <w:p w:rsidR="004F680E" w:rsidRDefault="004F680E" w:rsidP="00E66693">
            <w:pPr>
              <w:pStyle w:val="BodyNum"/>
              <w:numPr>
                <w:ilvl w:val="0"/>
                <w:numId w:val="0"/>
              </w:numPr>
            </w:pPr>
            <w:r>
              <w:t>17,620</w:t>
            </w:r>
          </w:p>
        </w:tc>
        <w:tc>
          <w:tcPr>
            <w:tcW w:w="3314" w:type="dxa"/>
            <w:vMerge/>
            <w:shd w:val="clear" w:color="auto" w:fill="auto"/>
          </w:tcPr>
          <w:p w:rsidR="004F680E" w:rsidRDefault="004F680E" w:rsidP="00E66693">
            <w:pPr>
              <w:pStyle w:val="BodyNum"/>
            </w:pPr>
          </w:p>
        </w:tc>
      </w:tr>
      <w:tr w:rsidR="004F680E" w:rsidTr="00E66693">
        <w:tc>
          <w:tcPr>
            <w:tcW w:w="1372" w:type="dxa"/>
            <w:tcBorders>
              <w:bottom w:val="single" w:sz="2" w:space="0" w:color="auto"/>
            </w:tcBorders>
            <w:shd w:val="clear" w:color="auto" w:fill="auto"/>
          </w:tcPr>
          <w:p w:rsidR="004F680E" w:rsidRDefault="004F680E" w:rsidP="00E66693">
            <w:pPr>
              <w:pStyle w:val="BodyNum"/>
              <w:numPr>
                <w:ilvl w:val="0"/>
                <w:numId w:val="0"/>
              </w:numPr>
              <w:spacing w:line="240" w:lineRule="auto"/>
            </w:pPr>
            <w:r>
              <w:t xml:space="preserve">Total </w:t>
            </w:r>
            <w:proofErr w:type="spellStart"/>
            <w:r>
              <w:t>mJ</w:t>
            </w:r>
            <w:proofErr w:type="spellEnd"/>
          </w:p>
        </w:tc>
        <w:tc>
          <w:tcPr>
            <w:tcW w:w="1190" w:type="dxa"/>
            <w:tcBorders>
              <w:bottom w:val="single" w:sz="2" w:space="0" w:color="auto"/>
            </w:tcBorders>
            <w:shd w:val="clear" w:color="auto" w:fill="auto"/>
          </w:tcPr>
          <w:p w:rsidR="004F680E" w:rsidRDefault="004F680E" w:rsidP="00E66693">
            <w:pPr>
              <w:pStyle w:val="BodyNum"/>
              <w:numPr>
                <w:ilvl w:val="0"/>
                <w:numId w:val="0"/>
              </w:numPr>
            </w:pPr>
            <w:r>
              <w:t>501,188</w:t>
            </w:r>
          </w:p>
        </w:tc>
        <w:tc>
          <w:tcPr>
            <w:tcW w:w="1204" w:type="dxa"/>
            <w:tcBorders>
              <w:bottom w:val="single" w:sz="2" w:space="0" w:color="auto"/>
            </w:tcBorders>
            <w:shd w:val="clear" w:color="auto" w:fill="auto"/>
          </w:tcPr>
          <w:p w:rsidR="004F680E" w:rsidRDefault="004F680E" w:rsidP="00E66693">
            <w:pPr>
              <w:pStyle w:val="BodyNum"/>
              <w:numPr>
                <w:ilvl w:val="0"/>
                <w:numId w:val="0"/>
              </w:numPr>
            </w:pPr>
            <w:r>
              <w:t>714,860</w:t>
            </w:r>
          </w:p>
        </w:tc>
        <w:tc>
          <w:tcPr>
            <w:tcW w:w="3314" w:type="dxa"/>
            <w:vMerge/>
            <w:tcBorders>
              <w:bottom w:val="single" w:sz="2" w:space="0" w:color="auto"/>
            </w:tcBorders>
            <w:shd w:val="clear" w:color="auto" w:fill="auto"/>
          </w:tcPr>
          <w:p w:rsidR="004F680E" w:rsidRDefault="004F680E" w:rsidP="00E66693">
            <w:pPr>
              <w:pStyle w:val="BodyNum"/>
              <w:numPr>
                <w:ilvl w:val="0"/>
                <w:numId w:val="0"/>
              </w:numPr>
            </w:pPr>
          </w:p>
        </w:tc>
      </w:tr>
      <w:tr w:rsidR="004F680E" w:rsidTr="00E66693">
        <w:tc>
          <w:tcPr>
            <w:tcW w:w="1372" w:type="dxa"/>
            <w:tcBorders>
              <w:top w:val="single" w:sz="2" w:space="0" w:color="auto"/>
            </w:tcBorders>
            <w:shd w:val="clear" w:color="auto" w:fill="auto"/>
          </w:tcPr>
          <w:p w:rsidR="004F680E" w:rsidRPr="007A072D" w:rsidRDefault="004F680E" w:rsidP="00E66693">
            <w:pPr>
              <w:pStyle w:val="BodyNum"/>
              <w:numPr>
                <w:ilvl w:val="0"/>
                <w:numId w:val="0"/>
              </w:numPr>
              <w:rPr>
                <w:vertAlign w:val="superscript"/>
              </w:rPr>
            </w:pPr>
            <w:r>
              <w:t>kWh per m</w:t>
            </w:r>
            <w:r w:rsidRPr="00F07304">
              <w:rPr>
                <w:vertAlign w:val="superscript"/>
              </w:rPr>
              <w:t>2</w:t>
            </w:r>
          </w:p>
        </w:tc>
        <w:tc>
          <w:tcPr>
            <w:tcW w:w="1190" w:type="dxa"/>
            <w:tcBorders>
              <w:top w:val="single" w:sz="2" w:space="0" w:color="auto"/>
            </w:tcBorders>
            <w:shd w:val="clear" w:color="auto" w:fill="auto"/>
          </w:tcPr>
          <w:p w:rsidR="004F680E" w:rsidRDefault="004F680E" w:rsidP="00E66693">
            <w:pPr>
              <w:pStyle w:val="BodyNum"/>
              <w:numPr>
                <w:ilvl w:val="0"/>
                <w:numId w:val="0"/>
              </w:numPr>
            </w:pPr>
            <w:r>
              <w:t>50.0</w:t>
            </w:r>
          </w:p>
        </w:tc>
        <w:tc>
          <w:tcPr>
            <w:tcW w:w="1204" w:type="dxa"/>
            <w:tcBorders>
              <w:top w:val="single" w:sz="2" w:space="0" w:color="auto"/>
            </w:tcBorders>
            <w:shd w:val="clear" w:color="auto" w:fill="auto"/>
          </w:tcPr>
          <w:p w:rsidR="004F680E" w:rsidRDefault="004F680E" w:rsidP="00E66693">
            <w:pPr>
              <w:pStyle w:val="BodyNum"/>
              <w:numPr>
                <w:ilvl w:val="0"/>
                <w:numId w:val="0"/>
              </w:numPr>
            </w:pPr>
            <w:r>
              <w:t>62.0</w:t>
            </w:r>
          </w:p>
        </w:tc>
        <w:tc>
          <w:tcPr>
            <w:tcW w:w="3314" w:type="dxa"/>
            <w:vMerge w:val="restart"/>
            <w:tcBorders>
              <w:top w:val="single" w:sz="2" w:space="0" w:color="auto"/>
            </w:tcBorders>
            <w:shd w:val="clear" w:color="auto" w:fill="auto"/>
          </w:tcPr>
          <w:p w:rsidR="004F680E" w:rsidRDefault="004F680E" w:rsidP="00EE1FF7">
            <w:pPr>
              <w:pStyle w:val="BodyNum"/>
              <w:numPr>
                <w:ilvl w:val="0"/>
                <w:numId w:val="0"/>
              </w:numPr>
            </w:pPr>
            <w:r>
              <w:t>2015</w:t>
            </w:r>
            <w:r w:rsidR="00EE1FF7">
              <w:t>-20</w:t>
            </w:r>
            <w:r>
              <w:t>16 figure adjusted for pro-</w:t>
            </w:r>
            <w:r>
              <w:lastRenderedPageBreak/>
              <w:t>rata occupation of 3 premises during the year.</w:t>
            </w:r>
          </w:p>
        </w:tc>
      </w:tr>
      <w:tr w:rsidR="004F680E" w:rsidTr="00E66693">
        <w:tc>
          <w:tcPr>
            <w:tcW w:w="1372" w:type="dxa"/>
            <w:tcBorders>
              <w:bottom w:val="single" w:sz="2" w:space="0" w:color="auto"/>
            </w:tcBorders>
            <w:shd w:val="clear" w:color="auto" w:fill="auto"/>
          </w:tcPr>
          <w:p w:rsidR="004F680E" w:rsidRDefault="004F680E" w:rsidP="00E66693">
            <w:pPr>
              <w:pStyle w:val="BodyNum"/>
              <w:numPr>
                <w:ilvl w:val="0"/>
                <w:numId w:val="0"/>
              </w:numPr>
            </w:pPr>
            <w:proofErr w:type="spellStart"/>
            <w:r>
              <w:lastRenderedPageBreak/>
              <w:t>mJ</w:t>
            </w:r>
            <w:proofErr w:type="spellEnd"/>
            <w:r>
              <w:t xml:space="preserve"> per m</w:t>
            </w:r>
            <w:r w:rsidRPr="00D5427D">
              <w:rPr>
                <w:vertAlign w:val="superscript"/>
              </w:rPr>
              <w:t>2</w:t>
            </w:r>
          </w:p>
        </w:tc>
        <w:tc>
          <w:tcPr>
            <w:tcW w:w="1190" w:type="dxa"/>
            <w:tcBorders>
              <w:bottom w:val="single" w:sz="2" w:space="0" w:color="auto"/>
            </w:tcBorders>
            <w:shd w:val="clear" w:color="auto" w:fill="auto"/>
          </w:tcPr>
          <w:p w:rsidR="004F680E" w:rsidRDefault="004F680E" w:rsidP="00E66693">
            <w:pPr>
              <w:pStyle w:val="BodyNum"/>
              <w:numPr>
                <w:ilvl w:val="0"/>
                <w:numId w:val="0"/>
              </w:numPr>
            </w:pPr>
            <w:r>
              <w:t>181</w:t>
            </w:r>
          </w:p>
        </w:tc>
        <w:tc>
          <w:tcPr>
            <w:tcW w:w="1204" w:type="dxa"/>
            <w:tcBorders>
              <w:bottom w:val="single" w:sz="2" w:space="0" w:color="auto"/>
            </w:tcBorders>
            <w:shd w:val="clear" w:color="auto" w:fill="auto"/>
          </w:tcPr>
          <w:p w:rsidR="004F680E" w:rsidRDefault="004F680E" w:rsidP="00E66693">
            <w:pPr>
              <w:pStyle w:val="BodyNum"/>
              <w:numPr>
                <w:ilvl w:val="0"/>
                <w:numId w:val="0"/>
              </w:numPr>
            </w:pPr>
            <w:r>
              <w:t>224</w:t>
            </w:r>
          </w:p>
        </w:tc>
        <w:tc>
          <w:tcPr>
            <w:tcW w:w="3314" w:type="dxa"/>
            <w:vMerge/>
            <w:tcBorders>
              <w:bottom w:val="single" w:sz="2" w:space="0" w:color="auto"/>
            </w:tcBorders>
            <w:shd w:val="clear" w:color="auto" w:fill="auto"/>
          </w:tcPr>
          <w:p w:rsidR="004F680E" w:rsidRDefault="004F680E" w:rsidP="00E66693">
            <w:pPr>
              <w:pStyle w:val="BodyNum"/>
              <w:numPr>
                <w:ilvl w:val="0"/>
                <w:numId w:val="0"/>
              </w:numPr>
            </w:pPr>
          </w:p>
        </w:tc>
      </w:tr>
      <w:tr w:rsidR="004F680E" w:rsidTr="00E66693">
        <w:tc>
          <w:tcPr>
            <w:tcW w:w="1372" w:type="dxa"/>
            <w:tcBorders>
              <w:top w:val="single" w:sz="2" w:space="0" w:color="auto"/>
            </w:tcBorders>
            <w:shd w:val="clear" w:color="auto" w:fill="auto"/>
          </w:tcPr>
          <w:p w:rsidR="004F680E" w:rsidRDefault="004F680E" w:rsidP="00E66693">
            <w:pPr>
              <w:pStyle w:val="BodyNum"/>
              <w:numPr>
                <w:ilvl w:val="0"/>
                <w:numId w:val="0"/>
              </w:numPr>
            </w:pPr>
            <w:r>
              <w:lastRenderedPageBreak/>
              <w:t xml:space="preserve">kWh </w:t>
            </w:r>
            <w:r>
              <w:br/>
              <w:t xml:space="preserve">per </w:t>
            </w:r>
            <w:proofErr w:type="spellStart"/>
            <w:r>
              <w:t>ASL</w:t>
            </w:r>
            <w:proofErr w:type="spellEnd"/>
          </w:p>
        </w:tc>
        <w:tc>
          <w:tcPr>
            <w:tcW w:w="1190" w:type="dxa"/>
            <w:tcBorders>
              <w:top w:val="single" w:sz="2" w:space="0" w:color="auto"/>
            </w:tcBorders>
            <w:shd w:val="clear" w:color="auto" w:fill="auto"/>
          </w:tcPr>
          <w:p w:rsidR="004F680E" w:rsidRDefault="004F680E" w:rsidP="00E66693">
            <w:pPr>
              <w:pStyle w:val="BodyNum"/>
              <w:numPr>
                <w:ilvl w:val="0"/>
                <w:numId w:val="0"/>
              </w:numPr>
            </w:pPr>
            <w:r>
              <w:t>1,513</w:t>
            </w:r>
          </w:p>
        </w:tc>
        <w:tc>
          <w:tcPr>
            <w:tcW w:w="1204" w:type="dxa"/>
            <w:tcBorders>
              <w:top w:val="single" w:sz="2" w:space="0" w:color="auto"/>
            </w:tcBorders>
            <w:shd w:val="clear" w:color="auto" w:fill="auto"/>
          </w:tcPr>
          <w:p w:rsidR="004F680E" w:rsidRDefault="004F680E" w:rsidP="00E66693">
            <w:pPr>
              <w:pStyle w:val="BodyNum"/>
              <w:numPr>
                <w:ilvl w:val="0"/>
                <w:numId w:val="0"/>
              </w:numPr>
            </w:pPr>
            <w:r>
              <w:t>2,175</w:t>
            </w:r>
          </w:p>
        </w:tc>
        <w:tc>
          <w:tcPr>
            <w:tcW w:w="3314" w:type="dxa"/>
            <w:vMerge w:val="restart"/>
            <w:tcBorders>
              <w:top w:val="single" w:sz="2" w:space="0" w:color="auto"/>
            </w:tcBorders>
            <w:shd w:val="clear" w:color="auto" w:fill="auto"/>
          </w:tcPr>
          <w:p w:rsidR="004F680E" w:rsidRDefault="004F680E" w:rsidP="00EE1FF7">
            <w:pPr>
              <w:pStyle w:val="BodyNum"/>
              <w:numPr>
                <w:ilvl w:val="0"/>
                <w:numId w:val="0"/>
              </w:numPr>
            </w:pPr>
            <w:r>
              <w:t>Relocatio</w:t>
            </w:r>
            <w:r w:rsidR="00FD232C">
              <w:t>n to new, more energy efficient</w:t>
            </w:r>
            <w:r>
              <w:t xml:space="preserve"> premises has enabled OPC to </w:t>
            </w:r>
            <w:r w:rsidR="00EE1FF7">
              <w:t>outperform</w:t>
            </w:r>
            <w:r>
              <w:t xml:space="preserve"> the </w:t>
            </w:r>
            <w:r w:rsidR="00EE1FF7">
              <w:t>g</w:t>
            </w:r>
            <w:r>
              <w:t xml:space="preserve">overnment’s energy target of 7,500 </w:t>
            </w:r>
            <w:proofErr w:type="spellStart"/>
            <w:r>
              <w:t>mJ</w:t>
            </w:r>
            <w:proofErr w:type="spellEnd"/>
            <w:r>
              <w:t xml:space="preserve"> per person.</w:t>
            </w:r>
          </w:p>
        </w:tc>
      </w:tr>
      <w:tr w:rsidR="004F680E" w:rsidTr="00E66693">
        <w:tc>
          <w:tcPr>
            <w:tcW w:w="1372" w:type="dxa"/>
            <w:tcBorders>
              <w:bottom w:val="single" w:sz="2" w:space="0" w:color="auto"/>
            </w:tcBorders>
            <w:shd w:val="clear" w:color="auto" w:fill="auto"/>
          </w:tcPr>
          <w:p w:rsidR="004F680E" w:rsidRDefault="004F680E" w:rsidP="00E66693">
            <w:pPr>
              <w:pStyle w:val="BodyNum"/>
              <w:numPr>
                <w:ilvl w:val="0"/>
                <w:numId w:val="0"/>
              </w:numPr>
            </w:pPr>
            <w:proofErr w:type="spellStart"/>
            <w:r>
              <w:t>mJ</w:t>
            </w:r>
            <w:proofErr w:type="spellEnd"/>
            <w:r>
              <w:t xml:space="preserve"> </w:t>
            </w:r>
            <w:r>
              <w:br/>
              <w:t xml:space="preserve">per </w:t>
            </w:r>
            <w:proofErr w:type="spellStart"/>
            <w:r>
              <w:t>ASL</w:t>
            </w:r>
            <w:proofErr w:type="spellEnd"/>
          </w:p>
        </w:tc>
        <w:tc>
          <w:tcPr>
            <w:tcW w:w="1190" w:type="dxa"/>
            <w:tcBorders>
              <w:bottom w:val="single" w:sz="2" w:space="0" w:color="auto"/>
            </w:tcBorders>
            <w:shd w:val="clear" w:color="auto" w:fill="auto"/>
          </w:tcPr>
          <w:p w:rsidR="004F680E" w:rsidRDefault="004F680E" w:rsidP="00E66693">
            <w:pPr>
              <w:pStyle w:val="BodyNum"/>
              <w:numPr>
                <w:ilvl w:val="0"/>
                <w:numId w:val="0"/>
              </w:numPr>
            </w:pPr>
            <w:r>
              <w:t>5,448</w:t>
            </w:r>
          </w:p>
        </w:tc>
        <w:tc>
          <w:tcPr>
            <w:tcW w:w="1204" w:type="dxa"/>
            <w:tcBorders>
              <w:bottom w:val="single" w:sz="2" w:space="0" w:color="auto"/>
            </w:tcBorders>
            <w:shd w:val="clear" w:color="auto" w:fill="auto"/>
          </w:tcPr>
          <w:p w:rsidR="004F680E" w:rsidRDefault="004F680E" w:rsidP="00E66693">
            <w:pPr>
              <w:pStyle w:val="BodyNum"/>
              <w:numPr>
                <w:ilvl w:val="0"/>
                <w:numId w:val="0"/>
              </w:numPr>
            </w:pPr>
            <w:r>
              <w:t>7,861</w:t>
            </w:r>
          </w:p>
        </w:tc>
        <w:tc>
          <w:tcPr>
            <w:tcW w:w="3314" w:type="dxa"/>
            <w:vMerge/>
            <w:tcBorders>
              <w:bottom w:val="single" w:sz="2" w:space="0" w:color="auto"/>
            </w:tcBorders>
            <w:shd w:val="clear" w:color="auto" w:fill="auto"/>
          </w:tcPr>
          <w:p w:rsidR="004F680E" w:rsidRDefault="004F680E" w:rsidP="00E66693">
            <w:pPr>
              <w:pStyle w:val="BodyNum"/>
              <w:numPr>
                <w:ilvl w:val="0"/>
                <w:numId w:val="0"/>
              </w:numPr>
            </w:pPr>
          </w:p>
        </w:tc>
      </w:tr>
      <w:tr w:rsidR="004F680E" w:rsidTr="00E66693">
        <w:tc>
          <w:tcPr>
            <w:tcW w:w="7080" w:type="dxa"/>
            <w:gridSpan w:val="4"/>
            <w:tcBorders>
              <w:top w:val="single" w:sz="2" w:space="0" w:color="auto"/>
            </w:tcBorders>
            <w:shd w:val="clear" w:color="auto" w:fill="auto"/>
          </w:tcPr>
          <w:p w:rsidR="004F680E" w:rsidRPr="005755FB" w:rsidRDefault="004F680E" w:rsidP="000D3951">
            <w:pPr>
              <w:pStyle w:val="BodyNum"/>
              <w:numPr>
                <w:ilvl w:val="0"/>
                <w:numId w:val="0"/>
              </w:numPr>
              <w:rPr>
                <w:b/>
              </w:rPr>
            </w:pPr>
            <w:r w:rsidRPr="005755FB">
              <w:rPr>
                <w:b/>
              </w:rPr>
              <w:t>Nominal Lighting Power Density (</w:t>
            </w:r>
            <w:proofErr w:type="spellStart"/>
            <w:r w:rsidRPr="005755FB">
              <w:rPr>
                <w:b/>
              </w:rPr>
              <w:t>NL</w:t>
            </w:r>
            <w:r w:rsidR="000D3951">
              <w:rPr>
                <w:b/>
              </w:rPr>
              <w:t>PD</w:t>
            </w:r>
            <w:proofErr w:type="spellEnd"/>
            <w:r w:rsidRPr="005755FB">
              <w:rPr>
                <w:b/>
              </w:rPr>
              <w:t>)</w:t>
            </w:r>
          </w:p>
        </w:tc>
      </w:tr>
      <w:tr w:rsidR="004F680E" w:rsidTr="00E66693">
        <w:tc>
          <w:tcPr>
            <w:tcW w:w="1372" w:type="dxa"/>
            <w:tcBorders>
              <w:bottom w:val="single" w:sz="12" w:space="0" w:color="auto"/>
            </w:tcBorders>
            <w:shd w:val="clear" w:color="auto" w:fill="auto"/>
          </w:tcPr>
          <w:p w:rsidR="004F680E" w:rsidRDefault="004F680E" w:rsidP="00E66693">
            <w:pPr>
              <w:pStyle w:val="BodyNum"/>
              <w:numPr>
                <w:ilvl w:val="0"/>
                <w:numId w:val="0"/>
              </w:numPr>
            </w:pPr>
            <w:r>
              <w:t>Watts per m</w:t>
            </w:r>
            <w:r w:rsidRPr="00F07304">
              <w:rPr>
                <w:vertAlign w:val="superscript"/>
              </w:rPr>
              <w:t>2</w:t>
            </w:r>
          </w:p>
        </w:tc>
        <w:tc>
          <w:tcPr>
            <w:tcW w:w="1190" w:type="dxa"/>
            <w:tcBorders>
              <w:bottom w:val="single" w:sz="12" w:space="0" w:color="auto"/>
            </w:tcBorders>
            <w:shd w:val="clear" w:color="auto" w:fill="auto"/>
          </w:tcPr>
          <w:p w:rsidR="004F680E" w:rsidRDefault="004F680E" w:rsidP="00E66693">
            <w:pPr>
              <w:pStyle w:val="BodyNum"/>
              <w:numPr>
                <w:ilvl w:val="0"/>
                <w:numId w:val="0"/>
              </w:numPr>
            </w:pPr>
            <w:r>
              <w:t>5.6</w:t>
            </w:r>
          </w:p>
        </w:tc>
        <w:tc>
          <w:tcPr>
            <w:tcW w:w="1204" w:type="dxa"/>
            <w:tcBorders>
              <w:bottom w:val="single" w:sz="12" w:space="0" w:color="auto"/>
            </w:tcBorders>
            <w:shd w:val="clear" w:color="auto" w:fill="auto"/>
          </w:tcPr>
          <w:p w:rsidR="004F680E" w:rsidRDefault="004F680E" w:rsidP="00E66693">
            <w:pPr>
              <w:pStyle w:val="BodyNum"/>
              <w:numPr>
                <w:ilvl w:val="0"/>
                <w:numId w:val="0"/>
              </w:numPr>
            </w:pPr>
            <w:r>
              <w:t>5.6</w:t>
            </w:r>
          </w:p>
        </w:tc>
        <w:tc>
          <w:tcPr>
            <w:tcW w:w="3314" w:type="dxa"/>
            <w:tcBorders>
              <w:bottom w:val="single" w:sz="12" w:space="0" w:color="auto"/>
            </w:tcBorders>
            <w:shd w:val="clear" w:color="auto" w:fill="auto"/>
          </w:tcPr>
          <w:p w:rsidR="004F680E" w:rsidRDefault="00EE1FF7" w:rsidP="000D3951">
            <w:pPr>
              <w:pStyle w:val="BodyNum"/>
              <w:numPr>
                <w:ilvl w:val="0"/>
                <w:numId w:val="0"/>
              </w:numPr>
            </w:pPr>
            <w:r>
              <w:t xml:space="preserve">The </w:t>
            </w:r>
            <w:proofErr w:type="spellStart"/>
            <w:r w:rsidR="004F680E">
              <w:t>NL</w:t>
            </w:r>
            <w:r w:rsidR="000D3951">
              <w:t>PD</w:t>
            </w:r>
            <w:proofErr w:type="spellEnd"/>
            <w:r w:rsidR="004F680E">
              <w:t xml:space="preserve"> </w:t>
            </w:r>
            <w:r>
              <w:t>also outperformed</w:t>
            </w:r>
            <w:r w:rsidR="004F680E">
              <w:t xml:space="preserve"> the </w:t>
            </w:r>
            <w:r>
              <w:t>g</w:t>
            </w:r>
            <w:r w:rsidR="004F680E">
              <w:t>overnment’s recommended target of 8w per m</w:t>
            </w:r>
            <w:r w:rsidR="004F680E" w:rsidRPr="00B31587">
              <w:rPr>
                <w:vertAlign w:val="superscript"/>
              </w:rPr>
              <w:t>2</w:t>
            </w:r>
          </w:p>
        </w:tc>
      </w:tr>
      <w:tr w:rsidR="004F680E" w:rsidTr="00E66693">
        <w:tc>
          <w:tcPr>
            <w:tcW w:w="7080" w:type="dxa"/>
            <w:gridSpan w:val="4"/>
            <w:tcBorders>
              <w:top w:val="single" w:sz="12" w:space="0" w:color="auto"/>
            </w:tcBorders>
            <w:shd w:val="clear" w:color="auto" w:fill="auto"/>
          </w:tcPr>
          <w:p w:rsidR="004F680E" w:rsidRPr="005755FB" w:rsidRDefault="004F680E" w:rsidP="00E66693">
            <w:pPr>
              <w:pStyle w:val="BodyNum"/>
              <w:numPr>
                <w:ilvl w:val="0"/>
                <w:numId w:val="0"/>
              </w:numPr>
              <w:rPr>
                <w:sz w:val="22"/>
                <w:szCs w:val="22"/>
              </w:rPr>
            </w:pPr>
            <w:r w:rsidRPr="005755FB">
              <w:rPr>
                <w:b/>
                <w:sz w:val="22"/>
                <w:szCs w:val="22"/>
              </w:rPr>
              <w:t>Environmental impacts</w:t>
            </w:r>
          </w:p>
        </w:tc>
      </w:tr>
      <w:tr w:rsidR="004F680E" w:rsidTr="005755FB">
        <w:tc>
          <w:tcPr>
            <w:tcW w:w="1372" w:type="dxa"/>
            <w:shd w:val="clear" w:color="auto" w:fill="auto"/>
          </w:tcPr>
          <w:p w:rsidR="004F680E" w:rsidRDefault="004F680E" w:rsidP="00E66693">
            <w:pPr>
              <w:pStyle w:val="BodyNum"/>
              <w:numPr>
                <w:ilvl w:val="0"/>
                <w:numId w:val="0"/>
              </w:numPr>
            </w:pPr>
            <w:r>
              <w:t>CO</w:t>
            </w:r>
            <w:r w:rsidRPr="00D11E98">
              <w:rPr>
                <w:vertAlign w:val="superscript"/>
              </w:rPr>
              <w:t>2</w:t>
            </w:r>
            <w:r>
              <w:t xml:space="preserve"> produced (tonnes)</w:t>
            </w:r>
          </w:p>
        </w:tc>
        <w:tc>
          <w:tcPr>
            <w:tcW w:w="1190" w:type="dxa"/>
            <w:shd w:val="clear" w:color="auto" w:fill="auto"/>
          </w:tcPr>
          <w:p w:rsidR="004F680E" w:rsidRDefault="004F680E" w:rsidP="00E66693">
            <w:pPr>
              <w:pStyle w:val="BodyNum"/>
              <w:numPr>
                <w:ilvl w:val="0"/>
                <w:numId w:val="0"/>
              </w:numPr>
            </w:pPr>
            <w:r>
              <w:t>117.8</w:t>
            </w:r>
          </w:p>
        </w:tc>
        <w:tc>
          <w:tcPr>
            <w:tcW w:w="1204" w:type="dxa"/>
            <w:shd w:val="clear" w:color="auto" w:fill="auto"/>
          </w:tcPr>
          <w:p w:rsidR="004F680E" w:rsidRDefault="004F680E" w:rsidP="00E66693">
            <w:pPr>
              <w:pStyle w:val="BodyNum"/>
              <w:numPr>
                <w:ilvl w:val="0"/>
                <w:numId w:val="0"/>
              </w:numPr>
            </w:pPr>
            <w:r>
              <w:t>181.0</w:t>
            </w:r>
          </w:p>
        </w:tc>
        <w:tc>
          <w:tcPr>
            <w:tcW w:w="3314" w:type="dxa"/>
            <w:shd w:val="clear" w:color="auto" w:fill="auto"/>
          </w:tcPr>
          <w:p w:rsidR="004F680E" w:rsidRDefault="00FF0102" w:rsidP="00FF0102">
            <w:pPr>
              <w:pStyle w:val="BodyNum"/>
              <w:numPr>
                <w:ilvl w:val="0"/>
                <w:numId w:val="0"/>
              </w:numPr>
            </w:pPr>
            <w:r>
              <w:t xml:space="preserve">See paragraph 9 for the measures OPC has in place to minimise the effect of </w:t>
            </w:r>
            <w:proofErr w:type="spellStart"/>
            <w:r>
              <w:t>OPC’s</w:t>
            </w:r>
            <w:proofErr w:type="spellEnd"/>
            <w:r>
              <w:t xml:space="preserve"> activities on the environment.</w:t>
            </w:r>
          </w:p>
        </w:tc>
      </w:tr>
      <w:tr w:rsidR="004F680E" w:rsidTr="005755FB">
        <w:tc>
          <w:tcPr>
            <w:tcW w:w="1372" w:type="dxa"/>
            <w:tcBorders>
              <w:bottom w:val="single" w:sz="12" w:space="0" w:color="auto"/>
            </w:tcBorders>
            <w:shd w:val="clear" w:color="auto" w:fill="auto"/>
          </w:tcPr>
          <w:p w:rsidR="004F680E" w:rsidRDefault="005755FB" w:rsidP="00E66693">
            <w:pPr>
              <w:pStyle w:val="BodyNum"/>
              <w:numPr>
                <w:ilvl w:val="0"/>
                <w:numId w:val="0"/>
              </w:numPr>
            </w:pPr>
            <w:r>
              <w:t>Purchase of copy paper</w:t>
            </w:r>
            <w:r w:rsidR="004F680E">
              <w:t xml:space="preserve"> </w:t>
            </w:r>
            <w:r>
              <w:t>(</w:t>
            </w:r>
            <w:r w:rsidR="004F680E">
              <w:t>tonnes</w:t>
            </w:r>
            <w:r>
              <w:t>)</w:t>
            </w:r>
          </w:p>
        </w:tc>
        <w:tc>
          <w:tcPr>
            <w:tcW w:w="1190" w:type="dxa"/>
            <w:tcBorders>
              <w:bottom w:val="single" w:sz="12" w:space="0" w:color="auto"/>
            </w:tcBorders>
            <w:shd w:val="clear" w:color="auto" w:fill="auto"/>
          </w:tcPr>
          <w:p w:rsidR="004F680E" w:rsidRDefault="004F680E" w:rsidP="00E66693">
            <w:pPr>
              <w:pStyle w:val="BodyNum"/>
              <w:numPr>
                <w:ilvl w:val="0"/>
                <w:numId w:val="0"/>
              </w:numPr>
            </w:pPr>
            <w:r>
              <w:t>5.3</w:t>
            </w:r>
          </w:p>
        </w:tc>
        <w:tc>
          <w:tcPr>
            <w:tcW w:w="1204" w:type="dxa"/>
            <w:tcBorders>
              <w:bottom w:val="single" w:sz="12" w:space="0" w:color="auto"/>
            </w:tcBorders>
            <w:shd w:val="clear" w:color="auto" w:fill="auto"/>
          </w:tcPr>
          <w:p w:rsidR="004F680E" w:rsidRDefault="004F680E" w:rsidP="00E66693">
            <w:pPr>
              <w:pStyle w:val="BodyNum"/>
              <w:numPr>
                <w:ilvl w:val="0"/>
                <w:numId w:val="0"/>
              </w:numPr>
            </w:pPr>
            <w:r>
              <w:t>6.2</w:t>
            </w:r>
          </w:p>
        </w:tc>
        <w:tc>
          <w:tcPr>
            <w:tcW w:w="3314" w:type="dxa"/>
            <w:tcBorders>
              <w:bottom w:val="single" w:sz="12" w:space="0" w:color="auto"/>
            </w:tcBorders>
            <w:shd w:val="clear" w:color="auto" w:fill="auto"/>
          </w:tcPr>
          <w:p w:rsidR="004F680E" w:rsidRDefault="004F680E" w:rsidP="00E66693">
            <w:pPr>
              <w:pStyle w:val="BodyNum"/>
              <w:numPr>
                <w:ilvl w:val="0"/>
                <w:numId w:val="0"/>
              </w:numPr>
            </w:pPr>
          </w:p>
        </w:tc>
      </w:tr>
    </w:tbl>
    <w:p w:rsidR="00747A99" w:rsidRDefault="00747A99" w:rsidP="0002050A"/>
    <w:p w:rsidR="0002050A" w:rsidRPr="0002050A" w:rsidRDefault="0002050A" w:rsidP="0002050A">
      <w:pPr>
        <w:sectPr w:rsidR="0002050A" w:rsidRPr="0002050A">
          <w:type w:val="continuous"/>
          <w:pgSz w:w="11907" w:h="16839" w:code="9"/>
          <w:pgMar w:top="1134" w:right="2410" w:bottom="4253" w:left="2410" w:header="510" w:footer="3402" w:gutter="0"/>
          <w:cols w:space="720"/>
          <w:docGrid w:linePitch="326"/>
        </w:sectPr>
      </w:pPr>
    </w:p>
    <w:p w:rsidR="00246266" w:rsidRDefault="00246266" w:rsidP="001A1A12">
      <w:pPr>
        <w:pStyle w:val="BodyNum"/>
      </w:pPr>
      <w:r>
        <w:lastRenderedPageBreak/>
        <w:t>These figures do not include energy and paper used by the contractor engaged by OPC to print Bills for introduction into the Parliament.</w:t>
      </w:r>
    </w:p>
    <w:p w:rsidR="00246266" w:rsidRDefault="004F680E" w:rsidP="00A80292">
      <w:pPr>
        <w:pStyle w:val="BodyNum"/>
      </w:pPr>
      <w:r>
        <w:t xml:space="preserve">Water usage for </w:t>
      </w:r>
      <w:proofErr w:type="spellStart"/>
      <w:r>
        <w:t>OPC’s</w:t>
      </w:r>
      <w:proofErr w:type="spellEnd"/>
      <w:r>
        <w:t xml:space="preserve"> tenancy is not separately metered.</w:t>
      </w:r>
    </w:p>
    <w:p w:rsidR="00A202E5" w:rsidRPr="004F680E" w:rsidRDefault="00246266" w:rsidP="004F680E">
      <w:pPr>
        <w:pStyle w:val="Head4"/>
        <w:rPr>
          <w:i/>
        </w:rPr>
      </w:pPr>
      <w:r>
        <w:rPr>
          <w:i/>
        </w:rPr>
        <w:lastRenderedPageBreak/>
        <w:t xml:space="preserve">Measures to minimise the effect of </w:t>
      </w:r>
      <w:proofErr w:type="spellStart"/>
      <w:r>
        <w:rPr>
          <w:i/>
        </w:rPr>
        <w:t>OPC</w:t>
      </w:r>
      <w:r w:rsidR="003C39D9">
        <w:rPr>
          <w:i/>
        </w:rPr>
        <w:t>’</w:t>
      </w:r>
      <w:r>
        <w:rPr>
          <w:i/>
        </w:rPr>
        <w:t>s</w:t>
      </w:r>
      <w:proofErr w:type="spellEnd"/>
      <w:r>
        <w:rPr>
          <w:i/>
        </w:rPr>
        <w:t xml:space="preserve"> activities on the environment</w:t>
      </w:r>
    </w:p>
    <w:p w:rsidR="004D755D" w:rsidRDefault="004D755D" w:rsidP="00A80292">
      <w:pPr>
        <w:pStyle w:val="BodyNum"/>
      </w:pPr>
      <w:proofErr w:type="spellStart"/>
      <w:r>
        <w:t>OPC</w:t>
      </w:r>
      <w:r w:rsidR="00C378BC">
        <w:t>’s</w:t>
      </w:r>
      <w:proofErr w:type="spellEnd"/>
      <w:r>
        <w:t xml:space="preserve"> </w:t>
      </w:r>
      <w:r w:rsidR="00C378BC">
        <w:t xml:space="preserve">workplace design </w:t>
      </w:r>
      <w:r w:rsidR="0042653C">
        <w:t>maximise</w:t>
      </w:r>
      <w:r w:rsidR="00C378BC">
        <w:t>s</w:t>
      </w:r>
      <w:r>
        <w:t xml:space="preserve"> environmental sustainability, with a strong focus on access to natural light. The elongated floor plate has core </w:t>
      </w:r>
      <w:r>
        <w:lastRenderedPageBreak/>
        <w:t>services, meeting, utility and storage rooms inbound, allowing all employee work spaces to be located within 12 metres of the perimeter windows. The fit-out has been designed to complement the building’s environmental objectives including apply</w:t>
      </w:r>
      <w:r w:rsidR="0042653C">
        <w:t>ing</w:t>
      </w:r>
      <w:r>
        <w:t xml:space="preserve"> best practice in the selection of materials. Practical i</w:t>
      </w:r>
      <w:r w:rsidR="00B47C50">
        <w:t>nclusions in the design include</w:t>
      </w:r>
      <w:r>
        <w:t xml:space="preserve"> recycling provisions, use of natural and recycled materials, and plants for air quality and visual amenity.</w:t>
      </w:r>
    </w:p>
    <w:p w:rsidR="00246266" w:rsidRDefault="00246266" w:rsidP="00A80292">
      <w:pPr>
        <w:pStyle w:val="BodyNum"/>
      </w:pPr>
      <w:r>
        <w:t xml:space="preserve">The following measures were in place throughout the year to minimise the effect of </w:t>
      </w:r>
      <w:proofErr w:type="spellStart"/>
      <w:r>
        <w:t>OPC</w:t>
      </w:r>
      <w:r w:rsidR="003C39D9">
        <w:t>’</w:t>
      </w:r>
      <w:r>
        <w:t>s</w:t>
      </w:r>
      <w:proofErr w:type="spellEnd"/>
      <w:r>
        <w:t xml:space="preserve"> activities on the environment:</w:t>
      </w:r>
    </w:p>
    <w:p w:rsidR="00246266" w:rsidRDefault="00893AED" w:rsidP="00893AED">
      <w:pPr>
        <w:pStyle w:val="AnnualReportBullet"/>
        <w:tabs>
          <w:tab w:val="left" w:pos="360"/>
        </w:tabs>
        <w:ind w:left="360" w:hanging="360"/>
      </w:pPr>
      <w:r>
        <w:rPr>
          <w:rFonts w:ascii="Symbol" w:hAnsi="Symbol"/>
        </w:rPr>
        <w:t></w:t>
      </w:r>
      <w:r>
        <w:rPr>
          <w:rFonts w:ascii="Symbol" w:hAnsi="Symbol"/>
        </w:rPr>
        <w:tab/>
      </w:r>
      <w:r w:rsidR="00246266">
        <w:t>energy efficiency is routinely taken into account in decisions a</w:t>
      </w:r>
      <w:r w:rsidR="004D755D">
        <w:t>bout acquiring equipment</w:t>
      </w:r>
      <w:r w:rsidR="00246266">
        <w:t>;</w:t>
      </w:r>
    </w:p>
    <w:p w:rsidR="00246266" w:rsidRDefault="00893AED" w:rsidP="00893AED">
      <w:pPr>
        <w:pStyle w:val="AnnualReportBullet"/>
        <w:tabs>
          <w:tab w:val="left" w:pos="360"/>
        </w:tabs>
        <w:ind w:left="360" w:hanging="360"/>
      </w:pPr>
      <w:r>
        <w:rPr>
          <w:rFonts w:ascii="Symbol" w:hAnsi="Symbol"/>
        </w:rPr>
        <w:t></w:t>
      </w:r>
      <w:r>
        <w:rPr>
          <w:rFonts w:ascii="Symbol" w:hAnsi="Symbol"/>
        </w:rPr>
        <w:tab/>
      </w:r>
      <w:r w:rsidR="00246266">
        <w:t>double-sided printing and photocopying facilities are available, and staff are enco</w:t>
      </w:r>
      <w:r w:rsidR="004D755D">
        <w:t>uraged to use them</w:t>
      </w:r>
      <w:r w:rsidR="000A778F">
        <w:t>;</w:t>
      </w:r>
    </w:p>
    <w:p w:rsidR="00264C44" w:rsidRDefault="00264C44" w:rsidP="00893AED">
      <w:pPr>
        <w:pStyle w:val="AnnualReportBullet"/>
        <w:tabs>
          <w:tab w:val="left" w:pos="360"/>
        </w:tabs>
        <w:ind w:left="360" w:hanging="360"/>
      </w:pPr>
      <w:r>
        <w:rPr>
          <w:rFonts w:ascii="Symbol" w:hAnsi="Symbol"/>
        </w:rPr>
        <w:lastRenderedPageBreak/>
        <w:t></w:t>
      </w:r>
      <w:r>
        <w:rPr>
          <w:rFonts w:ascii="Symbol" w:hAnsi="Symbol"/>
        </w:rPr>
        <w:tab/>
      </w:r>
      <w:r>
        <w:t>where possible, OPC is moving to online publication of documents to reduce the number of copies being printed;</w:t>
      </w:r>
    </w:p>
    <w:p w:rsidR="000A778F" w:rsidRDefault="00893AED" w:rsidP="00893AED">
      <w:pPr>
        <w:pStyle w:val="AnnualReportBullet"/>
        <w:tabs>
          <w:tab w:val="left" w:pos="360"/>
        </w:tabs>
        <w:ind w:left="360" w:hanging="360"/>
      </w:pPr>
      <w:r>
        <w:rPr>
          <w:rFonts w:ascii="Symbol" w:hAnsi="Symbol"/>
        </w:rPr>
        <w:t></w:t>
      </w:r>
      <w:r>
        <w:rPr>
          <w:rFonts w:ascii="Symbol" w:hAnsi="Symbol"/>
        </w:rPr>
        <w:tab/>
      </w:r>
      <w:r w:rsidR="000A778F">
        <w:t>work procedures</w:t>
      </w:r>
      <w:r w:rsidR="00433AE5">
        <w:t xml:space="preserve"> are modified</w:t>
      </w:r>
      <w:r w:rsidR="000A778F">
        <w:t xml:space="preserve"> to avoid paper use where practicable </w:t>
      </w:r>
      <w:r w:rsidR="005745C2">
        <w:t xml:space="preserve">by, for example, </w:t>
      </w:r>
      <w:r w:rsidR="000A778F">
        <w:t xml:space="preserve">editing documents on screen, </w:t>
      </w:r>
      <w:r w:rsidR="005745C2">
        <w:t>using</w:t>
      </w:r>
      <w:r w:rsidR="000A778F">
        <w:t xml:space="preserve"> electronic forms of communication and filing documents in the electronic </w:t>
      </w:r>
      <w:r w:rsidR="00D015F3">
        <w:t xml:space="preserve">records </w:t>
      </w:r>
      <w:r w:rsidR="000A778F">
        <w:t>management system;</w:t>
      </w:r>
    </w:p>
    <w:p w:rsidR="00246266" w:rsidRDefault="00893AED" w:rsidP="00893AED">
      <w:pPr>
        <w:pStyle w:val="AnnualReportBullet"/>
        <w:tabs>
          <w:tab w:val="left" w:pos="360"/>
        </w:tabs>
        <w:ind w:left="360" w:hanging="360"/>
      </w:pPr>
      <w:r>
        <w:rPr>
          <w:rFonts w:ascii="Symbol" w:hAnsi="Symbol"/>
        </w:rPr>
        <w:t></w:t>
      </w:r>
      <w:r>
        <w:rPr>
          <w:rFonts w:ascii="Symbol" w:hAnsi="Symbol"/>
        </w:rPr>
        <w:tab/>
      </w:r>
      <w:r w:rsidR="00246266">
        <w:t>OPC has arrangements to collect toner cartridges, paper, glass</w:t>
      </w:r>
      <w:r w:rsidR="004F680E">
        <w:t xml:space="preserve">, </w:t>
      </w:r>
      <w:r w:rsidR="00246266">
        <w:t>plastic and aluminium used in the office</w:t>
      </w:r>
      <w:r w:rsidR="00433AE5">
        <w:t xml:space="preserve"> for recycling</w:t>
      </w:r>
      <w:r w:rsidR="004D7BCC">
        <w:t>;</w:t>
      </w:r>
    </w:p>
    <w:p w:rsidR="00C378BC" w:rsidRPr="00C378BC" w:rsidRDefault="00893AED" w:rsidP="00893AED">
      <w:pPr>
        <w:pStyle w:val="AnnualReportBullet"/>
        <w:tabs>
          <w:tab w:val="left" w:pos="360"/>
        </w:tabs>
        <w:ind w:left="360" w:hanging="360"/>
        <w:rPr>
          <w:rFonts w:ascii="Symbol" w:hAnsi="Symbol"/>
        </w:rPr>
        <w:sectPr w:rsidR="00C378BC" w:rsidRPr="00C378BC">
          <w:type w:val="continuous"/>
          <w:pgSz w:w="11907" w:h="16839" w:code="9"/>
          <w:pgMar w:top="1134" w:right="2410" w:bottom="4253" w:left="2410" w:header="510" w:footer="3402" w:gutter="0"/>
          <w:cols w:num="2" w:space="709"/>
          <w:docGrid w:linePitch="326"/>
        </w:sectPr>
      </w:pPr>
      <w:r>
        <w:rPr>
          <w:rFonts w:ascii="Symbol" w:hAnsi="Symbol"/>
        </w:rPr>
        <w:t></w:t>
      </w:r>
      <w:r>
        <w:rPr>
          <w:rFonts w:ascii="Symbol" w:hAnsi="Symbol"/>
        </w:rPr>
        <w:tab/>
      </w:r>
      <w:r w:rsidR="00246266">
        <w:t>staff are encouraged to turn off lights and office equipment when not in use.</w:t>
      </w:r>
      <w:r w:rsidR="004F680E">
        <w:t xml:space="preserve"> Lighting controls throughout the office include the use of sensors and timers which automatically turn lights off if no activity is detected for </w:t>
      </w:r>
      <w:r w:rsidR="0097592A">
        <w:t xml:space="preserve">a </w:t>
      </w:r>
      <w:r w:rsidR="004F680E">
        <w:t>pre-programmed time.</w:t>
      </w:r>
    </w:p>
    <w:p w:rsidR="00246266" w:rsidRDefault="00246266" w:rsidP="00246266">
      <w:pPr>
        <w:pStyle w:val="AnnualReportBullet"/>
        <w:ind w:left="360" w:hanging="360"/>
        <w:rPr>
          <w:i/>
        </w:rPr>
        <w:sectPr w:rsidR="00246266">
          <w:type w:val="continuous"/>
          <w:pgSz w:w="11907" w:h="16839" w:code="9"/>
          <w:pgMar w:top="1134" w:right="2410" w:bottom="4253" w:left="2410" w:header="510" w:footer="3402" w:gutter="0"/>
          <w:cols w:num="2" w:space="709"/>
          <w:docGrid w:linePitch="326"/>
        </w:sectPr>
      </w:pPr>
    </w:p>
    <w:p w:rsidR="00246266" w:rsidRDefault="00246266" w:rsidP="00246266">
      <w:pPr>
        <w:pStyle w:val="Head2"/>
      </w:pPr>
      <w:bookmarkStart w:id="129" w:name="_Toc492656493"/>
      <w:r>
        <w:lastRenderedPageBreak/>
        <w:t>App</w:t>
      </w:r>
      <w:r w:rsidR="0012505E">
        <w:t xml:space="preserve">endix </w:t>
      </w:r>
      <w:r w:rsidR="00BF06ED">
        <w:t>D</w:t>
      </w:r>
      <w:r w:rsidR="00FB2F79">
        <w:t>—Financial Statements 201</w:t>
      </w:r>
      <w:r w:rsidR="007764FA">
        <w:t>6</w:t>
      </w:r>
      <w:r>
        <w:t>-20</w:t>
      </w:r>
      <w:r w:rsidR="004C0F06">
        <w:t>1</w:t>
      </w:r>
      <w:r w:rsidR="007764FA">
        <w:t>7</w:t>
      </w:r>
      <w:bookmarkEnd w:id="129"/>
    </w:p>
    <w:p w:rsidR="00246266" w:rsidRDefault="00246266" w:rsidP="00246266">
      <w:pPr>
        <w:pStyle w:val="Head4"/>
      </w:pPr>
      <w:r>
        <w:t>Contents</w:t>
      </w:r>
    </w:p>
    <w:p w:rsidR="00246266" w:rsidRDefault="00246266" w:rsidP="00246266">
      <w:pPr>
        <w:pStyle w:val="Body"/>
      </w:pPr>
      <w:r>
        <w:t>Auditor-General</w:t>
      </w:r>
      <w:r w:rsidR="003C39D9">
        <w:t>’</w:t>
      </w:r>
      <w:r>
        <w:t>s Report on Financial Statements</w:t>
      </w:r>
    </w:p>
    <w:p w:rsidR="00246266" w:rsidRDefault="00246266" w:rsidP="00246266">
      <w:pPr>
        <w:pStyle w:val="Body"/>
      </w:pPr>
      <w:r>
        <w:t>Certification of Financial Statements</w:t>
      </w:r>
    </w:p>
    <w:p w:rsidR="007764FA" w:rsidRDefault="007764FA" w:rsidP="00246266">
      <w:pPr>
        <w:pStyle w:val="Body"/>
      </w:pPr>
      <w:r>
        <w:t>Contents</w:t>
      </w:r>
    </w:p>
    <w:p w:rsidR="00246266" w:rsidRDefault="00167530" w:rsidP="00246266">
      <w:pPr>
        <w:pStyle w:val="Body"/>
      </w:pPr>
      <w:r>
        <w:t xml:space="preserve">Statement of Comprehensive </w:t>
      </w:r>
      <w:r w:rsidR="00246266">
        <w:t>Income</w:t>
      </w:r>
    </w:p>
    <w:p w:rsidR="00246266" w:rsidRDefault="00C01C05" w:rsidP="00246266">
      <w:pPr>
        <w:pStyle w:val="Body"/>
      </w:pPr>
      <w:r>
        <w:t>Statement of Financial Position</w:t>
      </w:r>
    </w:p>
    <w:p w:rsidR="00246266" w:rsidRDefault="00246266" w:rsidP="00246266">
      <w:pPr>
        <w:pStyle w:val="Body"/>
      </w:pPr>
      <w:r>
        <w:t>Statement of Changes in Equity</w:t>
      </w:r>
    </w:p>
    <w:p w:rsidR="00246266" w:rsidRDefault="00246266" w:rsidP="00246266">
      <w:pPr>
        <w:pStyle w:val="Body"/>
      </w:pPr>
      <w:r>
        <w:t>Cash Flow Statement</w:t>
      </w:r>
    </w:p>
    <w:p w:rsidR="000352B8" w:rsidRDefault="00CB76DF" w:rsidP="003C39D9">
      <w:pPr>
        <w:pStyle w:val="Body"/>
      </w:pPr>
      <w:r>
        <w:t xml:space="preserve">Notes to </w:t>
      </w:r>
      <w:r w:rsidR="00C51461">
        <w:t xml:space="preserve">and forming part of the </w:t>
      </w:r>
      <w:r>
        <w:t>Financial Statements</w:t>
      </w:r>
    </w:p>
    <w:p w:rsidR="00007805" w:rsidRDefault="00007805">
      <w:pPr>
        <w:rPr>
          <w:rFonts w:ascii="Arial" w:hAnsi="Arial"/>
          <w:color w:val="000000"/>
          <w:sz w:val="20"/>
          <w:szCs w:val="20"/>
        </w:rPr>
      </w:pPr>
      <w:r>
        <w:rPr>
          <w:rFonts w:ascii="Arial" w:hAnsi="Arial"/>
          <w:color w:val="000000"/>
          <w:sz w:val="20"/>
          <w:szCs w:val="20"/>
        </w:rPr>
        <w:br w:type="page"/>
      </w:r>
    </w:p>
    <w:p w:rsidR="00DB20F7" w:rsidRDefault="000571B5">
      <w:pPr>
        <w:rPr>
          <w:rFonts w:ascii="Arial" w:hAnsi="Arial"/>
          <w:color w:val="000000"/>
          <w:sz w:val="20"/>
          <w:szCs w:val="20"/>
        </w:rPr>
      </w:pPr>
      <w:r>
        <w:rPr>
          <w:rFonts w:ascii="Arial" w:hAnsi="Arial"/>
          <w:noProof/>
          <w:color w:val="000000"/>
          <w:sz w:val="20"/>
          <w:szCs w:val="20"/>
        </w:rPr>
        <w:lastRenderedPageBreak/>
        <w:drawing>
          <wp:inline distT="0" distB="0" distL="0" distR="0" wp14:anchorId="31AC45BC" wp14:editId="38FC18EF">
            <wp:extent cx="4733054" cy="69005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2).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735867" cy="6904631"/>
                    </a:xfrm>
                    <a:prstGeom prst="rect">
                      <a:avLst/>
                    </a:prstGeom>
                  </pic:spPr>
                </pic:pic>
              </a:graphicData>
            </a:graphic>
          </wp:inline>
        </w:drawing>
      </w:r>
    </w:p>
    <w:p w:rsidR="00DB20F7" w:rsidRDefault="00F908D3" w:rsidP="00C75936">
      <w:pPr>
        <w:ind w:left="-284"/>
        <w:rPr>
          <w:rFonts w:ascii="Arial" w:hAnsi="Arial"/>
          <w:color w:val="000000"/>
          <w:sz w:val="20"/>
          <w:szCs w:val="20"/>
        </w:rPr>
      </w:pPr>
      <w:r>
        <w:rPr>
          <w:rFonts w:ascii="Arial" w:hAnsi="Arial"/>
          <w:noProof/>
          <w:color w:val="000000"/>
          <w:sz w:val="20"/>
          <w:szCs w:val="20"/>
        </w:rPr>
        <w:lastRenderedPageBreak/>
        <w:drawing>
          <wp:inline distT="0" distB="0" distL="0" distR="0" wp14:anchorId="3A556849" wp14:editId="798E7BBA">
            <wp:extent cx="4519984" cy="66134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2).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524504" cy="6620064"/>
                    </a:xfrm>
                    <a:prstGeom prst="rect">
                      <a:avLst/>
                    </a:prstGeom>
                  </pic:spPr>
                </pic:pic>
              </a:graphicData>
            </a:graphic>
          </wp:inline>
        </w:drawing>
      </w:r>
    </w:p>
    <w:p w:rsidR="00122E39" w:rsidRDefault="00122E39" w:rsidP="00C75936">
      <w:pPr>
        <w:ind w:left="-284"/>
        <w:rPr>
          <w:rFonts w:ascii="Arial" w:hAnsi="Arial"/>
          <w:color w:val="000000"/>
          <w:sz w:val="20"/>
          <w:szCs w:val="20"/>
        </w:rPr>
      </w:pPr>
      <w:r>
        <w:rPr>
          <w:rFonts w:ascii="Arial" w:hAnsi="Arial"/>
          <w:color w:val="000000"/>
          <w:sz w:val="20"/>
          <w:szCs w:val="20"/>
        </w:rPr>
        <w:br w:type="page"/>
      </w:r>
    </w:p>
    <w:p w:rsidR="00007805" w:rsidRDefault="008946ED">
      <w:pPr>
        <w:rPr>
          <w:rFonts w:ascii="Arial" w:hAnsi="Arial"/>
          <w:color w:val="000000"/>
          <w:sz w:val="20"/>
          <w:szCs w:val="20"/>
        </w:rPr>
      </w:pPr>
      <w:r w:rsidRPr="008946ED">
        <w:rPr>
          <w:noProof/>
        </w:rPr>
        <w:lastRenderedPageBreak/>
        <w:drawing>
          <wp:inline distT="0" distB="0" distL="0" distR="0" wp14:anchorId="28015B85" wp14:editId="5720B476">
            <wp:extent cx="4705363" cy="37929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4713113" cy="3799196"/>
                    </a:xfrm>
                    <a:prstGeom prst="rect">
                      <a:avLst/>
                    </a:prstGeom>
                    <a:noFill/>
                    <a:ln>
                      <a:noFill/>
                    </a:ln>
                    <a:extLst>
                      <a:ext uri="{53640926-AAD7-44D8-BBD7-CCE9431645EC}">
                        <a14:shadowObscured xmlns:a14="http://schemas.microsoft.com/office/drawing/2010/main"/>
                      </a:ext>
                    </a:extLst>
                  </pic:spPr>
                </pic:pic>
              </a:graphicData>
            </a:graphic>
          </wp:inline>
        </w:drawing>
      </w:r>
    </w:p>
    <w:p w:rsidR="00122E39" w:rsidRDefault="00122E39">
      <w:pPr>
        <w:rPr>
          <w:rFonts w:ascii="Arial" w:hAnsi="Arial"/>
          <w:color w:val="000000"/>
          <w:sz w:val="20"/>
          <w:szCs w:val="20"/>
        </w:rPr>
      </w:pPr>
    </w:p>
    <w:p w:rsidR="00122E39" w:rsidRDefault="00122E39">
      <w:pPr>
        <w:rPr>
          <w:rFonts w:ascii="Arial" w:hAnsi="Arial"/>
          <w:color w:val="000000"/>
          <w:sz w:val="20"/>
          <w:szCs w:val="20"/>
        </w:rPr>
      </w:pPr>
    </w:p>
    <w:p w:rsidR="00122E39" w:rsidRDefault="00122E39">
      <w:pPr>
        <w:rPr>
          <w:rFonts w:ascii="Arial" w:hAnsi="Arial"/>
          <w:color w:val="000000"/>
          <w:sz w:val="20"/>
          <w:szCs w:val="20"/>
        </w:rPr>
      </w:pPr>
    </w:p>
    <w:p w:rsidR="00122E39" w:rsidRDefault="00122E39">
      <w:pPr>
        <w:rPr>
          <w:rFonts w:ascii="Arial" w:hAnsi="Arial"/>
          <w:color w:val="000000"/>
          <w:sz w:val="20"/>
          <w:szCs w:val="20"/>
        </w:rPr>
      </w:pPr>
    </w:p>
    <w:p w:rsidR="001B1A0A" w:rsidRDefault="001B1A0A">
      <w:pPr>
        <w:rPr>
          <w:rFonts w:ascii="Arial" w:hAnsi="Arial"/>
          <w:color w:val="000000"/>
          <w:sz w:val="20"/>
          <w:szCs w:val="20"/>
        </w:rPr>
      </w:pPr>
      <w:r>
        <w:rPr>
          <w:rFonts w:ascii="Arial" w:hAnsi="Arial"/>
          <w:color w:val="000000"/>
          <w:sz w:val="20"/>
          <w:szCs w:val="20"/>
        </w:rPr>
        <w:br w:type="page"/>
      </w:r>
    </w:p>
    <w:tbl>
      <w:tblPr>
        <w:tblW w:w="7088" w:type="dxa"/>
        <w:tblInd w:w="108" w:type="dxa"/>
        <w:tblLook w:val="04A0" w:firstRow="1" w:lastRow="0" w:firstColumn="1" w:lastColumn="0" w:noHBand="0" w:noVBand="1"/>
      </w:tblPr>
      <w:tblGrid>
        <w:gridCol w:w="7088"/>
      </w:tblGrid>
      <w:tr w:rsidR="001B1A0A" w:rsidRPr="00C11523" w:rsidTr="008F4DD7">
        <w:trPr>
          <w:trHeight w:val="371"/>
        </w:trPr>
        <w:tc>
          <w:tcPr>
            <w:tcW w:w="7088" w:type="dxa"/>
            <w:shd w:val="clear" w:color="auto" w:fill="auto"/>
            <w:noWrap/>
            <w:hideMark/>
          </w:tcPr>
          <w:p w:rsidR="001B1A0A" w:rsidRPr="00C11523" w:rsidRDefault="001B1A0A" w:rsidP="008F4DD7">
            <w:pPr>
              <w:ind w:left="-108"/>
              <w:rPr>
                <w:b/>
                <w:sz w:val="20"/>
              </w:rPr>
            </w:pPr>
            <w:r w:rsidRPr="00C11523">
              <w:rPr>
                <w:b/>
                <w:sz w:val="20"/>
              </w:rPr>
              <w:lastRenderedPageBreak/>
              <w:t>OFFICE OF PARLIAMENTARY COUNSEL</w:t>
            </w:r>
          </w:p>
        </w:tc>
      </w:tr>
      <w:tr w:rsidR="001B1A0A" w:rsidRPr="00E2051D" w:rsidTr="008F4DD7">
        <w:trPr>
          <w:trHeight w:val="267"/>
        </w:trPr>
        <w:tc>
          <w:tcPr>
            <w:tcW w:w="7088" w:type="dxa"/>
            <w:shd w:val="clear" w:color="auto" w:fill="A6A6A6" w:themeFill="background1" w:themeFillShade="A6"/>
            <w:noWrap/>
            <w:vAlign w:val="bottom"/>
          </w:tcPr>
          <w:p w:rsidR="001B1A0A" w:rsidRPr="001B1A0A" w:rsidRDefault="001B1A0A" w:rsidP="008F4DD7">
            <w:pPr>
              <w:rPr>
                <w:rFonts w:ascii="Arial" w:hAnsi="Arial" w:cs="Arial"/>
                <w:b/>
                <w:bCs/>
                <w:color w:val="FFFFFF" w:themeColor="background1"/>
                <w:sz w:val="18"/>
                <w:szCs w:val="18"/>
              </w:rPr>
            </w:pPr>
            <w:r w:rsidRPr="001B1A0A">
              <w:rPr>
                <w:rFonts w:ascii="Arial" w:hAnsi="Arial" w:cs="Arial"/>
                <w:b/>
                <w:bCs/>
                <w:color w:val="FFFFFF" w:themeColor="background1"/>
                <w:sz w:val="18"/>
                <w:szCs w:val="18"/>
              </w:rPr>
              <w:t>CONTENTS</w:t>
            </w:r>
          </w:p>
        </w:tc>
      </w:tr>
      <w:tr w:rsidR="001B1A0A" w:rsidRPr="001B1A0A" w:rsidTr="008F4DD7">
        <w:trPr>
          <w:trHeight w:val="132"/>
        </w:trPr>
        <w:tc>
          <w:tcPr>
            <w:tcW w:w="7088" w:type="dxa"/>
            <w:shd w:val="clear" w:color="auto" w:fill="auto"/>
            <w:noWrap/>
            <w:vAlign w:val="bottom"/>
          </w:tcPr>
          <w:p w:rsidR="001B1A0A" w:rsidRPr="001B1A0A" w:rsidRDefault="001B1A0A" w:rsidP="008F4DD7">
            <w:pPr>
              <w:rPr>
                <w:b/>
                <w:sz w:val="18"/>
                <w:szCs w:val="18"/>
              </w:rPr>
            </w:pPr>
          </w:p>
        </w:tc>
      </w:tr>
      <w:tr w:rsidR="001B1A0A" w:rsidRPr="001B1A0A" w:rsidTr="008F4DD7">
        <w:trPr>
          <w:trHeight w:val="267"/>
        </w:trPr>
        <w:tc>
          <w:tcPr>
            <w:tcW w:w="7088" w:type="dxa"/>
            <w:shd w:val="clear" w:color="auto" w:fill="auto"/>
            <w:noWrap/>
            <w:vAlign w:val="bottom"/>
          </w:tcPr>
          <w:p w:rsidR="001B1A0A" w:rsidRPr="001B1A0A" w:rsidRDefault="001B1A0A" w:rsidP="008F4DD7">
            <w:pPr>
              <w:rPr>
                <w:b/>
                <w:sz w:val="22"/>
                <w:szCs w:val="22"/>
              </w:rPr>
            </w:pPr>
            <w:r w:rsidRPr="001B1A0A">
              <w:rPr>
                <w:b/>
                <w:sz w:val="22"/>
                <w:szCs w:val="22"/>
              </w:rPr>
              <w:t>Primary Financial Statements</w:t>
            </w:r>
          </w:p>
        </w:tc>
      </w:tr>
      <w:tr w:rsidR="001B1A0A" w:rsidRPr="001B1A0A" w:rsidTr="008F4DD7">
        <w:trPr>
          <w:trHeight w:val="267"/>
        </w:trPr>
        <w:tc>
          <w:tcPr>
            <w:tcW w:w="7088" w:type="dxa"/>
            <w:shd w:val="clear" w:color="auto" w:fill="auto"/>
            <w:noWrap/>
            <w:vAlign w:val="bottom"/>
            <w:hideMark/>
          </w:tcPr>
          <w:p w:rsidR="001B1A0A" w:rsidRPr="001B1A0A" w:rsidRDefault="001B1A0A" w:rsidP="008F4DD7">
            <w:pPr>
              <w:rPr>
                <w:sz w:val="18"/>
                <w:szCs w:val="18"/>
              </w:rPr>
            </w:pPr>
            <w:r w:rsidRPr="001B1A0A">
              <w:rPr>
                <w:sz w:val="18"/>
                <w:szCs w:val="18"/>
              </w:rPr>
              <w:t>Statement of Comprehensive Income</w:t>
            </w:r>
          </w:p>
          <w:p w:rsidR="001B1A0A" w:rsidRPr="001B1A0A" w:rsidRDefault="001B1A0A" w:rsidP="008F4DD7">
            <w:pPr>
              <w:rPr>
                <w:sz w:val="18"/>
                <w:szCs w:val="18"/>
              </w:rPr>
            </w:pPr>
            <w:r w:rsidRPr="001B1A0A">
              <w:rPr>
                <w:sz w:val="18"/>
                <w:szCs w:val="18"/>
              </w:rPr>
              <w:t>Statement of Financial Position</w:t>
            </w:r>
          </w:p>
          <w:p w:rsidR="001B1A0A" w:rsidRPr="001B1A0A" w:rsidRDefault="001B1A0A" w:rsidP="008F4DD7">
            <w:pPr>
              <w:rPr>
                <w:sz w:val="18"/>
                <w:szCs w:val="18"/>
              </w:rPr>
            </w:pPr>
            <w:r w:rsidRPr="001B1A0A">
              <w:rPr>
                <w:sz w:val="18"/>
                <w:szCs w:val="18"/>
              </w:rPr>
              <w:t>Statement of Changes in Equity</w:t>
            </w:r>
          </w:p>
          <w:p w:rsidR="001B1A0A" w:rsidRPr="001B1A0A" w:rsidRDefault="001B1A0A" w:rsidP="008F4DD7">
            <w:pPr>
              <w:rPr>
                <w:sz w:val="18"/>
                <w:szCs w:val="18"/>
              </w:rPr>
            </w:pPr>
            <w:r w:rsidRPr="001B1A0A">
              <w:rPr>
                <w:sz w:val="18"/>
                <w:szCs w:val="18"/>
              </w:rPr>
              <w:t>Cash Flow Statement</w:t>
            </w:r>
          </w:p>
          <w:p w:rsidR="001B1A0A" w:rsidRPr="001B1A0A" w:rsidRDefault="001B1A0A" w:rsidP="008F4DD7">
            <w:pPr>
              <w:ind w:left="720"/>
              <w:rPr>
                <w:sz w:val="18"/>
                <w:szCs w:val="18"/>
              </w:rPr>
            </w:pPr>
          </w:p>
        </w:tc>
      </w:tr>
      <w:tr w:rsidR="001B1A0A" w:rsidRPr="001B1A0A" w:rsidTr="008F4DD7">
        <w:trPr>
          <w:trHeight w:val="201"/>
        </w:trPr>
        <w:tc>
          <w:tcPr>
            <w:tcW w:w="7088" w:type="dxa"/>
            <w:shd w:val="clear" w:color="auto" w:fill="auto"/>
            <w:noWrap/>
            <w:vAlign w:val="bottom"/>
          </w:tcPr>
          <w:p w:rsidR="001B1A0A" w:rsidRPr="001B1A0A" w:rsidRDefault="001B1A0A" w:rsidP="008F4DD7">
            <w:pPr>
              <w:rPr>
                <w:b/>
                <w:sz w:val="22"/>
                <w:szCs w:val="18"/>
              </w:rPr>
            </w:pPr>
            <w:r w:rsidRPr="001B1A0A">
              <w:rPr>
                <w:b/>
                <w:sz w:val="22"/>
                <w:szCs w:val="18"/>
              </w:rPr>
              <w:t>Notes to and forming part of the Financial Statements</w:t>
            </w:r>
          </w:p>
          <w:p w:rsidR="001B1A0A" w:rsidRPr="001B1A0A" w:rsidRDefault="001B1A0A" w:rsidP="008F4DD7">
            <w:pPr>
              <w:spacing w:before="60"/>
              <w:rPr>
                <w:b/>
                <w:sz w:val="18"/>
                <w:szCs w:val="18"/>
              </w:rPr>
            </w:pPr>
            <w:r w:rsidRPr="001B1A0A">
              <w:rPr>
                <w:b/>
                <w:sz w:val="18"/>
                <w:szCs w:val="18"/>
              </w:rPr>
              <w:t>Overview</w:t>
            </w:r>
          </w:p>
        </w:tc>
      </w:tr>
      <w:tr w:rsidR="001B1A0A" w:rsidRPr="001B1A0A" w:rsidTr="008F4DD7">
        <w:trPr>
          <w:trHeight w:val="201"/>
        </w:trPr>
        <w:tc>
          <w:tcPr>
            <w:tcW w:w="7088" w:type="dxa"/>
            <w:shd w:val="clear" w:color="auto" w:fill="auto"/>
            <w:noWrap/>
            <w:vAlign w:val="bottom"/>
          </w:tcPr>
          <w:p w:rsidR="001B1A0A" w:rsidRPr="001B1A0A" w:rsidRDefault="001B1A0A" w:rsidP="008F4DD7">
            <w:pPr>
              <w:spacing w:before="60"/>
              <w:rPr>
                <w:b/>
                <w:sz w:val="18"/>
                <w:szCs w:val="18"/>
              </w:rPr>
            </w:pPr>
            <w:r w:rsidRPr="001B1A0A">
              <w:rPr>
                <w:b/>
                <w:sz w:val="18"/>
                <w:szCs w:val="18"/>
              </w:rPr>
              <w:t>Budget Variance Explanations</w:t>
            </w:r>
          </w:p>
        </w:tc>
      </w:tr>
      <w:tr w:rsidR="001B1A0A" w:rsidRPr="001B1A0A" w:rsidTr="008F4DD7">
        <w:trPr>
          <w:trHeight w:val="267"/>
        </w:trPr>
        <w:tc>
          <w:tcPr>
            <w:tcW w:w="7088" w:type="dxa"/>
            <w:shd w:val="clear" w:color="auto" w:fill="auto"/>
            <w:noWrap/>
            <w:vAlign w:val="bottom"/>
          </w:tcPr>
          <w:p w:rsidR="001B1A0A" w:rsidRPr="001B1A0A" w:rsidRDefault="001B1A0A" w:rsidP="008F4DD7">
            <w:pPr>
              <w:spacing w:before="60"/>
              <w:rPr>
                <w:b/>
                <w:sz w:val="18"/>
                <w:szCs w:val="18"/>
              </w:rPr>
            </w:pPr>
            <w:r w:rsidRPr="001B1A0A">
              <w:rPr>
                <w:b/>
                <w:sz w:val="18"/>
                <w:szCs w:val="18"/>
              </w:rPr>
              <w:t>1: Financial Performance</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1.1 Expenses</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1.2 Income</w:t>
            </w:r>
          </w:p>
        </w:tc>
      </w:tr>
      <w:tr w:rsidR="001B1A0A" w:rsidRPr="001B1A0A" w:rsidTr="008F4DD7">
        <w:trPr>
          <w:trHeight w:val="267"/>
        </w:trPr>
        <w:tc>
          <w:tcPr>
            <w:tcW w:w="7088" w:type="dxa"/>
            <w:shd w:val="clear" w:color="auto" w:fill="auto"/>
            <w:noWrap/>
            <w:vAlign w:val="bottom"/>
          </w:tcPr>
          <w:p w:rsidR="001B1A0A" w:rsidRPr="001B1A0A" w:rsidRDefault="001B1A0A" w:rsidP="008F4DD7">
            <w:pPr>
              <w:rPr>
                <w:b/>
                <w:sz w:val="18"/>
                <w:szCs w:val="18"/>
              </w:rPr>
            </w:pPr>
            <w:r w:rsidRPr="001B1A0A">
              <w:rPr>
                <w:b/>
                <w:sz w:val="18"/>
                <w:szCs w:val="18"/>
              </w:rPr>
              <w:t>2: Financial Position</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2.1 Financial Assets</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2.2 Non-Financial Assets</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2.3 Payables</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2.4 Other Provisions</w:t>
            </w:r>
          </w:p>
        </w:tc>
      </w:tr>
      <w:tr w:rsidR="001B1A0A" w:rsidRPr="001B1A0A" w:rsidTr="008F4DD7">
        <w:trPr>
          <w:trHeight w:val="267"/>
        </w:trPr>
        <w:tc>
          <w:tcPr>
            <w:tcW w:w="7088" w:type="dxa"/>
            <w:shd w:val="clear" w:color="auto" w:fill="auto"/>
            <w:noWrap/>
            <w:vAlign w:val="bottom"/>
          </w:tcPr>
          <w:p w:rsidR="001B1A0A" w:rsidRPr="001B1A0A" w:rsidRDefault="001B1A0A" w:rsidP="008F4DD7">
            <w:pPr>
              <w:rPr>
                <w:b/>
                <w:sz w:val="18"/>
                <w:szCs w:val="18"/>
              </w:rPr>
            </w:pPr>
            <w:r w:rsidRPr="001B1A0A">
              <w:rPr>
                <w:b/>
                <w:sz w:val="18"/>
                <w:szCs w:val="18"/>
              </w:rPr>
              <w:t>3: Funding</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3.1 Appropriations</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3.2 Net Cash Appropriation Arrangements</w:t>
            </w:r>
          </w:p>
        </w:tc>
      </w:tr>
      <w:tr w:rsidR="001B1A0A" w:rsidRPr="001B1A0A" w:rsidTr="008F4DD7">
        <w:trPr>
          <w:trHeight w:val="267"/>
        </w:trPr>
        <w:tc>
          <w:tcPr>
            <w:tcW w:w="7088" w:type="dxa"/>
            <w:shd w:val="clear" w:color="auto" w:fill="auto"/>
            <w:noWrap/>
            <w:vAlign w:val="bottom"/>
          </w:tcPr>
          <w:p w:rsidR="001B1A0A" w:rsidRPr="001B1A0A" w:rsidRDefault="001B1A0A" w:rsidP="008F4DD7">
            <w:pPr>
              <w:rPr>
                <w:b/>
                <w:sz w:val="18"/>
                <w:szCs w:val="18"/>
              </w:rPr>
            </w:pPr>
            <w:r w:rsidRPr="001B1A0A">
              <w:rPr>
                <w:b/>
                <w:sz w:val="18"/>
                <w:szCs w:val="18"/>
              </w:rPr>
              <w:t>4: People and Relationships</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4.1 Employee Provisions</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4.2 Key Management Personnel Remuneration</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4.3 Related Party Disclosures</w:t>
            </w:r>
          </w:p>
        </w:tc>
      </w:tr>
      <w:tr w:rsidR="001B1A0A" w:rsidRPr="001B1A0A" w:rsidTr="008F4DD7">
        <w:trPr>
          <w:trHeight w:val="267"/>
        </w:trPr>
        <w:tc>
          <w:tcPr>
            <w:tcW w:w="7088" w:type="dxa"/>
            <w:shd w:val="clear" w:color="auto" w:fill="auto"/>
            <w:noWrap/>
            <w:vAlign w:val="bottom"/>
          </w:tcPr>
          <w:p w:rsidR="001B1A0A" w:rsidRPr="001B1A0A" w:rsidRDefault="001B1A0A" w:rsidP="008F4DD7">
            <w:pPr>
              <w:rPr>
                <w:b/>
                <w:sz w:val="18"/>
                <w:szCs w:val="18"/>
              </w:rPr>
            </w:pPr>
            <w:r w:rsidRPr="001B1A0A">
              <w:rPr>
                <w:b/>
                <w:sz w:val="18"/>
                <w:szCs w:val="18"/>
              </w:rPr>
              <w:t>5: Managing Uncertainties</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sz w:val="18"/>
                <w:szCs w:val="18"/>
              </w:rPr>
            </w:pPr>
            <w:r w:rsidRPr="001B1A0A">
              <w:rPr>
                <w:sz w:val="18"/>
                <w:szCs w:val="18"/>
              </w:rPr>
              <w:t>5.1 Financial Instruments</w:t>
            </w:r>
          </w:p>
        </w:tc>
      </w:tr>
      <w:tr w:rsidR="001B1A0A" w:rsidRPr="001B1A0A" w:rsidTr="008F4DD7">
        <w:trPr>
          <w:trHeight w:val="267"/>
        </w:trPr>
        <w:tc>
          <w:tcPr>
            <w:tcW w:w="7088" w:type="dxa"/>
            <w:shd w:val="clear" w:color="auto" w:fill="auto"/>
            <w:noWrap/>
            <w:vAlign w:val="bottom"/>
          </w:tcPr>
          <w:p w:rsidR="001B1A0A" w:rsidRPr="001B1A0A" w:rsidRDefault="001B1A0A" w:rsidP="008F4DD7">
            <w:pPr>
              <w:ind w:left="720"/>
              <w:rPr>
                <w:color w:val="000000"/>
                <w:sz w:val="18"/>
                <w:szCs w:val="18"/>
              </w:rPr>
            </w:pPr>
            <w:r w:rsidRPr="001B1A0A">
              <w:rPr>
                <w:color w:val="000000"/>
                <w:sz w:val="18"/>
                <w:szCs w:val="18"/>
              </w:rPr>
              <w:t>5.2 Fair Value Measurement</w:t>
            </w:r>
          </w:p>
        </w:tc>
      </w:tr>
    </w:tbl>
    <w:p w:rsidR="001B1A0A" w:rsidRDefault="001B1A0A">
      <w:pPr>
        <w:rPr>
          <w:rFonts w:ascii="Arial" w:hAnsi="Arial"/>
          <w:color w:val="000000"/>
          <w:sz w:val="20"/>
          <w:szCs w:val="20"/>
        </w:rPr>
      </w:pPr>
      <w:r>
        <w:rPr>
          <w:rFonts w:ascii="Arial" w:hAnsi="Arial"/>
          <w:color w:val="000000"/>
          <w:sz w:val="20"/>
          <w:szCs w:val="20"/>
        </w:rPr>
        <w:br w:type="page"/>
      </w:r>
    </w:p>
    <w:p w:rsidR="00007805" w:rsidRDefault="00007805">
      <w:pPr>
        <w:rPr>
          <w:rFonts w:ascii="Arial" w:hAnsi="Arial"/>
          <w:color w:val="000000"/>
          <w:sz w:val="20"/>
          <w:szCs w:val="20"/>
        </w:rPr>
      </w:pPr>
    </w:p>
    <w:p w:rsidR="00DC7B00" w:rsidRDefault="0098792D" w:rsidP="00DC7B00">
      <w:pPr>
        <w:spacing w:before="120"/>
        <w:ind w:right="1366"/>
      </w:pPr>
      <w:r w:rsidRPr="0098792D">
        <w:rPr>
          <w:noProof/>
        </w:rPr>
        <w:drawing>
          <wp:inline distT="0" distB="0" distL="0" distR="0" wp14:anchorId="62D9BBE8" wp14:editId="560A9FA0">
            <wp:extent cx="4500245" cy="5472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00245" cy="5472501"/>
                    </a:xfrm>
                    <a:prstGeom prst="rect">
                      <a:avLst/>
                    </a:prstGeom>
                    <a:noFill/>
                    <a:ln>
                      <a:noFill/>
                    </a:ln>
                  </pic:spPr>
                </pic:pic>
              </a:graphicData>
            </a:graphic>
          </wp:inline>
        </w:drawing>
      </w:r>
    </w:p>
    <w:p w:rsidR="00DC7B00" w:rsidRPr="00913E30" w:rsidRDefault="00913E30" w:rsidP="00624931">
      <w:pPr>
        <w:spacing w:before="120"/>
        <w:ind w:right="-2410"/>
        <w:rPr>
          <w:sz w:val="18"/>
          <w:szCs w:val="18"/>
        </w:rPr>
      </w:pPr>
      <w:r>
        <w:rPr>
          <w:sz w:val="18"/>
          <w:szCs w:val="18"/>
        </w:rPr>
        <w:t xml:space="preserve"> </w:t>
      </w:r>
      <w:r w:rsidRPr="00913E30">
        <w:rPr>
          <w:sz w:val="18"/>
          <w:szCs w:val="18"/>
        </w:rPr>
        <w:t>The above statement should be read in co</w:t>
      </w:r>
      <w:r>
        <w:rPr>
          <w:sz w:val="18"/>
          <w:szCs w:val="18"/>
        </w:rPr>
        <w:t>njunction with the accompany</w:t>
      </w:r>
      <w:r w:rsidR="00624931">
        <w:rPr>
          <w:sz w:val="18"/>
          <w:szCs w:val="18"/>
        </w:rPr>
        <w:t>ing</w:t>
      </w:r>
      <w:r>
        <w:rPr>
          <w:sz w:val="18"/>
          <w:szCs w:val="18"/>
        </w:rPr>
        <w:t xml:space="preserve"> </w:t>
      </w:r>
      <w:r w:rsidR="00624931">
        <w:rPr>
          <w:sz w:val="18"/>
          <w:szCs w:val="18"/>
        </w:rPr>
        <w:t>notes.</w:t>
      </w:r>
    </w:p>
    <w:p w:rsidR="00DC7B00" w:rsidRDefault="008946ED" w:rsidP="00DC7B00">
      <w:pPr>
        <w:spacing w:before="120"/>
      </w:pPr>
      <w:r>
        <w:rPr>
          <w:noProof/>
          <w:sz w:val="20"/>
        </w:rPr>
        <w:lastRenderedPageBreak/>
        <w:drawing>
          <wp:inline distT="0" distB="0" distL="0" distR="0">
            <wp:extent cx="4500245" cy="6213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00245" cy="6213299"/>
                    </a:xfrm>
                    <a:prstGeom prst="rect">
                      <a:avLst/>
                    </a:prstGeom>
                    <a:noFill/>
                    <a:ln>
                      <a:noFill/>
                    </a:ln>
                  </pic:spPr>
                </pic:pic>
              </a:graphicData>
            </a:graphic>
          </wp:inline>
        </w:drawing>
      </w:r>
    </w:p>
    <w:p w:rsidR="00983B3C" w:rsidRPr="00913E30" w:rsidRDefault="00983B3C" w:rsidP="00983B3C">
      <w:pPr>
        <w:spacing w:before="120"/>
        <w:ind w:right="-2410"/>
        <w:rPr>
          <w:sz w:val="18"/>
          <w:szCs w:val="18"/>
        </w:rPr>
      </w:pPr>
      <w:r>
        <w:rPr>
          <w:sz w:val="18"/>
          <w:szCs w:val="18"/>
        </w:rPr>
        <w:t xml:space="preserve"> </w:t>
      </w:r>
      <w:r w:rsidRPr="00913E30">
        <w:rPr>
          <w:sz w:val="18"/>
          <w:szCs w:val="18"/>
        </w:rPr>
        <w:t>The above statement should be read in co</w:t>
      </w:r>
      <w:r>
        <w:rPr>
          <w:sz w:val="18"/>
          <w:szCs w:val="18"/>
        </w:rPr>
        <w:t>njunction with the accompanying notes.</w:t>
      </w:r>
    </w:p>
    <w:p w:rsidR="00983B3C" w:rsidRDefault="00983B3C" w:rsidP="00DC7B00">
      <w:pPr>
        <w:spacing w:before="120"/>
      </w:pPr>
    </w:p>
    <w:p w:rsidR="00DC7B00" w:rsidRDefault="00DC7B00" w:rsidP="00983B3C">
      <w:pPr>
        <w:jc w:val="both"/>
      </w:pPr>
      <w:r>
        <w:br w:type="page"/>
      </w:r>
    </w:p>
    <w:p w:rsidR="008161CD" w:rsidRDefault="009C2BEB" w:rsidP="009C2BEB">
      <w:pPr>
        <w:spacing w:before="120"/>
        <w:jc w:val="center"/>
        <w:rPr>
          <w:noProof/>
        </w:rPr>
      </w:pPr>
      <w:r w:rsidRPr="00E47221">
        <w:rPr>
          <w:noProof/>
        </w:rPr>
        <w:lastRenderedPageBreak/>
        <w:drawing>
          <wp:inline distT="0" distB="0" distL="0" distR="0" wp14:anchorId="2A91643E" wp14:editId="26BF687B">
            <wp:extent cx="7084416" cy="3881282"/>
            <wp:effectExtent l="127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11010" b="4323"/>
                    <a:stretch/>
                  </pic:blipFill>
                  <pic:spPr bwMode="auto">
                    <a:xfrm rot="16200000">
                      <a:off x="0" y="0"/>
                      <a:ext cx="7080181" cy="3878962"/>
                    </a:xfrm>
                    <a:prstGeom prst="rect">
                      <a:avLst/>
                    </a:prstGeom>
                    <a:noFill/>
                    <a:ln>
                      <a:noFill/>
                    </a:ln>
                    <a:extLst>
                      <a:ext uri="{53640926-AAD7-44D8-BBD7-CCE9431645EC}">
                        <a14:shadowObscured xmlns:a14="http://schemas.microsoft.com/office/drawing/2010/main"/>
                      </a:ext>
                    </a:extLst>
                  </pic:spPr>
                </pic:pic>
              </a:graphicData>
            </a:graphic>
          </wp:inline>
        </w:drawing>
      </w:r>
      <w:r w:rsidR="008161CD">
        <w:rPr>
          <w:noProof/>
        </w:rPr>
        <w:br w:type="page"/>
      </w:r>
    </w:p>
    <w:p w:rsidR="00DC7B00" w:rsidRDefault="008946ED" w:rsidP="00DC7B00">
      <w:pPr>
        <w:spacing w:before="120"/>
        <w:ind w:right="1366"/>
      </w:pPr>
      <w:r w:rsidRPr="008946ED">
        <w:rPr>
          <w:noProof/>
        </w:rPr>
        <w:lastRenderedPageBreak/>
        <w:drawing>
          <wp:inline distT="0" distB="0" distL="0" distR="0" wp14:anchorId="6A38785E" wp14:editId="136EA07E">
            <wp:extent cx="4500245" cy="61271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00245" cy="6127183"/>
                    </a:xfrm>
                    <a:prstGeom prst="rect">
                      <a:avLst/>
                    </a:prstGeom>
                    <a:noFill/>
                    <a:ln>
                      <a:noFill/>
                    </a:ln>
                  </pic:spPr>
                </pic:pic>
              </a:graphicData>
            </a:graphic>
          </wp:inline>
        </w:drawing>
      </w:r>
    </w:p>
    <w:p w:rsidR="00983B3C" w:rsidRPr="00913E30" w:rsidRDefault="00983B3C" w:rsidP="00983B3C">
      <w:pPr>
        <w:spacing w:before="120"/>
        <w:ind w:right="-2410"/>
        <w:rPr>
          <w:sz w:val="18"/>
          <w:szCs w:val="18"/>
        </w:rPr>
      </w:pPr>
      <w:r>
        <w:rPr>
          <w:sz w:val="18"/>
          <w:szCs w:val="18"/>
        </w:rPr>
        <w:t xml:space="preserve"> </w:t>
      </w:r>
      <w:r w:rsidRPr="00913E30">
        <w:rPr>
          <w:sz w:val="18"/>
          <w:szCs w:val="18"/>
        </w:rPr>
        <w:t>The above statement should be read in co</w:t>
      </w:r>
      <w:r>
        <w:rPr>
          <w:sz w:val="18"/>
          <w:szCs w:val="18"/>
        </w:rPr>
        <w:t>njunction with the accompanying notes.</w:t>
      </w:r>
    </w:p>
    <w:p w:rsidR="00983B3C" w:rsidRPr="005576E0" w:rsidRDefault="00983B3C" w:rsidP="008161CD">
      <w:pPr>
        <w:spacing w:before="120"/>
        <w:ind w:right="1366"/>
        <w:sectPr w:rsidR="00983B3C" w:rsidRPr="005576E0" w:rsidSect="00E61F4C">
          <w:pgSz w:w="11907" w:h="16839" w:code="9"/>
          <w:pgMar w:top="1134" w:right="2410" w:bottom="4253" w:left="2410" w:header="510" w:footer="3402" w:gutter="0"/>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7088"/>
      </w:tblGrid>
      <w:tr w:rsidR="008161CD" w:rsidRPr="00412F3D" w:rsidTr="00C51461">
        <w:trPr>
          <w:trHeight w:val="243"/>
        </w:trPr>
        <w:tc>
          <w:tcPr>
            <w:tcW w:w="7088" w:type="dxa"/>
            <w:shd w:val="clear" w:color="auto" w:fill="A6A6A6" w:themeFill="background1" w:themeFillShade="A6"/>
          </w:tcPr>
          <w:p w:rsidR="008161CD" w:rsidRPr="00412F3D" w:rsidRDefault="00C51461" w:rsidP="008161CD">
            <w:pPr>
              <w:tabs>
                <w:tab w:val="left" w:pos="6112"/>
              </w:tabs>
              <w:spacing w:before="120"/>
              <w:rPr>
                <w:rFonts w:ascii="Arial" w:hAnsi="Arial" w:cs="Arial"/>
                <w:b/>
                <w:bCs/>
                <w:sz w:val="18"/>
                <w:szCs w:val="18"/>
              </w:rPr>
            </w:pPr>
            <w:r>
              <w:rPr>
                <w:rFonts w:ascii="Arial" w:hAnsi="Arial" w:cs="Arial"/>
                <w:b/>
                <w:bCs/>
                <w:sz w:val="18"/>
                <w:szCs w:val="18"/>
              </w:rPr>
              <w:lastRenderedPageBreak/>
              <w:t>OVERVIEW</w:t>
            </w:r>
          </w:p>
        </w:tc>
      </w:tr>
    </w:tbl>
    <w:p w:rsidR="000A7177" w:rsidRPr="00107997" w:rsidRDefault="000A7177" w:rsidP="000A7177">
      <w:pPr>
        <w:tabs>
          <w:tab w:val="left" w:pos="6112"/>
        </w:tabs>
        <w:spacing w:before="60"/>
        <w:ind w:left="108"/>
        <w:rPr>
          <w:rFonts w:ascii="Arial" w:hAnsi="Arial" w:cs="Arial"/>
          <w:sz w:val="20"/>
        </w:rPr>
      </w:pPr>
      <w:r>
        <w:rPr>
          <w:b/>
          <w:bCs/>
          <w:sz w:val="18"/>
          <w:szCs w:val="18"/>
        </w:rPr>
        <w:t>1</w:t>
      </w:r>
      <w:r w:rsidRPr="00107997">
        <w:rPr>
          <w:b/>
          <w:bCs/>
          <w:sz w:val="18"/>
          <w:szCs w:val="18"/>
        </w:rPr>
        <w:t xml:space="preserve">   Basis of Preparation of the Financial Statements</w:t>
      </w:r>
    </w:p>
    <w:p w:rsidR="000A7177" w:rsidRPr="00107997" w:rsidRDefault="000A7177" w:rsidP="000A7177">
      <w:pPr>
        <w:spacing w:before="60"/>
        <w:ind w:left="108"/>
        <w:rPr>
          <w:sz w:val="18"/>
          <w:szCs w:val="18"/>
        </w:rPr>
      </w:pPr>
      <w:r w:rsidRPr="00107997">
        <w:rPr>
          <w:sz w:val="18"/>
          <w:szCs w:val="18"/>
        </w:rPr>
        <w:t xml:space="preserve">The Financial Statements and notes are general purpose financial statements and are required by section 42 of the </w:t>
      </w:r>
      <w:r w:rsidRPr="00107997">
        <w:rPr>
          <w:i/>
          <w:sz w:val="18"/>
          <w:szCs w:val="18"/>
        </w:rPr>
        <w:t>Public Governance, Performance and Accountability Act 2013.</w:t>
      </w:r>
    </w:p>
    <w:p w:rsidR="000A7177" w:rsidRPr="00107997" w:rsidRDefault="000A7177" w:rsidP="000A7177">
      <w:pPr>
        <w:spacing w:before="60"/>
        <w:ind w:left="108"/>
        <w:rPr>
          <w:sz w:val="18"/>
          <w:szCs w:val="18"/>
        </w:rPr>
      </w:pPr>
      <w:r w:rsidRPr="00107997">
        <w:rPr>
          <w:sz w:val="18"/>
          <w:szCs w:val="18"/>
        </w:rPr>
        <w:t>The Financial Statements have been prepared in accordance with:</w:t>
      </w:r>
    </w:p>
    <w:p w:rsidR="000A7177" w:rsidRPr="00107997" w:rsidRDefault="000A7177" w:rsidP="000A7177">
      <w:pPr>
        <w:pStyle w:val="BodyParaBullet"/>
        <w:numPr>
          <w:ilvl w:val="2"/>
          <w:numId w:val="16"/>
        </w:numPr>
        <w:spacing w:before="60" w:line="240" w:lineRule="auto"/>
        <w:ind w:left="794" w:hanging="284"/>
        <w:rPr>
          <w:szCs w:val="18"/>
        </w:rPr>
      </w:pPr>
      <w:r w:rsidRPr="00107997">
        <w:rPr>
          <w:i/>
          <w:szCs w:val="18"/>
        </w:rPr>
        <w:t xml:space="preserve">Public Governance, </w:t>
      </w:r>
      <w:r>
        <w:rPr>
          <w:i/>
          <w:szCs w:val="18"/>
        </w:rPr>
        <w:t xml:space="preserve">Performance and Accountability Act 2013 </w:t>
      </w:r>
      <w:r w:rsidRPr="005316BF">
        <w:rPr>
          <w:i/>
          <w:szCs w:val="18"/>
        </w:rPr>
        <w:t xml:space="preserve">(Financial Reporting) </w:t>
      </w:r>
      <w:r>
        <w:rPr>
          <w:i/>
          <w:szCs w:val="18"/>
        </w:rPr>
        <w:t xml:space="preserve">Rule 2015 </w:t>
      </w:r>
      <w:r w:rsidRPr="00107997">
        <w:rPr>
          <w:szCs w:val="18"/>
        </w:rPr>
        <w:t>for reporting periods on or after 1 July 2015; and</w:t>
      </w:r>
    </w:p>
    <w:p w:rsidR="000A7177" w:rsidRPr="00107997" w:rsidRDefault="000A7177" w:rsidP="000A7177">
      <w:pPr>
        <w:pStyle w:val="BodyParaBullet"/>
        <w:numPr>
          <w:ilvl w:val="2"/>
          <w:numId w:val="16"/>
        </w:numPr>
        <w:spacing w:before="60" w:line="240" w:lineRule="auto"/>
        <w:ind w:left="794" w:hanging="284"/>
        <w:rPr>
          <w:szCs w:val="18"/>
        </w:rPr>
      </w:pPr>
      <w:r w:rsidRPr="00107997">
        <w:rPr>
          <w:szCs w:val="18"/>
        </w:rPr>
        <w:t>Australian Accounting Standards and Interpretations issued by the Australian Accounting Standards Board (</w:t>
      </w:r>
      <w:proofErr w:type="spellStart"/>
      <w:r w:rsidRPr="00107997">
        <w:rPr>
          <w:szCs w:val="18"/>
        </w:rPr>
        <w:t>AASB</w:t>
      </w:r>
      <w:proofErr w:type="spellEnd"/>
      <w:r w:rsidRPr="00107997">
        <w:rPr>
          <w:szCs w:val="18"/>
        </w:rPr>
        <w:t>) that apply for the reporting period.</w:t>
      </w:r>
    </w:p>
    <w:p w:rsidR="000A7177" w:rsidRPr="00107997" w:rsidRDefault="000A7177" w:rsidP="000A7177">
      <w:pPr>
        <w:spacing w:before="60"/>
        <w:ind w:left="108"/>
        <w:rPr>
          <w:sz w:val="18"/>
          <w:szCs w:val="18"/>
        </w:rPr>
      </w:pPr>
      <w:r w:rsidRPr="00107997">
        <w:rPr>
          <w:sz w:val="18"/>
          <w:szCs w:val="18"/>
        </w:rPr>
        <w:t>The Financial Statements have been prepared on an accrual basis and are in accordance with the historical cost convention, except for certain assets at fair value.  Except where stated, no allowance is made for the effect of changing prices on the results or the financial position.</w:t>
      </w:r>
    </w:p>
    <w:p w:rsidR="000A7177" w:rsidRPr="000B3646" w:rsidRDefault="000A7177" w:rsidP="000A7177">
      <w:pPr>
        <w:ind w:left="108"/>
        <w:rPr>
          <w:sz w:val="18"/>
          <w:szCs w:val="18"/>
        </w:rPr>
      </w:pPr>
      <w:r w:rsidRPr="00107997">
        <w:rPr>
          <w:sz w:val="18"/>
          <w:szCs w:val="18"/>
        </w:rPr>
        <w:t>The Financial Statements are presented in Australian dollars and values are rounded to the nearest thousand unless otherwise specified.</w:t>
      </w:r>
    </w:p>
    <w:p w:rsidR="000A7177" w:rsidRDefault="000A7177" w:rsidP="000A7177">
      <w:pPr>
        <w:spacing w:before="60"/>
        <w:rPr>
          <w:b/>
          <w:bCs/>
          <w:sz w:val="18"/>
          <w:szCs w:val="18"/>
        </w:rPr>
      </w:pPr>
      <w:r>
        <w:rPr>
          <w:b/>
          <w:bCs/>
          <w:sz w:val="18"/>
          <w:szCs w:val="18"/>
        </w:rPr>
        <w:t>2</w:t>
      </w:r>
      <w:r w:rsidRPr="00107997">
        <w:rPr>
          <w:b/>
          <w:bCs/>
          <w:sz w:val="18"/>
          <w:szCs w:val="18"/>
        </w:rPr>
        <w:t xml:space="preserve">   New Australian Accounting Standards</w:t>
      </w:r>
    </w:p>
    <w:p w:rsidR="000A7177" w:rsidRPr="00C277A7" w:rsidRDefault="000A7177" w:rsidP="000A7177">
      <w:pPr>
        <w:spacing w:before="60"/>
        <w:ind w:left="108"/>
        <w:rPr>
          <w:sz w:val="18"/>
          <w:szCs w:val="18"/>
        </w:rPr>
      </w:pPr>
      <w:r w:rsidRPr="00C277A7">
        <w:rPr>
          <w:sz w:val="18"/>
          <w:szCs w:val="18"/>
        </w:rPr>
        <w:t>The following new sta</w:t>
      </w:r>
      <w:r>
        <w:rPr>
          <w:sz w:val="18"/>
          <w:szCs w:val="18"/>
        </w:rPr>
        <w:t>ndard has been issued and is applicable to the current reporting period and had a material effect on the entity’s financial statements.</w:t>
      </w:r>
    </w:p>
    <w:p w:rsidR="000A7177" w:rsidRDefault="000A7177" w:rsidP="000A7177">
      <w:pPr>
        <w:tabs>
          <w:tab w:val="left" w:pos="6112"/>
        </w:tabs>
        <w:rPr>
          <w:b/>
          <w:bCs/>
          <w:i/>
          <w:iCs/>
          <w:sz w:val="18"/>
          <w:szCs w:val="18"/>
          <w:u w:val="single"/>
        </w:rPr>
      </w:pPr>
      <w:r w:rsidRPr="006D4A5D">
        <w:rPr>
          <w:b/>
          <w:bCs/>
          <w:i/>
          <w:iCs/>
          <w:sz w:val="18"/>
          <w:szCs w:val="18"/>
        </w:rPr>
        <w:t xml:space="preserve">  </w:t>
      </w:r>
      <w:r w:rsidRPr="00107997">
        <w:rPr>
          <w:b/>
          <w:bCs/>
          <w:i/>
          <w:iCs/>
          <w:sz w:val="18"/>
          <w:szCs w:val="18"/>
          <w:u w:val="single"/>
        </w:rPr>
        <w:t>Adoption of new Australian Accounting Standard requirements</w:t>
      </w:r>
    </w:p>
    <w:p w:rsidR="000A7177" w:rsidRPr="00A15637" w:rsidRDefault="000A7177" w:rsidP="000A7177">
      <w:pPr>
        <w:tabs>
          <w:tab w:val="left" w:pos="6112"/>
        </w:tabs>
        <w:spacing w:line="0" w:lineRule="atLeast"/>
        <w:rPr>
          <w:b/>
          <w:bCs/>
          <w:i/>
          <w:iCs/>
          <w:sz w:val="6"/>
          <w:szCs w:val="6"/>
          <w:u w:val="single"/>
        </w:rPr>
      </w:pPr>
    </w:p>
    <w:tbl>
      <w:tblPr>
        <w:tblStyle w:val="TableGrid"/>
        <w:tblW w:w="0" w:type="auto"/>
        <w:tblInd w:w="108" w:type="dxa"/>
        <w:tblLook w:val="04A0" w:firstRow="1" w:lastRow="0" w:firstColumn="1" w:lastColumn="0" w:noHBand="0" w:noVBand="1"/>
      </w:tblPr>
      <w:tblGrid>
        <w:gridCol w:w="1843"/>
        <w:gridCol w:w="1134"/>
        <w:gridCol w:w="4111"/>
      </w:tblGrid>
      <w:tr w:rsidR="000A7177" w:rsidRPr="00255A26" w:rsidTr="000A7177">
        <w:tc>
          <w:tcPr>
            <w:tcW w:w="1843" w:type="dxa"/>
          </w:tcPr>
          <w:p w:rsidR="000A7177" w:rsidRPr="00255A26" w:rsidRDefault="000A7177" w:rsidP="000A7177">
            <w:pPr>
              <w:tabs>
                <w:tab w:val="left" w:pos="6112"/>
              </w:tabs>
              <w:spacing w:before="60"/>
              <w:rPr>
                <w:b/>
                <w:sz w:val="18"/>
                <w:szCs w:val="18"/>
              </w:rPr>
            </w:pPr>
            <w:r w:rsidRPr="00255A26">
              <w:rPr>
                <w:b/>
                <w:sz w:val="18"/>
                <w:szCs w:val="18"/>
              </w:rPr>
              <w:t>Standard</w:t>
            </w:r>
          </w:p>
        </w:tc>
        <w:tc>
          <w:tcPr>
            <w:tcW w:w="1134" w:type="dxa"/>
          </w:tcPr>
          <w:p w:rsidR="000A7177" w:rsidRPr="00255A26" w:rsidRDefault="000A7177" w:rsidP="000A7177">
            <w:pPr>
              <w:tabs>
                <w:tab w:val="left" w:pos="6112"/>
              </w:tabs>
              <w:spacing w:before="60"/>
              <w:rPr>
                <w:b/>
                <w:sz w:val="18"/>
                <w:szCs w:val="18"/>
              </w:rPr>
            </w:pPr>
            <w:r w:rsidRPr="00255A26">
              <w:rPr>
                <w:b/>
                <w:sz w:val="18"/>
                <w:szCs w:val="18"/>
              </w:rPr>
              <w:t>Applicable from</w:t>
            </w:r>
          </w:p>
        </w:tc>
        <w:tc>
          <w:tcPr>
            <w:tcW w:w="4111" w:type="dxa"/>
          </w:tcPr>
          <w:p w:rsidR="000A7177" w:rsidRPr="00255A26" w:rsidRDefault="000A7177" w:rsidP="000A7177">
            <w:pPr>
              <w:tabs>
                <w:tab w:val="left" w:pos="6112"/>
              </w:tabs>
              <w:spacing w:before="60"/>
              <w:rPr>
                <w:b/>
                <w:sz w:val="18"/>
                <w:szCs w:val="18"/>
              </w:rPr>
            </w:pPr>
            <w:r w:rsidRPr="00255A26">
              <w:rPr>
                <w:b/>
                <w:sz w:val="18"/>
                <w:szCs w:val="18"/>
              </w:rPr>
              <w:t>Nature of impending change/s in accounting policy and likely impact on initial application</w:t>
            </w:r>
          </w:p>
        </w:tc>
      </w:tr>
      <w:tr w:rsidR="000A7177" w:rsidTr="000A7177">
        <w:tc>
          <w:tcPr>
            <w:tcW w:w="1843" w:type="dxa"/>
          </w:tcPr>
          <w:p w:rsidR="000A7177" w:rsidRDefault="000A7177" w:rsidP="000A7177">
            <w:pPr>
              <w:tabs>
                <w:tab w:val="left" w:pos="6112"/>
              </w:tabs>
              <w:spacing w:before="60"/>
              <w:rPr>
                <w:sz w:val="18"/>
                <w:szCs w:val="18"/>
              </w:rPr>
            </w:pPr>
            <w:proofErr w:type="spellStart"/>
            <w:r>
              <w:rPr>
                <w:sz w:val="18"/>
                <w:szCs w:val="18"/>
              </w:rPr>
              <w:t>AASB</w:t>
            </w:r>
            <w:proofErr w:type="spellEnd"/>
            <w:r>
              <w:rPr>
                <w:sz w:val="18"/>
                <w:szCs w:val="18"/>
              </w:rPr>
              <w:t xml:space="preserve"> 124</w:t>
            </w:r>
          </w:p>
          <w:p w:rsidR="000A7177" w:rsidRDefault="000A7177" w:rsidP="000A7177">
            <w:pPr>
              <w:tabs>
                <w:tab w:val="left" w:pos="6112"/>
              </w:tabs>
              <w:spacing w:before="60"/>
              <w:rPr>
                <w:sz w:val="18"/>
                <w:szCs w:val="18"/>
              </w:rPr>
            </w:pPr>
            <w:r>
              <w:rPr>
                <w:sz w:val="18"/>
                <w:szCs w:val="18"/>
              </w:rPr>
              <w:t>Related Party Disclosures</w:t>
            </w:r>
          </w:p>
        </w:tc>
        <w:tc>
          <w:tcPr>
            <w:tcW w:w="1134" w:type="dxa"/>
          </w:tcPr>
          <w:p w:rsidR="000A7177" w:rsidRDefault="000A7177" w:rsidP="000A7177">
            <w:pPr>
              <w:tabs>
                <w:tab w:val="left" w:pos="6112"/>
              </w:tabs>
              <w:spacing w:before="60"/>
              <w:rPr>
                <w:sz w:val="18"/>
                <w:szCs w:val="18"/>
              </w:rPr>
            </w:pPr>
            <w:r>
              <w:rPr>
                <w:sz w:val="18"/>
                <w:szCs w:val="18"/>
              </w:rPr>
              <w:t>1 July 2016</w:t>
            </w:r>
          </w:p>
        </w:tc>
        <w:tc>
          <w:tcPr>
            <w:tcW w:w="4111" w:type="dxa"/>
          </w:tcPr>
          <w:p w:rsidR="000A7177" w:rsidRDefault="000A7177" w:rsidP="000A7177">
            <w:pPr>
              <w:tabs>
                <w:tab w:val="left" w:pos="6112"/>
              </w:tabs>
              <w:spacing w:before="60"/>
              <w:rPr>
                <w:sz w:val="18"/>
                <w:szCs w:val="18"/>
              </w:rPr>
            </w:pPr>
            <w:r w:rsidRPr="00AB4484">
              <w:rPr>
                <w:sz w:val="18"/>
                <w:szCs w:val="18"/>
              </w:rPr>
              <w:t xml:space="preserve">In 2016-17, OPC applied the new accounting standard </w:t>
            </w:r>
            <w:proofErr w:type="spellStart"/>
            <w:r w:rsidRPr="00AB4484">
              <w:rPr>
                <w:sz w:val="18"/>
                <w:szCs w:val="18"/>
              </w:rPr>
              <w:t>AASB</w:t>
            </w:r>
            <w:proofErr w:type="spellEnd"/>
            <w:r w:rsidRPr="00AB4484">
              <w:rPr>
                <w:sz w:val="18"/>
                <w:szCs w:val="18"/>
              </w:rPr>
              <w:t xml:space="preserve"> 124 - Related Party Disclosures.  The Key Management Personnel remuneration and Related Party transactions are disclosed in Note 4.2 and Note 4.3 respectively.</w:t>
            </w:r>
          </w:p>
        </w:tc>
      </w:tr>
    </w:tbl>
    <w:p w:rsidR="000A7177" w:rsidRDefault="000A7177" w:rsidP="000A7177">
      <w:pPr>
        <w:rPr>
          <w:b/>
          <w:bCs/>
          <w:i/>
          <w:iCs/>
          <w:sz w:val="18"/>
          <w:szCs w:val="18"/>
          <w:u w:val="single"/>
        </w:rPr>
      </w:pPr>
      <w:r w:rsidRPr="006D4A5D">
        <w:rPr>
          <w:b/>
          <w:bCs/>
          <w:i/>
          <w:iCs/>
          <w:sz w:val="18"/>
          <w:szCs w:val="18"/>
        </w:rPr>
        <w:t xml:space="preserve">  </w:t>
      </w:r>
      <w:r w:rsidRPr="00107997">
        <w:rPr>
          <w:b/>
          <w:bCs/>
          <w:i/>
          <w:iCs/>
          <w:sz w:val="18"/>
          <w:szCs w:val="18"/>
          <w:u w:val="single"/>
        </w:rPr>
        <w:t>Future Australian Accounting Standard requirements</w:t>
      </w:r>
    </w:p>
    <w:p w:rsidR="000A7177" w:rsidRPr="00C277A7" w:rsidRDefault="000A7177" w:rsidP="000A7177">
      <w:pPr>
        <w:ind w:left="108"/>
        <w:rPr>
          <w:sz w:val="18"/>
          <w:szCs w:val="18"/>
        </w:rPr>
      </w:pPr>
      <w:r w:rsidRPr="00C277A7">
        <w:rPr>
          <w:sz w:val="18"/>
          <w:szCs w:val="18"/>
        </w:rPr>
        <w:t>The following new sta</w:t>
      </w:r>
      <w:r>
        <w:rPr>
          <w:sz w:val="18"/>
          <w:szCs w:val="18"/>
        </w:rPr>
        <w:t>ndard has been issued and is applicable to future reporting periods and may have a material effect on the entity’s financial statements.</w:t>
      </w:r>
    </w:p>
    <w:p w:rsidR="000A7177" w:rsidRPr="009957FC" w:rsidRDefault="000A7177" w:rsidP="000A7177">
      <w:pPr>
        <w:tabs>
          <w:tab w:val="left" w:pos="6112"/>
        </w:tabs>
        <w:spacing w:before="60"/>
        <w:rPr>
          <w:sz w:val="6"/>
          <w:szCs w:val="16"/>
        </w:rPr>
      </w:pPr>
    </w:p>
    <w:tbl>
      <w:tblPr>
        <w:tblStyle w:val="TableGrid"/>
        <w:tblW w:w="0" w:type="auto"/>
        <w:tblInd w:w="108" w:type="dxa"/>
        <w:tblLook w:val="04A0" w:firstRow="1" w:lastRow="0" w:firstColumn="1" w:lastColumn="0" w:noHBand="0" w:noVBand="1"/>
      </w:tblPr>
      <w:tblGrid>
        <w:gridCol w:w="1843"/>
        <w:gridCol w:w="1134"/>
        <w:gridCol w:w="4111"/>
      </w:tblGrid>
      <w:tr w:rsidR="000A7177" w:rsidRPr="00255A26" w:rsidTr="000A7177">
        <w:tc>
          <w:tcPr>
            <w:tcW w:w="1843" w:type="dxa"/>
          </w:tcPr>
          <w:p w:rsidR="000A7177" w:rsidRPr="00255A26" w:rsidRDefault="000A7177" w:rsidP="000A7177">
            <w:pPr>
              <w:tabs>
                <w:tab w:val="left" w:pos="6112"/>
              </w:tabs>
              <w:spacing w:before="60"/>
              <w:rPr>
                <w:b/>
                <w:sz w:val="18"/>
                <w:szCs w:val="18"/>
              </w:rPr>
            </w:pPr>
            <w:r w:rsidRPr="00255A26">
              <w:rPr>
                <w:b/>
                <w:sz w:val="18"/>
                <w:szCs w:val="18"/>
              </w:rPr>
              <w:t>Standard</w:t>
            </w:r>
          </w:p>
        </w:tc>
        <w:tc>
          <w:tcPr>
            <w:tcW w:w="1134" w:type="dxa"/>
          </w:tcPr>
          <w:p w:rsidR="000A7177" w:rsidRPr="00255A26" w:rsidRDefault="000A7177" w:rsidP="000A7177">
            <w:pPr>
              <w:tabs>
                <w:tab w:val="left" w:pos="6112"/>
              </w:tabs>
              <w:spacing w:before="60"/>
              <w:rPr>
                <w:b/>
                <w:sz w:val="18"/>
                <w:szCs w:val="18"/>
              </w:rPr>
            </w:pPr>
            <w:r w:rsidRPr="00255A26">
              <w:rPr>
                <w:b/>
                <w:sz w:val="18"/>
                <w:szCs w:val="18"/>
              </w:rPr>
              <w:t>Applicable from</w:t>
            </w:r>
          </w:p>
        </w:tc>
        <w:tc>
          <w:tcPr>
            <w:tcW w:w="4111" w:type="dxa"/>
          </w:tcPr>
          <w:p w:rsidR="000A7177" w:rsidRPr="00255A26" w:rsidRDefault="000A7177" w:rsidP="000A7177">
            <w:pPr>
              <w:tabs>
                <w:tab w:val="left" w:pos="6112"/>
              </w:tabs>
              <w:spacing w:before="60"/>
              <w:rPr>
                <w:b/>
                <w:sz w:val="18"/>
                <w:szCs w:val="18"/>
              </w:rPr>
            </w:pPr>
            <w:r w:rsidRPr="00255A26">
              <w:rPr>
                <w:b/>
                <w:sz w:val="18"/>
                <w:szCs w:val="18"/>
              </w:rPr>
              <w:t>Nature of impending change/s in accounting policy and likely impact on initial application</w:t>
            </w:r>
          </w:p>
        </w:tc>
      </w:tr>
      <w:tr w:rsidR="000A7177" w:rsidTr="000A7177">
        <w:tc>
          <w:tcPr>
            <w:tcW w:w="1843" w:type="dxa"/>
          </w:tcPr>
          <w:p w:rsidR="000A7177" w:rsidRDefault="000A7177" w:rsidP="000A7177">
            <w:pPr>
              <w:tabs>
                <w:tab w:val="left" w:pos="6112"/>
              </w:tabs>
              <w:spacing w:before="60"/>
              <w:rPr>
                <w:sz w:val="18"/>
                <w:szCs w:val="18"/>
              </w:rPr>
            </w:pPr>
            <w:proofErr w:type="spellStart"/>
            <w:r>
              <w:rPr>
                <w:sz w:val="18"/>
                <w:szCs w:val="18"/>
              </w:rPr>
              <w:t>AASB</w:t>
            </w:r>
            <w:proofErr w:type="spellEnd"/>
            <w:r>
              <w:rPr>
                <w:sz w:val="18"/>
                <w:szCs w:val="18"/>
              </w:rPr>
              <w:t xml:space="preserve"> 16</w:t>
            </w:r>
            <w:r>
              <w:rPr>
                <w:sz w:val="18"/>
                <w:szCs w:val="18"/>
              </w:rPr>
              <w:br/>
              <w:t>Leases</w:t>
            </w:r>
          </w:p>
        </w:tc>
        <w:tc>
          <w:tcPr>
            <w:tcW w:w="1134" w:type="dxa"/>
          </w:tcPr>
          <w:p w:rsidR="000A7177" w:rsidRDefault="000A7177" w:rsidP="000A7177">
            <w:pPr>
              <w:tabs>
                <w:tab w:val="left" w:pos="6112"/>
              </w:tabs>
              <w:spacing w:before="60"/>
              <w:rPr>
                <w:sz w:val="18"/>
                <w:szCs w:val="18"/>
              </w:rPr>
            </w:pPr>
            <w:r>
              <w:rPr>
                <w:sz w:val="18"/>
                <w:szCs w:val="18"/>
              </w:rPr>
              <w:t>1 July 2019</w:t>
            </w:r>
          </w:p>
        </w:tc>
        <w:tc>
          <w:tcPr>
            <w:tcW w:w="4111" w:type="dxa"/>
          </w:tcPr>
          <w:p w:rsidR="000A7177" w:rsidRDefault="000A7177" w:rsidP="000A7177">
            <w:pPr>
              <w:tabs>
                <w:tab w:val="left" w:pos="6112"/>
              </w:tabs>
              <w:spacing w:before="60"/>
              <w:rPr>
                <w:sz w:val="18"/>
                <w:szCs w:val="18"/>
              </w:rPr>
            </w:pPr>
            <w:r>
              <w:rPr>
                <w:sz w:val="18"/>
                <w:szCs w:val="18"/>
              </w:rPr>
              <w:t xml:space="preserve">Lessees will be required to bring all leases on the Statement of  Financial Position as the distinction between operating and finance leases has been eliminated. </w:t>
            </w:r>
          </w:p>
        </w:tc>
      </w:tr>
    </w:tbl>
    <w:p w:rsidR="000A7177" w:rsidRPr="00107997" w:rsidRDefault="000A7177" w:rsidP="000A7177">
      <w:pPr>
        <w:tabs>
          <w:tab w:val="left" w:pos="6112"/>
        </w:tabs>
        <w:rPr>
          <w:b/>
          <w:bCs/>
          <w:sz w:val="18"/>
          <w:szCs w:val="18"/>
        </w:rPr>
      </w:pPr>
      <w:r>
        <w:rPr>
          <w:b/>
          <w:bCs/>
          <w:sz w:val="18"/>
          <w:szCs w:val="18"/>
        </w:rPr>
        <w:t>3</w:t>
      </w:r>
      <w:r w:rsidRPr="00107997">
        <w:rPr>
          <w:b/>
          <w:bCs/>
          <w:sz w:val="18"/>
          <w:szCs w:val="18"/>
        </w:rPr>
        <w:t xml:space="preserve">   Contingent Liabilities and Contingent Assets</w:t>
      </w:r>
    </w:p>
    <w:p w:rsidR="000A7177" w:rsidRPr="006D4A5D" w:rsidRDefault="000A7177" w:rsidP="000A7177">
      <w:pPr>
        <w:tabs>
          <w:tab w:val="left" w:pos="6112"/>
        </w:tabs>
        <w:rPr>
          <w:i/>
          <w:color w:val="FF0000"/>
          <w:sz w:val="18"/>
          <w:szCs w:val="18"/>
        </w:rPr>
      </w:pPr>
      <w:r w:rsidRPr="00107997">
        <w:rPr>
          <w:sz w:val="18"/>
          <w:szCs w:val="18"/>
        </w:rPr>
        <w:t>OPC has no quantifiable or unquantifiable contingent assets or liabilities as at 30 June 201</w:t>
      </w:r>
      <w:r>
        <w:rPr>
          <w:sz w:val="18"/>
          <w:szCs w:val="18"/>
        </w:rPr>
        <w:t xml:space="preserve">7 </w:t>
      </w:r>
      <w:r w:rsidRPr="00107997">
        <w:rPr>
          <w:sz w:val="18"/>
          <w:szCs w:val="18"/>
        </w:rPr>
        <w:t>(201</w:t>
      </w:r>
      <w:r>
        <w:rPr>
          <w:sz w:val="18"/>
          <w:szCs w:val="18"/>
        </w:rPr>
        <w:t>6</w:t>
      </w:r>
      <w:r w:rsidRPr="00107997">
        <w:rPr>
          <w:sz w:val="18"/>
          <w:szCs w:val="18"/>
        </w:rPr>
        <w:t>:nil).</w:t>
      </w:r>
    </w:p>
    <w:p w:rsidR="000A7177" w:rsidRPr="00107997" w:rsidRDefault="000A7177" w:rsidP="000A7177">
      <w:pPr>
        <w:rPr>
          <w:b/>
          <w:bCs/>
          <w:sz w:val="18"/>
          <w:szCs w:val="18"/>
        </w:rPr>
      </w:pPr>
      <w:r>
        <w:rPr>
          <w:b/>
          <w:sz w:val="18"/>
          <w:szCs w:val="18"/>
        </w:rPr>
        <w:t>4</w:t>
      </w:r>
      <w:r w:rsidRPr="00107997">
        <w:rPr>
          <w:b/>
          <w:bCs/>
          <w:sz w:val="18"/>
          <w:szCs w:val="18"/>
        </w:rPr>
        <w:t xml:space="preserve">   Taxation </w:t>
      </w:r>
    </w:p>
    <w:p w:rsidR="000A7177" w:rsidRPr="00107997" w:rsidRDefault="000A7177" w:rsidP="000A7177">
      <w:pPr>
        <w:rPr>
          <w:sz w:val="18"/>
          <w:szCs w:val="18"/>
        </w:rPr>
      </w:pPr>
      <w:r w:rsidRPr="00107997">
        <w:rPr>
          <w:sz w:val="18"/>
          <w:szCs w:val="18"/>
        </w:rPr>
        <w:t>OPC is exempt from all forms of taxation except fringe benefits tax (</w:t>
      </w:r>
      <w:proofErr w:type="spellStart"/>
      <w:r w:rsidRPr="00107997">
        <w:rPr>
          <w:sz w:val="18"/>
          <w:szCs w:val="18"/>
        </w:rPr>
        <w:t>FBT</w:t>
      </w:r>
      <w:proofErr w:type="spellEnd"/>
      <w:r w:rsidRPr="00107997">
        <w:rPr>
          <w:sz w:val="18"/>
          <w:szCs w:val="18"/>
        </w:rPr>
        <w:t>) and the goods and services tax (GST).</w:t>
      </w:r>
      <w:r>
        <w:rPr>
          <w:sz w:val="18"/>
          <w:szCs w:val="18"/>
        </w:rPr>
        <w:t xml:space="preserve"> </w:t>
      </w:r>
      <w:r w:rsidRPr="00107997">
        <w:rPr>
          <w:sz w:val="18"/>
          <w:szCs w:val="18"/>
        </w:rPr>
        <w:t>Revenues, expenses and assets are recognised net of GST:</w:t>
      </w:r>
      <w:r>
        <w:rPr>
          <w:sz w:val="18"/>
          <w:szCs w:val="18"/>
        </w:rPr>
        <w:t xml:space="preserve"> </w:t>
      </w:r>
      <w:r w:rsidRPr="00107997">
        <w:rPr>
          <w:sz w:val="18"/>
          <w:szCs w:val="18"/>
        </w:rPr>
        <w:t>except where the amount of GST incurred is not recoverable from the Australian Taxation Office; and</w:t>
      </w:r>
      <w:r>
        <w:rPr>
          <w:sz w:val="18"/>
          <w:szCs w:val="18"/>
        </w:rPr>
        <w:t xml:space="preserve"> </w:t>
      </w:r>
      <w:r w:rsidRPr="00107997">
        <w:rPr>
          <w:sz w:val="18"/>
          <w:szCs w:val="18"/>
        </w:rPr>
        <w:t>except for receivables and payables.</w:t>
      </w:r>
    </w:p>
    <w:p w:rsidR="000A7177" w:rsidRPr="00107997" w:rsidRDefault="000A7177" w:rsidP="000A7177">
      <w:pPr>
        <w:rPr>
          <w:b/>
          <w:sz w:val="18"/>
          <w:szCs w:val="18"/>
        </w:rPr>
      </w:pPr>
      <w:r>
        <w:rPr>
          <w:b/>
          <w:sz w:val="18"/>
          <w:szCs w:val="18"/>
        </w:rPr>
        <w:t>5</w:t>
      </w:r>
      <w:r w:rsidRPr="00107997">
        <w:rPr>
          <w:b/>
          <w:sz w:val="18"/>
          <w:szCs w:val="18"/>
        </w:rPr>
        <w:t xml:space="preserve"> </w:t>
      </w:r>
      <w:r>
        <w:rPr>
          <w:b/>
          <w:sz w:val="18"/>
          <w:szCs w:val="18"/>
        </w:rPr>
        <w:t xml:space="preserve"> </w:t>
      </w:r>
      <w:r w:rsidRPr="00107997">
        <w:rPr>
          <w:b/>
          <w:sz w:val="18"/>
          <w:szCs w:val="18"/>
        </w:rPr>
        <w:t xml:space="preserve"> Events after the Reporting Date</w:t>
      </w:r>
    </w:p>
    <w:p w:rsidR="000A7177" w:rsidRDefault="000A7177" w:rsidP="000A7177">
      <w:r w:rsidRPr="00107997">
        <w:rPr>
          <w:sz w:val="18"/>
          <w:szCs w:val="18"/>
        </w:rPr>
        <w:t>There is no subsequent event that had the potential to significantly affect the ongoing structure and financial activities of the entity.</w:t>
      </w:r>
      <w:r w:rsidRPr="00107997">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7088"/>
      </w:tblGrid>
      <w:tr w:rsidR="008161CD" w:rsidRPr="00412F3D" w:rsidTr="00C51461">
        <w:trPr>
          <w:trHeight w:val="91"/>
        </w:trPr>
        <w:tc>
          <w:tcPr>
            <w:tcW w:w="7088" w:type="dxa"/>
            <w:shd w:val="clear" w:color="auto" w:fill="A6A6A6" w:themeFill="background1" w:themeFillShade="A6"/>
          </w:tcPr>
          <w:p w:rsidR="008161CD" w:rsidRPr="00412F3D" w:rsidRDefault="008161CD" w:rsidP="008161CD">
            <w:pPr>
              <w:tabs>
                <w:tab w:val="left" w:pos="6112"/>
              </w:tabs>
              <w:spacing w:before="120"/>
              <w:rPr>
                <w:rFonts w:ascii="Arial" w:hAnsi="Arial" w:cs="Arial"/>
                <w:b/>
                <w:bCs/>
                <w:sz w:val="18"/>
                <w:szCs w:val="18"/>
              </w:rPr>
            </w:pPr>
            <w:r>
              <w:rPr>
                <w:rFonts w:ascii="Arial" w:hAnsi="Arial" w:cs="Arial"/>
                <w:b/>
                <w:bCs/>
                <w:sz w:val="18"/>
                <w:szCs w:val="18"/>
              </w:rPr>
              <w:lastRenderedPageBreak/>
              <w:t>BUDGET VARIANCE EXPLANATIONS</w:t>
            </w:r>
          </w:p>
        </w:tc>
      </w:tr>
    </w:tbl>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OPC delivers drafting and advisory services for Bills and subordinate legislation, prepares compilations of laws as amended and registers laws and instruments on behalf of more than 70 Commonwealth entities.</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proofErr w:type="spellStart"/>
      <w:r w:rsidRPr="00B14051">
        <w:rPr>
          <w:rFonts w:ascii="Times New Roman" w:eastAsiaTheme="minorHAnsi" w:hAnsi="Times New Roman"/>
          <w:b w:val="0"/>
          <w:i w:val="0"/>
          <w:color w:val="auto"/>
          <w:kern w:val="0"/>
          <w:sz w:val="18"/>
          <w:szCs w:val="18"/>
          <w:lang w:eastAsia="en-US"/>
        </w:rPr>
        <w:t>OPC’s</w:t>
      </w:r>
      <w:proofErr w:type="spellEnd"/>
      <w:r w:rsidRPr="00B14051">
        <w:rPr>
          <w:rFonts w:ascii="Times New Roman" w:eastAsiaTheme="minorHAnsi" w:hAnsi="Times New Roman"/>
          <w:b w:val="0"/>
          <w:i w:val="0"/>
          <w:color w:val="auto"/>
          <w:kern w:val="0"/>
          <w:sz w:val="18"/>
          <w:szCs w:val="18"/>
          <w:lang w:eastAsia="en-US"/>
        </w:rPr>
        <w:t xml:space="preserve"> drafting work is regulated by the Legal Services Directions.  All Bill and regulation drafting is tied to OPC and budget funded. OPC delivers legislative publishing services to and on behalf of the whole of the Australian Government through the Federal Register of Legislation (</w:t>
      </w:r>
      <w:r w:rsidRPr="00B14051">
        <w:rPr>
          <w:rFonts w:ascii="Times New Roman" w:eastAsiaTheme="minorHAnsi" w:hAnsi="Times New Roman"/>
          <w:color w:val="auto"/>
          <w:kern w:val="0"/>
          <w:sz w:val="18"/>
          <w:szCs w:val="18"/>
          <w:lang w:eastAsia="en-US"/>
        </w:rPr>
        <w:t>the Legislation Register</w:t>
      </w:r>
      <w:r w:rsidRPr="00B14051">
        <w:rPr>
          <w:rFonts w:ascii="Times New Roman" w:eastAsiaTheme="minorHAnsi" w:hAnsi="Times New Roman"/>
          <w:b w:val="0"/>
          <w:i w:val="0"/>
          <w:color w:val="auto"/>
          <w:kern w:val="0"/>
          <w:sz w:val="18"/>
          <w:szCs w:val="18"/>
          <w:lang w:eastAsia="en-US"/>
        </w:rPr>
        <w:t xml:space="preserve">). </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OPC recovers the cost of core services from Government entities that publish legislation on the  Legislation Register through annual fees.</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 xml:space="preserve">OPC provides drafting services for legislative instruments and other publishing services on a fee for service basis. The demand for these services is client driven and therefore difficult to budget accurately. </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The following is an explanation of the major variances between the original budget presented in the 2016-17 Portfolio Budget Statements and the 2016-17 final outcome as presented in accordance with Australian Accounting Standards for OPC.</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Variances are considered to be major if the variance is greater than 10% between budget and actual.</w:t>
      </w:r>
    </w:p>
    <w:p w:rsidR="00B14051" w:rsidRPr="00B14051" w:rsidRDefault="00B14051" w:rsidP="00B14051">
      <w:pPr>
        <w:pStyle w:val="Head4"/>
        <w:spacing w:before="60" w:after="0" w:line="260" w:lineRule="atLeast"/>
        <w:rPr>
          <w:rFonts w:ascii="Times New Roman" w:eastAsiaTheme="minorHAnsi" w:hAnsi="Times New Roman"/>
          <w:color w:val="auto"/>
          <w:kern w:val="0"/>
          <w:sz w:val="18"/>
          <w:szCs w:val="18"/>
          <w:lang w:eastAsia="en-US"/>
        </w:rPr>
      </w:pPr>
      <w:r w:rsidRPr="00B14051">
        <w:rPr>
          <w:rFonts w:ascii="Times New Roman" w:eastAsiaTheme="minorHAnsi" w:hAnsi="Times New Roman"/>
          <w:color w:val="auto"/>
          <w:kern w:val="0"/>
          <w:sz w:val="18"/>
          <w:szCs w:val="18"/>
          <w:lang w:eastAsia="en-US"/>
        </w:rPr>
        <w:t>Statement of Comprehensive Income</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Supplier expenses</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 xml:space="preserve">Actual supplier expenses are higher than budget mainly due to the following unbudgeted projects: digitisation of high demand historical legislative material for publication on the Legislation Register to improve accessibility ($0.388 million); and the implementation of the shared services arrangement for </w:t>
      </w:r>
      <w:proofErr w:type="spellStart"/>
      <w:r w:rsidRPr="00B14051">
        <w:rPr>
          <w:rFonts w:ascii="Times New Roman" w:eastAsiaTheme="minorHAnsi" w:hAnsi="Times New Roman"/>
          <w:b w:val="0"/>
          <w:i w:val="0"/>
          <w:color w:val="auto"/>
          <w:kern w:val="0"/>
          <w:sz w:val="18"/>
          <w:szCs w:val="18"/>
          <w:lang w:eastAsia="en-US"/>
        </w:rPr>
        <w:t>OPC's</w:t>
      </w:r>
      <w:proofErr w:type="spellEnd"/>
      <w:r w:rsidRPr="00B14051">
        <w:rPr>
          <w:rFonts w:ascii="Times New Roman" w:eastAsiaTheme="minorHAnsi" w:hAnsi="Times New Roman"/>
          <w:b w:val="0"/>
          <w:i w:val="0"/>
          <w:color w:val="auto"/>
          <w:kern w:val="0"/>
          <w:sz w:val="18"/>
          <w:szCs w:val="18"/>
          <w:lang w:eastAsia="en-US"/>
        </w:rPr>
        <w:t xml:space="preserve"> payroll services ($0.054 million).</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Depreciation and amortisation</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Actual depreciation and amortisation is lower than budget mainly due to the extension of the useful life of the Legislation Register from 7 years to 9 years. The redeveloped Legislation Register is expected to go-live in 2020.</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Own-source income</w:t>
      </w:r>
    </w:p>
    <w:p w:rsidR="00DC7B00" w:rsidRDefault="00B14051" w:rsidP="00B14051">
      <w:pPr>
        <w:spacing w:before="60"/>
      </w:pPr>
      <w:r w:rsidRPr="00B14051">
        <w:rPr>
          <w:rFonts w:eastAsiaTheme="minorHAnsi"/>
          <w:sz w:val="18"/>
          <w:szCs w:val="18"/>
          <w:lang w:eastAsia="en-US"/>
        </w:rPr>
        <w:t xml:space="preserve">Other gains was incorrectly categorised in the budget.  It should have been categorised as other </w:t>
      </w:r>
      <w:r w:rsidRPr="00717C6F">
        <w:rPr>
          <w:rFonts w:eastAsiaTheme="minorHAnsi"/>
          <w:sz w:val="18"/>
          <w:szCs w:val="18"/>
          <w:lang w:eastAsia="en-US"/>
        </w:rPr>
        <w:t>revenue.</w:t>
      </w:r>
      <w:r w:rsidR="00DC7B00" w:rsidRPr="005576E0">
        <w:br w:type="page"/>
      </w:r>
    </w:p>
    <w:p w:rsidR="00B14051" w:rsidRPr="00B14051" w:rsidRDefault="00B14051" w:rsidP="00B14051">
      <w:pPr>
        <w:pStyle w:val="Head4"/>
        <w:spacing w:before="60" w:after="0" w:line="260" w:lineRule="atLeast"/>
        <w:rPr>
          <w:rFonts w:ascii="Times New Roman" w:eastAsiaTheme="minorHAnsi" w:hAnsi="Times New Roman"/>
          <w:color w:val="auto"/>
          <w:kern w:val="0"/>
          <w:sz w:val="18"/>
          <w:szCs w:val="18"/>
          <w:lang w:eastAsia="en-US"/>
        </w:rPr>
      </w:pPr>
      <w:r w:rsidRPr="00B14051">
        <w:rPr>
          <w:rFonts w:ascii="Times New Roman" w:eastAsiaTheme="minorHAnsi" w:hAnsi="Times New Roman"/>
          <w:color w:val="auto"/>
          <w:kern w:val="0"/>
          <w:sz w:val="18"/>
          <w:szCs w:val="18"/>
          <w:lang w:eastAsia="en-US"/>
        </w:rPr>
        <w:lastRenderedPageBreak/>
        <w:t>Statement of Financial Position</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Trade and other receivables</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Actual trade and other receivables was higher than budget mainly due to higher appropriations receivable due to: unbudgeted profits for the 2015-16 year ($1.009 million) and the 2016-17 year ($0.437 million); and delay in the commencement of expenditure for the redevelopment of the Legislation Register ($1 million).</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Intangibles</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Actual intangibles was lower than budget mainly due to the delay in the commencement of the Legislation Register redevelopment ($1 million) offset by the reduced amortisation as a result of the extension of the useful life of the current Legislation Register ($0.162 million).</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Other non-financial assets</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Actual other non-financial assets was lower than budget due to the timing difference of receipts and payments.</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Total payables</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Total payables was higher than budget due to: the timing difference of receipts and payments; and the timing of the unbudgeted projects as detailed in the suppliers expenses explanation above. In addition, the categorisation of actual payables has been changed since the budget to improve the readability and clarity of the payables disclosure.</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p>
    <w:p w:rsidR="00B14051" w:rsidRPr="00B14051" w:rsidRDefault="00B14051" w:rsidP="00B14051">
      <w:pPr>
        <w:pStyle w:val="Head4"/>
        <w:spacing w:before="60" w:after="0" w:line="260" w:lineRule="atLeast"/>
        <w:rPr>
          <w:rFonts w:ascii="Times New Roman" w:eastAsiaTheme="minorHAnsi" w:hAnsi="Times New Roman"/>
          <w:color w:val="auto"/>
          <w:kern w:val="0"/>
          <w:sz w:val="18"/>
          <w:szCs w:val="18"/>
          <w:lang w:eastAsia="en-US"/>
        </w:rPr>
      </w:pPr>
      <w:r w:rsidRPr="00B14051">
        <w:rPr>
          <w:rFonts w:ascii="Times New Roman" w:eastAsiaTheme="minorHAnsi" w:hAnsi="Times New Roman"/>
          <w:color w:val="auto"/>
          <w:kern w:val="0"/>
          <w:sz w:val="18"/>
          <w:szCs w:val="18"/>
          <w:lang w:eastAsia="en-US"/>
        </w:rPr>
        <w:t>Cash Flow Statement</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Operating Activities - Net GST received</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The actual net GST received is lower than budget due to: higher than expected fee for service  drafting revenue; additional legislation courses held; and the delay in the commencement of the Legislation Register redevelopment.</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Operating Activities - Section 74 receipts transferred to the Official Public Account</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The actuals are higher than budget due to higher sales of goods and rendering of services revenue.</w:t>
      </w:r>
    </w:p>
    <w:p w:rsidR="00B14051" w:rsidRPr="00B14051" w:rsidRDefault="00B14051" w:rsidP="00B14051">
      <w:pPr>
        <w:pStyle w:val="Head5"/>
        <w:spacing w:before="60" w:after="0" w:line="260" w:lineRule="atLeast"/>
        <w:rPr>
          <w:rFonts w:ascii="Times New Roman" w:eastAsiaTheme="minorHAnsi" w:hAnsi="Times New Roman"/>
          <w:b w:val="0"/>
          <w:color w:val="auto"/>
          <w:kern w:val="0"/>
          <w:sz w:val="18"/>
          <w:szCs w:val="18"/>
          <w:lang w:eastAsia="en-US"/>
        </w:rPr>
      </w:pPr>
      <w:r w:rsidRPr="00B14051">
        <w:rPr>
          <w:rFonts w:ascii="Times New Roman" w:eastAsiaTheme="minorHAnsi" w:hAnsi="Times New Roman"/>
          <w:b w:val="0"/>
          <w:color w:val="auto"/>
          <w:kern w:val="0"/>
          <w:sz w:val="18"/>
          <w:szCs w:val="18"/>
          <w:lang w:eastAsia="en-US"/>
        </w:rPr>
        <w:t>Investing Activities - Purchase of leasehold improvements, plant and equipment and intangibles</w:t>
      </w:r>
    </w:p>
    <w:p w:rsidR="00B14051" w:rsidRPr="00B14051" w:rsidRDefault="00B14051" w:rsidP="00B14051">
      <w:pPr>
        <w:pStyle w:val="Head5"/>
        <w:spacing w:before="0" w:after="0" w:line="260" w:lineRule="atLeast"/>
        <w:rPr>
          <w:rFonts w:ascii="Times New Roman" w:eastAsiaTheme="minorHAnsi" w:hAnsi="Times New Roman"/>
          <w:b w:val="0"/>
          <w:i w:val="0"/>
          <w:color w:val="auto"/>
          <w:kern w:val="0"/>
          <w:sz w:val="18"/>
          <w:szCs w:val="18"/>
          <w:lang w:eastAsia="en-US"/>
        </w:rPr>
      </w:pPr>
      <w:r w:rsidRPr="00B14051">
        <w:rPr>
          <w:rFonts w:ascii="Times New Roman" w:eastAsiaTheme="minorHAnsi" w:hAnsi="Times New Roman"/>
          <w:b w:val="0"/>
          <w:i w:val="0"/>
          <w:color w:val="auto"/>
          <w:kern w:val="0"/>
          <w:sz w:val="18"/>
          <w:szCs w:val="18"/>
          <w:lang w:eastAsia="en-US"/>
        </w:rPr>
        <w:t>The actuals are lower than budget due to the delay of the commencement of the redevelopment of the Legislation Register and the delay in general Information Technology capital purchases.</w:t>
      </w:r>
    </w:p>
    <w:p w:rsidR="00B14051" w:rsidRDefault="00B14051" w:rsidP="00B14051">
      <w:pPr>
        <w:spacing w:before="60"/>
      </w:pPr>
      <w:r>
        <w:br w:type="page"/>
      </w:r>
    </w:p>
    <w:tbl>
      <w:tblPr>
        <w:tblW w:w="7088" w:type="dxa"/>
        <w:tblInd w:w="108" w:type="dxa"/>
        <w:tblLook w:val="04A0" w:firstRow="1" w:lastRow="0" w:firstColumn="1" w:lastColumn="0" w:noHBand="0" w:noVBand="1"/>
      </w:tblPr>
      <w:tblGrid>
        <w:gridCol w:w="7088"/>
      </w:tblGrid>
      <w:tr w:rsidR="00B549EB" w:rsidRPr="002942BC" w:rsidTr="00E42F6F">
        <w:trPr>
          <w:trHeight w:val="260"/>
        </w:trPr>
        <w:tc>
          <w:tcPr>
            <w:tcW w:w="7088" w:type="dxa"/>
            <w:shd w:val="clear" w:color="auto" w:fill="A6A6A6" w:themeFill="background1" w:themeFillShade="A6"/>
            <w:noWrap/>
            <w:vAlign w:val="bottom"/>
            <w:hideMark/>
          </w:tcPr>
          <w:p w:rsidR="00B549EB" w:rsidRPr="007924D2" w:rsidRDefault="00B549EB" w:rsidP="00E42F6F">
            <w:pPr>
              <w:rPr>
                <w:rFonts w:ascii="Arial" w:hAnsi="Arial" w:cs="Arial"/>
                <w:color w:val="FFFFFF" w:themeColor="background1"/>
                <w:sz w:val="18"/>
                <w:szCs w:val="18"/>
              </w:rPr>
            </w:pPr>
            <w:r>
              <w:rPr>
                <w:rFonts w:ascii="Arial" w:hAnsi="Arial" w:cs="Arial"/>
                <w:b/>
                <w:bCs/>
                <w:sz w:val="20"/>
                <w:szCs w:val="18"/>
              </w:rPr>
              <w:lastRenderedPageBreak/>
              <w:t>1. FINANCIAL PERFORMANCE</w:t>
            </w:r>
          </w:p>
        </w:tc>
      </w:tr>
      <w:tr w:rsidR="00B549EB" w:rsidRPr="007924D2" w:rsidTr="00E42F6F">
        <w:tblPrEx>
          <w:shd w:val="clear" w:color="auto" w:fill="000000" w:themeFill="text1"/>
        </w:tblPrEx>
        <w:trPr>
          <w:trHeight w:val="148"/>
        </w:trPr>
        <w:tc>
          <w:tcPr>
            <w:tcW w:w="7088" w:type="dxa"/>
            <w:shd w:val="clear" w:color="auto" w:fill="auto"/>
            <w:noWrap/>
            <w:vAlign w:val="bottom"/>
          </w:tcPr>
          <w:p w:rsidR="00B549EB" w:rsidRPr="007924D2" w:rsidRDefault="00B549EB" w:rsidP="00E42F6F">
            <w:pPr>
              <w:rPr>
                <w:rFonts w:ascii="Arial" w:hAnsi="Arial" w:cs="Arial"/>
                <w:b/>
                <w:bCs/>
                <w:color w:val="FFFFFF" w:themeColor="background1"/>
                <w:sz w:val="8"/>
                <w:szCs w:val="18"/>
              </w:rPr>
            </w:pPr>
          </w:p>
        </w:tc>
      </w:tr>
      <w:tr w:rsidR="00B549EB" w:rsidRPr="007924D2" w:rsidTr="00E42F6F">
        <w:tblPrEx>
          <w:shd w:val="clear" w:color="auto" w:fill="000000" w:themeFill="text1"/>
        </w:tblPrEx>
        <w:trPr>
          <w:trHeight w:val="225"/>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1.1: Expenses</w:t>
            </w:r>
          </w:p>
        </w:tc>
      </w:tr>
    </w:tbl>
    <w:p w:rsidR="00B549EB" w:rsidRPr="00D4588D" w:rsidRDefault="009A7857" w:rsidP="00B549EB">
      <w:pPr>
        <w:spacing w:before="120"/>
        <w:jc w:val="center"/>
        <w:rPr>
          <w:noProof/>
          <w:sz w:val="6"/>
        </w:rPr>
      </w:pPr>
      <w:r>
        <w:rPr>
          <w:noProof/>
        </w:rPr>
        <w:drawing>
          <wp:inline distT="0" distB="0" distL="0" distR="0">
            <wp:extent cx="4500245" cy="16747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00245" cy="1674789"/>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B549EB" w:rsidRPr="0075121F" w:rsidRDefault="00B549EB" w:rsidP="00E42F6F">
            <w:pPr>
              <w:rPr>
                <w:b/>
                <w:sz w:val="14"/>
              </w:rPr>
            </w:pPr>
            <w:r w:rsidRPr="0075121F">
              <w:rPr>
                <w:b/>
                <w:sz w:val="14"/>
              </w:rPr>
              <w:t>Accounting Policy</w:t>
            </w:r>
          </w:p>
          <w:p w:rsidR="00B549EB" w:rsidRPr="0075121F" w:rsidRDefault="00B549EB" w:rsidP="00E42F6F">
            <w:pPr>
              <w:rPr>
                <w:sz w:val="14"/>
              </w:rPr>
            </w:pPr>
            <w:r w:rsidRPr="0075121F">
              <w:rPr>
                <w:sz w:val="14"/>
              </w:rPr>
              <w:t>Accounting policies for employee related expenses are contained in the People and relationships section.</w:t>
            </w:r>
          </w:p>
        </w:tc>
      </w:tr>
    </w:tbl>
    <w:p w:rsidR="00280743" w:rsidRDefault="008475CC" w:rsidP="00280743">
      <w:pPr>
        <w:spacing w:before="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3pt;height:294.7pt">
            <v:imagedata r:id="rId115" o:title=""/>
          </v:shape>
        </w:pict>
      </w:r>
      <w:r w:rsidR="00280743" w:rsidRPr="005576E0">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75"/>
        </w:trPr>
        <w:tc>
          <w:tcPr>
            <w:tcW w:w="7088" w:type="dxa"/>
            <w:shd w:val="clear" w:color="auto" w:fill="000000" w:themeFill="text1"/>
            <w:noWrap/>
            <w:vAlign w:val="bottom"/>
            <w:hideMark/>
          </w:tcPr>
          <w:p w:rsidR="00B549EB" w:rsidRPr="007924D2" w:rsidRDefault="00B549EB" w:rsidP="00E42F6F">
            <w:pPr>
              <w:rPr>
                <w:rFonts w:ascii="Arial" w:hAnsi="Arial" w:cs="Arial"/>
                <w:color w:val="FFFFFF" w:themeColor="background1"/>
                <w:sz w:val="18"/>
                <w:szCs w:val="18"/>
              </w:rPr>
            </w:pPr>
            <w:r w:rsidRPr="000F6CA6">
              <w:rPr>
                <w:rFonts w:ascii="Arial" w:hAnsi="Arial" w:cs="Arial"/>
                <w:b/>
                <w:bCs/>
                <w:color w:val="FFFFFF" w:themeColor="background1"/>
                <w:sz w:val="18"/>
                <w:szCs w:val="18"/>
              </w:rPr>
              <w:lastRenderedPageBreak/>
              <w:t>1.1: Expenses</w:t>
            </w:r>
          </w:p>
        </w:tc>
      </w:tr>
    </w:tbl>
    <w:p w:rsidR="009A7857" w:rsidRPr="009A7857" w:rsidRDefault="009A7857" w:rsidP="009A7857">
      <w:pPr>
        <w:pStyle w:val="Head4"/>
        <w:spacing w:before="0" w:after="0" w:line="260" w:lineRule="atLeast"/>
        <w:rPr>
          <w:rFonts w:ascii="Times New Roman" w:eastAsiaTheme="minorHAnsi" w:hAnsi="Times New Roman"/>
          <w:color w:val="auto"/>
          <w:kern w:val="0"/>
          <w:sz w:val="18"/>
          <w:szCs w:val="18"/>
          <w:lang w:eastAsia="en-US"/>
        </w:rPr>
      </w:pPr>
      <w:r w:rsidRPr="009A7857">
        <w:rPr>
          <w:rFonts w:ascii="Times New Roman" w:eastAsiaTheme="minorHAnsi" w:hAnsi="Times New Roman"/>
          <w:color w:val="auto"/>
          <w:kern w:val="0"/>
          <w:sz w:val="18"/>
          <w:szCs w:val="18"/>
          <w:lang w:eastAsia="en-US"/>
        </w:rPr>
        <w:t>Leasing commitments</w:t>
      </w:r>
    </w:p>
    <w:p w:rsidR="009A7857" w:rsidRPr="009A7857" w:rsidRDefault="009A7857" w:rsidP="009A7857">
      <w:pPr>
        <w:pStyle w:val="Head4"/>
        <w:spacing w:before="0" w:after="0" w:line="260" w:lineRule="atLeast"/>
        <w:rPr>
          <w:rFonts w:ascii="Times New Roman" w:eastAsiaTheme="minorHAnsi" w:hAnsi="Times New Roman"/>
          <w:color w:val="auto"/>
          <w:kern w:val="0"/>
          <w:sz w:val="18"/>
          <w:szCs w:val="18"/>
          <w:lang w:eastAsia="en-US"/>
        </w:rPr>
      </w:pPr>
      <w:r w:rsidRPr="009A7857">
        <w:rPr>
          <w:rFonts w:ascii="Times New Roman" w:eastAsiaTheme="minorHAnsi" w:hAnsi="Times New Roman"/>
          <w:color w:val="auto"/>
          <w:kern w:val="0"/>
          <w:sz w:val="18"/>
          <w:szCs w:val="18"/>
          <w:lang w:eastAsia="en-US"/>
        </w:rPr>
        <w:t>Lease for office accommodation and car parking</w:t>
      </w:r>
    </w:p>
    <w:p w:rsidR="009A7857" w:rsidRPr="009A7857" w:rsidRDefault="009A7857" w:rsidP="009A7857">
      <w:pPr>
        <w:pStyle w:val="Head5"/>
        <w:spacing w:before="0" w:after="0" w:line="260" w:lineRule="atLeast"/>
        <w:rPr>
          <w:rFonts w:ascii="Times New Roman" w:eastAsiaTheme="minorHAnsi" w:hAnsi="Times New Roman"/>
          <w:b w:val="0"/>
          <w:i w:val="0"/>
          <w:color w:val="auto"/>
          <w:kern w:val="0"/>
          <w:sz w:val="18"/>
          <w:szCs w:val="18"/>
          <w:lang w:eastAsia="en-US"/>
        </w:rPr>
      </w:pPr>
      <w:r w:rsidRPr="009A7857">
        <w:rPr>
          <w:rFonts w:ascii="Times New Roman" w:eastAsiaTheme="minorHAnsi" w:hAnsi="Times New Roman"/>
          <w:b w:val="0"/>
          <w:i w:val="0"/>
          <w:color w:val="auto"/>
          <w:kern w:val="0"/>
          <w:sz w:val="18"/>
          <w:szCs w:val="18"/>
          <w:lang w:eastAsia="en-US"/>
        </w:rPr>
        <w:t>The lease for office accommodation and car parking on premises, commenced on 1 October 2015 for a term of 10 years with annual increases of 3.6%. The next increase is on 1 October 2017. There is an option to extend the lease by three years.</w:t>
      </w:r>
    </w:p>
    <w:p w:rsidR="009A7857" w:rsidRPr="009A7857" w:rsidRDefault="009A7857" w:rsidP="009A7857">
      <w:pPr>
        <w:pStyle w:val="Head4"/>
        <w:spacing w:before="0" w:after="0" w:line="260" w:lineRule="atLeast"/>
        <w:rPr>
          <w:rFonts w:ascii="Times New Roman" w:eastAsiaTheme="minorHAnsi" w:hAnsi="Times New Roman"/>
          <w:color w:val="auto"/>
          <w:kern w:val="0"/>
          <w:sz w:val="18"/>
          <w:szCs w:val="18"/>
          <w:lang w:eastAsia="en-US"/>
        </w:rPr>
      </w:pPr>
      <w:r w:rsidRPr="009A7857">
        <w:rPr>
          <w:rFonts w:ascii="Times New Roman" w:eastAsiaTheme="minorHAnsi" w:hAnsi="Times New Roman"/>
          <w:color w:val="auto"/>
          <w:kern w:val="0"/>
          <w:sz w:val="18"/>
          <w:szCs w:val="18"/>
          <w:lang w:eastAsia="en-US"/>
        </w:rPr>
        <w:t>Leases for motor vehicles</w:t>
      </w:r>
    </w:p>
    <w:p w:rsidR="009A7857" w:rsidRPr="009A7857" w:rsidRDefault="009A7857" w:rsidP="009A7857">
      <w:pPr>
        <w:pStyle w:val="Head5"/>
        <w:spacing w:before="0" w:after="0" w:line="260" w:lineRule="atLeast"/>
        <w:rPr>
          <w:rFonts w:ascii="Times New Roman" w:eastAsiaTheme="minorHAnsi" w:hAnsi="Times New Roman"/>
          <w:b w:val="0"/>
          <w:i w:val="0"/>
          <w:color w:val="auto"/>
          <w:kern w:val="0"/>
          <w:sz w:val="18"/>
          <w:szCs w:val="18"/>
          <w:lang w:eastAsia="en-US"/>
        </w:rPr>
      </w:pPr>
      <w:r w:rsidRPr="009A7857">
        <w:rPr>
          <w:rFonts w:ascii="Times New Roman" w:eastAsiaTheme="minorHAnsi" w:hAnsi="Times New Roman"/>
          <w:b w:val="0"/>
          <w:i w:val="0"/>
          <w:color w:val="auto"/>
          <w:kern w:val="0"/>
          <w:sz w:val="18"/>
          <w:szCs w:val="18"/>
          <w:lang w:eastAsia="en-US"/>
        </w:rPr>
        <w:t>OPC leases 2 vehicles under the Government Executive Vehicle Scheme, each for a term of the lesser of 2 years or 40,000kms.</w:t>
      </w:r>
    </w:p>
    <w:p w:rsidR="00B549EB" w:rsidRPr="009A7857" w:rsidRDefault="009A7857" w:rsidP="009A7857">
      <w:pPr>
        <w:pStyle w:val="Head4"/>
        <w:spacing w:before="0" w:after="0" w:line="260" w:lineRule="atLeast"/>
        <w:rPr>
          <w:color w:val="auto"/>
          <w:sz w:val="8"/>
          <w:szCs w:val="18"/>
        </w:rPr>
      </w:pPr>
      <w:r>
        <w:rPr>
          <w:rFonts w:cs="Times New Roman"/>
          <w:noProof/>
          <w:sz w:val="18"/>
          <w:szCs w:val="18"/>
        </w:rPr>
        <w:drawing>
          <wp:inline distT="0" distB="0" distL="0" distR="0">
            <wp:extent cx="4485640" cy="1527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85640" cy="1527175"/>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B549EB" w:rsidRPr="0075121F" w:rsidRDefault="00B549EB" w:rsidP="00E42F6F">
            <w:pPr>
              <w:rPr>
                <w:b/>
                <w:sz w:val="14"/>
              </w:rPr>
            </w:pPr>
            <w:r w:rsidRPr="0075121F">
              <w:rPr>
                <w:b/>
                <w:sz w:val="14"/>
              </w:rPr>
              <w:t>Accounting Policy</w:t>
            </w:r>
          </w:p>
          <w:p w:rsidR="00B549EB" w:rsidRPr="0075121F" w:rsidRDefault="00B549EB" w:rsidP="00E42F6F">
            <w:pPr>
              <w:rPr>
                <w:b/>
                <w:i/>
                <w:sz w:val="14"/>
              </w:rPr>
            </w:pPr>
            <w:r w:rsidRPr="0075121F">
              <w:rPr>
                <w:b/>
                <w:i/>
                <w:sz w:val="14"/>
              </w:rPr>
              <w:t>Leases</w:t>
            </w:r>
          </w:p>
          <w:p w:rsidR="00B549EB" w:rsidRPr="0075121F" w:rsidRDefault="00B549EB" w:rsidP="00E42F6F">
            <w:pPr>
              <w:rPr>
                <w:sz w:val="14"/>
              </w:rPr>
            </w:pPr>
            <w:r w:rsidRPr="0075121F">
              <w:rPr>
                <w:sz w:val="14"/>
              </w:rPr>
              <w:t>Operating lease payments are expensed on a straight line basis which is representative of the pattern of benefits derived from the leased assets.</w:t>
            </w:r>
          </w:p>
        </w:tc>
      </w:tr>
    </w:tbl>
    <w:p w:rsidR="00B549EB" w:rsidRPr="00E64771" w:rsidRDefault="00B549EB" w:rsidP="00B549EB">
      <w:pPr>
        <w:rPr>
          <w:b/>
          <w:sz w:val="8"/>
        </w:rPr>
      </w:pPr>
    </w:p>
    <w:p w:rsidR="00B549EB" w:rsidRPr="00DC2057" w:rsidRDefault="00B549EB" w:rsidP="00B549EB">
      <w:pPr>
        <w:rPr>
          <w:rFonts w:ascii="Arial" w:hAnsi="Arial" w:cs="Arial"/>
          <w:b/>
          <w:bCs/>
          <w:color w:val="FFFFFF" w:themeColor="background1"/>
          <w:sz w:val="8"/>
          <w:szCs w:val="18"/>
        </w:rPr>
      </w:pPr>
    </w:p>
    <w:p w:rsidR="00B549EB" w:rsidRPr="00DC2057" w:rsidRDefault="00B549EB" w:rsidP="00B549EB">
      <w:pPr>
        <w:rPr>
          <w:rFonts w:ascii="Arial" w:hAnsi="Arial" w:cs="Arial"/>
          <w:b/>
          <w:bCs/>
          <w:color w:val="FFFFFF" w:themeColor="background1"/>
          <w:sz w:val="8"/>
          <w:szCs w:val="18"/>
        </w:rPr>
      </w:pPr>
    </w:p>
    <w:p w:rsidR="00280743" w:rsidRDefault="00994AD4" w:rsidP="00280743">
      <w:pPr>
        <w:spacing w:before="120"/>
      </w:pPr>
      <w:r w:rsidRPr="00994AD4">
        <w:rPr>
          <w:noProof/>
        </w:rPr>
        <w:drawing>
          <wp:inline distT="0" distB="0" distL="0" distR="0">
            <wp:extent cx="4485640" cy="767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485640" cy="767715"/>
                    </a:xfrm>
                    <a:prstGeom prst="rect">
                      <a:avLst/>
                    </a:prstGeom>
                    <a:noFill/>
                    <a:ln>
                      <a:noFill/>
                    </a:ln>
                  </pic:spPr>
                </pic:pic>
              </a:graphicData>
            </a:graphic>
          </wp:inline>
        </w:drawing>
      </w:r>
    </w:p>
    <w:p w:rsidR="00280743" w:rsidRDefault="00280743" w:rsidP="00280743">
      <w:pPr>
        <w:spacing w:before="120"/>
      </w:pPr>
      <w:r w:rsidRPr="005576E0">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color w:val="FFFFFF" w:themeColor="background1"/>
                <w:sz w:val="18"/>
                <w:szCs w:val="18"/>
              </w:rPr>
            </w:pPr>
            <w:r>
              <w:rPr>
                <w:rFonts w:ascii="Arial" w:hAnsi="Arial" w:cs="Arial"/>
                <w:b/>
                <w:bCs/>
                <w:color w:val="FFFFFF" w:themeColor="background1"/>
                <w:sz w:val="18"/>
                <w:szCs w:val="18"/>
              </w:rPr>
              <w:lastRenderedPageBreak/>
              <w:t>1.2: Income</w:t>
            </w:r>
          </w:p>
        </w:tc>
      </w:tr>
    </w:tbl>
    <w:p w:rsidR="00B549EB" w:rsidRPr="00E64771" w:rsidRDefault="00994AD4" w:rsidP="00B549EB">
      <w:pPr>
        <w:jc w:val="center"/>
        <w:rPr>
          <w:sz w:val="8"/>
        </w:rPr>
      </w:pPr>
      <w:r w:rsidRPr="00994AD4">
        <w:rPr>
          <w:noProof/>
        </w:rPr>
        <w:drawing>
          <wp:inline distT="0" distB="0" distL="0" distR="0">
            <wp:extent cx="4476750" cy="1295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476750" cy="1295400"/>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994AD4" w:rsidRPr="0075121F" w:rsidRDefault="00994AD4" w:rsidP="00994AD4">
            <w:pPr>
              <w:rPr>
                <w:b/>
                <w:sz w:val="14"/>
              </w:rPr>
            </w:pPr>
            <w:r w:rsidRPr="0075121F">
              <w:rPr>
                <w:b/>
                <w:sz w:val="14"/>
              </w:rPr>
              <w:t>Accounting Policy</w:t>
            </w:r>
          </w:p>
          <w:p w:rsidR="00994AD4" w:rsidRPr="0075121F" w:rsidRDefault="00994AD4" w:rsidP="00994AD4">
            <w:pPr>
              <w:rPr>
                <w:b/>
                <w:i/>
                <w:sz w:val="14"/>
              </w:rPr>
            </w:pPr>
            <w:r w:rsidRPr="0075121F">
              <w:rPr>
                <w:b/>
                <w:i/>
                <w:sz w:val="14"/>
              </w:rPr>
              <w:t>Sale of goods</w:t>
            </w:r>
          </w:p>
          <w:p w:rsidR="00994AD4" w:rsidRPr="0075121F" w:rsidRDefault="00994AD4" w:rsidP="00994AD4">
            <w:pPr>
              <w:rPr>
                <w:sz w:val="14"/>
              </w:rPr>
            </w:pPr>
            <w:r w:rsidRPr="0075121F">
              <w:rPr>
                <w:sz w:val="14"/>
              </w:rPr>
              <w:t>Revenue from the sale of goods is recognised when the risks and rewards of ownership have passed to the buyer and the costs incurred can be reliably measured.  Risk and rewards of ownership are considered passed to the buyer at the time of delivery of the goods to the customer.</w:t>
            </w:r>
          </w:p>
          <w:p w:rsidR="00994AD4" w:rsidRPr="0075121F" w:rsidRDefault="00994AD4" w:rsidP="00994AD4">
            <w:pPr>
              <w:rPr>
                <w:b/>
                <w:i/>
                <w:sz w:val="14"/>
              </w:rPr>
            </w:pPr>
            <w:r w:rsidRPr="0075121F">
              <w:rPr>
                <w:b/>
                <w:i/>
                <w:sz w:val="14"/>
              </w:rPr>
              <w:t>Rendering of services</w:t>
            </w:r>
          </w:p>
          <w:p w:rsidR="00B549EB" w:rsidRPr="0075121F" w:rsidRDefault="00994AD4" w:rsidP="00994AD4">
            <w:pPr>
              <w:rPr>
                <w:sz w:val="14"/>
              </w:rPr>
            </w:pPr>
            <w:r w:rsidRPr="0075121F">
              <w:rPr>
                <w:sz w:val="14"/>
              </w:rPr>
              <w:t>Revenue is recognised when OPC has the right to be compensated for services performed and the stage of completion can be reliably measured.  It is recorded at the amount likely to be received for the provision of that service.</w:t>
            </w:r>
            <w:r w:rsidR="00B549EB" w:rsidRPr="0075121F">
              <w:rPr>
                <w:sz w:val="14"/>
              </w:rPr>
              <w:t>.</w:t>
            </w:r>
          </w:p>
        </w:tc>
      </w:tr>
    </w:tbl>
    <w:p w:rsidR="00994AD4" w:rsidRDefault="00994AD4" w:rsidP="00B549EB">
      <w:pPr>
        <w:rPr>
          <w:sz w:val="8"/>
        </w:rPr>
      </w:pPr>
    </w:p>
    <w:p w:rsidR="00B549EB" w:rsidRPr="00E64771" w:rsidRDefault="00994AD4" w:rsidP="00B549EB">
      <w:pPr>
        <w:rPr>
          <w:sz w:val="8"/>
        </w:rPr>
      </w:pPr>
      <w:r w:rsidRPr="00994AD4">
        <w:rPr>
          <w:noProof/>
        </w:rPr>
        <w:drawing>
          <wp:inline distT="0" distB="0" distL="0" distR="0">
            <wp:extent cx="4494530" cy="86233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494530" cy="862330"/>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c>
          <w:tcPr>
            <w:tcW w:w="7088" w:type="dxa"/>
          </w:tcPr>
          <w:p w:rsidR="00994AD4" w:rsidRPr="0075121F" w:rsidRDefault="00994AD4" w:rsidP="00994AD4">
            <w:pPr>
              <w:rPr>
                <w:b/>
                <w:sz w:val="14"/>
              </w:rPr>
            </w:pPr>
            <w:r w:rsidRPr="0075121F">
              <w:rPr>
                <w:b/>
                <w:sz w:val="14"/>
              </w:rPr>
              <w:t>Accounting Policy</w:t>
            </w:r>
          </w:p>
          <w:p w:rsidR="00994AD4" w:rsidRPr="0075121F" w:rsidRDefault="00994AD4" w:rsidP="00994AD4">
            <w:pPr>
              <w:rPr>
                <w:b/>
                <w:i/>
                <w:sz w:val="14"/>
              </w:rPr>
            </w:pPr>
            <w:r w:rsidRPr="0075121F">
              <w:rPr>
                <w:b/>
                <w:i/>
                <w:sz w:val="14"/>
              </w:rPr>
              <w:t>Other Revenue</w:t>
            </w:r>
          </w:p>
          <w:p w:rsidR="00B549EB" w:rsidRPr="0075121F" w:rsidRDefault="00994AD4" w:rsidP="00994AD4">
            <w:pPr>
              <w:rPr>
                <w:sz w:val="14"/>
              </w:rPr>
            </w:pPr>
            <w:r w:rsidRPr="0075121F">
              <w:rPr>
                <w:sz w:val="14"/>
              </w:rPr>
              <w:t>Resources received free of charge are recognised as revenue when and only when, a fair value can be reliably determined and the services would have been purchased if they had not been donated.  Use of those resources is recognised as an expense</w:t>
            </w:r>
            <w:r w:rsidR="00B549EB" w:rsidRPr="0075121F">
              <w:rPr>
                <w:sz w:val="14"/>
              </w:rPr>
              <w:t xml:space="preserve"> </w:t>
            </w:r>
          </w:p>
        </w:tc>
      </w:tr>
    </w:tbl>
    <w:p w:rsidR="00B549EB" w:rsidRPr="00643CF3" w:rsidRDefault="00B549EB" w:rsidP="00B549EB">
      <w:pPr>
        <w:rPr>
          <w:sz w:val="10"/>
        </w:rPr>
      </w:pPr>
    </w:p>
    <w:p w:rsidR="00B549EB" w:rsidRPr="00643CF3" w:rsidRDefault="00994AD4" w:rsidP="00B549EB">
      <w:pPr>
        <w:rPr>
          <w:sz w:val="12"/>
        </w:rPr>
      </w:pPr>
      <w:r w:rsidRPr="00994AD4">
        <w:rPr>
          <w:noProof/>
        </w:rPr>
        <w:drawing>
          <wp:inline distT="0" distB="0" distL="0" distR="0">
            <wp:extent cx="4494530" cy="177673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494530" cy="1776730"/>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75121F" w:rsidTr="00E42F6F">
        <w:trPr>
          <w:trHeight w:val="658"/>
        </w:trPr>
        <w:tc>
          <w:tcPr>
            <w:tcW w:w="7088" w:type="dxa"/>
          </w:tcPr>
          <w:p w:rsidR="00994AD4" w:rsidRPr="0075121F" w:rsidRDefault="00994AD4" w:rsidP="00994AD4">
            <w:pPr>
              <w:rPr>
                <w:b/>
                <w:sz w:val="14"/>
              </w:rPr>
            </w:pPr>
            <w:r w:rsidRPr="0075121F">
              <w:rPr>
                <w:b/>
                <w:sz w:val="14"/>
              </w:rPr>
              <w:t>Accounting Policy</w:t>
            </w:r>
          </w:p>
          <w:p w:rsidR="00994AD4" w:rsidRPr="0075121F" w:rsidRDefault="00994AD4" w:rsidP="00994AD4">
            <w:pPr>
              <w:rPr>
                <w:b/>
                <w:i/>
                <w:sz w:val="14"/>
              </w:rPr>
            </w:pPr>
            <w:r w:rsidRPr="0075121F">
              <w:rPr>
                <w:b/>
                <w:i/>
                <w:sz w:val="14"/>
              </w:rPr>
              <w:t>Revenue from Government</w:t>
            </w:r>
          </w:p>
          <w:p w:rsidR="00B549EB" w:rsidRPr="0075121F" w:rsidRDefault="00994AD4" w:rsidP="00994AD4">
            <w:pPr>
              <w:rPr>
                <w:sz w:val="14"/>
              </w:rPr>
            </w:pPr>
            <w:r w:rsidRPr="0075121F">
              <w:rPr>
                <w:sz w:val="14"/>
              </w:rPr>
              <w:t xml:space="preserve">Amounts appropriated for departmental appropriations for the year (adjusted for any formal additions and reductions) are recognised as revenue when OPC gains control of the appropriation. </w:t>
            </w:r>
          </w:p>
        </w:tc>
      </w:tr>
    </w:tbl>
    <w:p w:rsidR="00994AD4" w:rsidRDefault="00994AD4" w:rsidP="00280743">
      <w:r>
        <w:br w:type="page"/>
      </w:r>
    </w:p>
    <w:tbl>
      <w:tblPr>
        <w:tblW w:w="7088" w:type="dxa"/>
        <w:tblInd w:w="108" w:type="dxa"/>
        <w:tblLook w:val="04A0" w:firstRow="1" w:lastRow="0" w:firstColumn="1" w:lastColumn="0" w:noHBand="0" w:noVBand="1"/>
      </w:tblPr>
      <w:tblGrid>
        <w:gridCol w:w="7088"/>
      </w:tblGrid>
      <w:tr w:rsidR="00B549EB" w:rsidRPr="002942BC" w:rsidTr="00E42F6F">
        <w:trPr>
          <w:trHeight w:val="267"/>
        </w:trPr>
        <w:tc>
          <w:tcPr>
            <w:tcW w:w="7088" w:type="dxa"/>
            <w:shd w:val="clear" w:color="auto" w:fill="A6A6A6" w:themeFill="background1" w:themeFillShade="A6"/>
            <w:noWrap/>
            <w:vAlign w:val="bottom"/>
            <w:hideMark/>
          </w:tcPr>
          <w:p w:rsidR="00B549EB" w:rsidRPr="007924D2" w:rsidRDefault="00B549EB" w:rsidP="00E42F6F">
            <w:pPr>
              <w:rPr>
                <w:rFonts w:ascii="Arial" w:hAnsi="Arial" w:cs="Arial"/>
                <w:color w:val="FFFFFF" w:themeColor="background1"/>
                <w:sz w:val="18"/>
                <w:szCs w:val="18"/>
              </w:rPr>
            </w:pPr>
            <w:r>
              <w:rPr>
                <w:rFonts w:ascii="Arial" w:hAnsi="Arial" w:cs="Arial"/>
                <w:b/>
                <w:bCs/>
                <w:sz w:val="20"/>
                <w:szCs w:val="18"/>
              </w:rPr>
              <w:lastRenderedPageBreak/>
              <w:t>2. FINANCIAL POSITION</w:t>
            </w:r>
          </w:p>
        </w:tc>
      </w:tr>
      <w:tr w:rsidR="00B549EB" w:rsidRPr="007924D2" w:rsidTr="00E42F6F">
        <w:tblPrEx>
          <w:shd w:val="clear" w:color="auto" w:fill="000000" w:themeFill="text1"/>
        </w:tblPrEx>
        <w:trPr>
          <w:trHeight w:val="119"/>
        </w:trPr>
        <w:tc>
          <w:tcPr>
            <w:tcW w:w="7088" w:type="dxa"/>
            <w:shd w:val="clear" w:color="auto" w:fill="auto"/>
            <w:noWrap/>
            <w:vAlign w:val="bottom"/>
          </w:tcPr>
          <w:p w:rsidR="00B549EB" w:rsidRPr="007924D2" w:rsidRDefault="00B549EB" w:rsidP="00E42F6F">
            <w:pPr>
              <w:rPr>
                <w:rFonts w:ascii="Arial" w:hAnsi="Arial" w:cs="Arial"/>
                <w:b/>
                <w:bCs/>
                <w:color w:val="FFFFFF" w:themeColor="background1"/>
                <w:sz w:val="8"/>
                <w:szCs w:val="18"/>
              </w:rPr>
            </w:pPr>
          </w:p>
        </w:tc>
      </w:tr>
      <w:tr w:rsidR="00B549EB" w:rsidRPr="000F6CA6" w:rsidTr="00E42F6F">
        <w:tblPrEx>
          <w:shd w:val="clear" w:color="auto" w:fill="000000" w:themeFill="text1"/>
        </w:tblPrEx>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2.1: Financial Assets</w:t>
            </w:r>
          </w:p>
        </w:tc>
      </w:tr>
    </w:tbl>
    <w:p w:rsidR="00B549EB" w:rsidRPr="003059C6" w:rsidRDefault="00994AD4" w:rsidP="00B549EB">
      <w:pPr>
        <w:rPr>
          <w:sz w:val="8"/>
        </w:rPr>
      </w:pPr>
      <w:r w:rsidRPr="00994AD4">
        <w:rPr>
          <w:noProof/>
        </w:rPr>
        <w:drawing>
          <wp:inline distT="0" distB="0" distL="0" distR="0">
            <wp:extent cx="4477385" cy="23983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477385" cy="2398395"/>
                    </a:xfrm>
                    <a:prstGeom prst="rect">
                      <a:avLst/>
                    </a:prstGeom>
                    <a:noFill/>
                    <a:ln>
                      <a:noFill/>
                    </a:ln>
                  </pic:spPr>
                </pic:pic>
              </a:graphicData>
            </a:graphic>
          </wp:inline>
        </w:drawing>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88"/>
      </w:tblGrid>
      <w:tr w:rsidR="00B549EB" w:rsidRPr="00146ECB" w:rsidTr="00E42F6F">
        <w:tc>
          <w:tcPr>
            <w:tcW w:w="7088" w:type="dxa"/>
          </w:tcPr>
          <w:p w:rsidR="00994AD4" w:rsidRPr="00146ECB" w:rsidRDefault="00994AD4" w:rsidP="00994AD4">
            <w:pPr>
              <w:rPr>
                <w:b/>
                <w:sz w:val="14"/>
              </w:rPr>
            </w:pPr>
            <w:r w:rsidRPr="00146ECB">
              <w:rPr>
                <w:b/>
                <w:sz w:val="14"/>
              </w:rPr>
              <w:t>Accounting Policy</w:t>
            </w:r>
          </w:p>
          <w:p w:rsidR="00994AD4" w:rsidRPr="00146ECB" w:rsidRDefault="00994AD4" w:rsidP="00994AD4">
            <w:pPr>
              <w:rPr>
                <w:b/>
                <w:i/>
                <w:sz w:val="14"/>
              </w:rPr>
            </w:pPr>
            <w:r w:rsidRPr="00146ECB">
              <w:rPr>
                <w:b/>
                <w:i/>
                <w:sz w:val="14"/>
              </w:rPr>
              <w:t>Goods and services receivable</w:t>
            </w:r>
          </w:p>
          <w:p w:rsidR="00994AD4" w:rsidRPr="00146ECB" w:rsidRDefault="00994AD4" w:rsidP="00994AD4">
            <w:pPr>
              <w:rPr>
                <w:sz w:val="14"/>
              </w:rPr>
            </w:pPr>
            <w:r w:rsidRPr="00146ECB">
              <w:rPr>
                <w:sz w:val="14"/>
              </w:rPr>
              <w:t>Receivables for goods and services are recognised at the nominal amounts due less any impairment allowance account.  Credit terms are 30 days. Collectability of debts is reviewed at balance date and an allowance is made when collectability of the debt is no longer probable.</w:t>
            </w:r>
          </w:p>
          <w:p w:rsidR="00994AD4" w:rsidRPr="00146ECB" w:rsidRDefault="00994AD4" w:rsidP="00994AD4">
            <w:pPr>
              <w:rPr>
                <w:b/>
                <w:i/>
                <w:sz w:val="14"/>
              </w:rPr>
            </w:pPr>
            <w:r w:rsidRPr="00146ECB">
              <w:rPr>
                <w:b/>
                <w:i/>
                <w:sz w:val="14"/>
              </w:rPr>
              <w:t>Appropriations receivable</w:t>
            </w:r>
          </w:p>
          <w:p w:rsidR="00B549EB" w:rsidRPr="00146ECB" w:rsidRDefault="00994AD4" w:rsidP="00994AD4">
            <w:pPr>
              <w:rPr>
                <w:sz w:val="14"/>
              </w:rPr>
            </w:pPr>
            <w:r w:rsidRPr="00146ECB">
              <w:rPr>
                <w:sz w:val="14"/>
              </w:rPr>
              <w:t>Appropriations receivable are appropriations controlled by OPC but held in the Official Public Account under the Government's just-in-time draw down arrangements. Appropriations receivable are recognised at their nominal amounts.</w:t>
            </w:r>
            <w:r w:rsidR="00B549EB" w:rsidRPr="00146ECB">
              <w:rPr>
                <w:sz w:val="14"/>
              </w:rPr>
              <w:t>.</w:t>
            </w:r>
          </w:p>
        </w:tc>
      </w:tr>
    </w:tbl>
    <w:p w:rsidR="00B549EB" w:rsidRDefault="00B549EB" w:rsidP="00280743"/>
    <w:p w:rsidR="00B549EB" w:rsidRDefault="00B549EB" w:rsidP="00280743">
      <w:pPr>
        <w:spacing w:before="180"/>
      </w:pPr>
      <w:r>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lastRenderedPageBreak/>
              <w:t>2.2: Non-Financial Assets</w:t>
            </w:r>
          </w:p>
        </w:tc>
      </w:tr>
    </w:tbl>
    <w:p w:rsidR="00B549EB" w:rsidRDefault="00B549EB" w:rsidP="00B549EB"/>
    <w:p w:rsidR="00B549EB" w:rsidRDefault="000D4957" w:rsidP="00B549EB">
      <w:r w:rsidRPr="000D4957">
        <w:rPr>
          <w:noProof/>
        </w:rPr>
        <w:drawing>
          <wp:inline distT="0" distB="0" distL="0" distR="0">
            <wp:extent cx="4485640" cy="39166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485640" cy="3916680"/>
                    </a:xfrm>
                    <a:prstGeom prst="rect">
                      <a:avLst/>
                    </a:prstGeom>
                    <a:noFill/>
                    <a:ln>
                      <a:noFill/>
                    </a:ln>
                  </pic:spPr>
                </pic:pic>
              </a:graphicData>
            </a:graphic>
          </wp:inline>
        </w:drawing>
      </w:r>
    </w:p>
    <w:p w:rsidR="00B549EB" w:rsidRDefault="00B549EB" w:rsidP="00B549EB">
      <w:pPr>
        <w:sectPr w:rsidR="00B549EB" w:rsidSect="00C51461">
          <w:headerReference w:type="even" r:id="rId123"/>
          <w:headerReference w:type="default" r:id="rId124"/>
          <w:pgSz w:w="11907" w:h="16840" w:code="9"/>
          <w:pgMar w:top="1134" w:right="2410" w:bottom="4253" w:left="2410" w:header="510" w:footer="3402" w:gutter="0"/>
          <w:cols w:space="708"/>
          <w:docGrid w:linePitch="360"/>
        </w:sectPr>
      </w:pP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ind w:right="-108"/>
              <w:rPr>
                <w:rFonts w:ascii="Arial" w:hAnsi="Arial" w:cs="Arial"/>
                <w:b/>
                <w:bCs/>
                <w:color w:val="FFFFFF" w:themeColor="background1"/>
                <w:sz w:val="18"/>
                <w:szCs w:val="18"/>
              </w:rPr>
            </w:pPr>
            <w:r>
              <w:rPr>
                <w:rFonts w:ascii="Arial" w:hAnsi="Arial" w:cs="Arial"/>
                <w:b/>
                <w:bCs/>
                <w:color w:val="FFFFFF" w:themeColor="background1"/>
                <w:sz w:val="18"/>
                <w:szCs w:val="18"/>
              </w:rPr>
              <w:lastRenderedPageBreak/>
              <w:t>2.2: Non-Financial Assets</w:t>
            </w:r>
          </w:p>
        </w:tc>
      </w:tr>
    </w:tbl>
    <w:p w:rsidR="00B549EB" w:rsidRDefault="00AC519C" w:rsidP="00B549EB">
      <w:pPr>
        <w:ind w:left="142"/>
        <w:rPr>
          <w:b/>
          <w:sz w:val="18"/>
          <w:szCs w:val="16"/>
        </w:rPr>
      </w:pPr>
      <w:r>
        <w:rPr>
          <w:b/>
          <w:noProof/>
          <w:sz w:val="14"/>
          <w:szCs w:val="16"/>
        </w:rPr>
        <mc:AlternateContent>
          <mc:Choice Requires="wps">
            <w:drawing>
              <wp:anchor distT="0" distB="0" distL="114300" distR="114300" simplePos="0" relativeHeight="251659264" behindDoc="0" locked="0" layoutInCell="1" allowOverlap="1" wp14:anchorId="7223422C" wp14:editId="4DAE85AC">
                <wp:simplePos x="0" y="0"/>
                <wp:positionH relativeFrom="column">
                  <wp:posOffset>-12101</wp:posOffset>
                </wp:positionH>
                <wp:positionV relativeFrom="paragraph">
                  <wp:posOffset>116756</wp:posOffset>
                </wp:positionV>
                <wp:extent cx="4510992" cy="5029200"/>
                <wp:effectExtent l="0" t="0" r="23495" b="19050"/>
                <wp:wrapNone/>
                <wp:docPr id="59" name="Rectangle 59"/>
                <wp:cNvGraphicFramePr/>
                <a:graphic xmlns:a="http://schemas.openxmlformats.org/drawingml/2006/main">
                  <a:graphicData uri="http://schemas.microsoft.com/office/word/2010/wordprocessingShape">
                    <wps:wsp>
                      <wps:cNvSpPr/>
                      <wps:spPr>
                        <a:xfrm>
                          <a:off x="0" y="0"/>
                          <a:ext cx="4510992" cy="5029200"/>
                        </a:xfrm>
                        <a:prstGeom prst="rect">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95pt;margin-top:9.2pt;width:355.2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" filled="f" strokecolor="#bfbfbf [2412]" strokeweight=".25pt"/>
            </w:pict>
          </mc:Fallback>
        </mc:AlternateContent>
      </w:r>
    </w:p>
    <w:p w:rsidR="000D4957" w:rsidRPr="00622094" w:rsidRDefault="00B549EB" w:rsidP="00CF77A0">
      <w:pPr>
        <w:ind w:left="142"/>
        <w:rPr>
          <w:sz w:val="16"/>
          <w:szCs w:val="16"/>
        </w:rPr>
      </w:pPr>
      <w:r w:rsidRPr="00622094">
        <w:rPr>
          <w:b/>
          <w:sz w:val="16"/>
          <w:szCs w:val="16"/>
        </w:rPr>
        <w:t>A</w:t>
      </w:r>
      <w:r w:rsidR="000D4957" w:rsidRPr="00622094">
        <w:rPr>
          <w:b/>
          <w:sz w:val="16"/>
          <w:szCs w:val="16"/>
        </w:rPr>
        <w:t>ccounting Policy</w:t>
      </w:r>
    </w:p>
    <w:p w:rsidR="000D4957" w:rsidRPr="00622094" w:rsidRDefault="000D4957" w:rsidP="00CF77A0">
      <w:pPr>
        <w:ind w:left="142"/>
        <w:rPr>
          <w:b/>
          <w:sz w:val="16"/>
          <w:szCs w:val="16"/>
        </w:rPr>
      </w:pPr>
      <w:r w:rsidRPr="00622094">
        <w:rPr>
          <w:b/>
          <w:sz w:val="16"/>
          <w:szCs w:val="16"/>
        </w:rPr>
        <w:t>Acquisition of Assets</w:t>
      </w:r>
    </w:p>
    <w:p w:rsidR="000D4957" w:rsidRPr="00622094" w:rsidRDefault="000D4957" w:rsidP="003C6E71">
      <w:pPr>
        <w:spacing w:before="60"/>
        <w:ind w:left="142"/>
        <w:rPr>
          <w:sz w:val="16"/>
          <w:szCs w:val="16"/>
        </w:rPr>
      </w:pPr>
      <w:r w:rsidRPr="00622094">
        <w:rPr>
          <w:sz w:val="16"/>
          <w:szCs w:val="16"/>
        </w:rPr>
        <w:t xml:space="preserve">Leasehold improvements, plant and equipment, and intangibles are recorded at cost on acquisition except as stated below. </w:t>
      </w:r>
    </w:p>
    <w:p w:rsidR="000D4957" w:rsidRPr="00622094" w:rsidRDefault="000D4957" w:rsidP="00CF77A0">
      <w:pPr>
        <w:spacing w:before="60"/>
        <w:ind w:left="142"/>
        <w:rPr>
          <w:b/>
          <w:sz w:val="16"/>
          <w:szCs w:val="16"/>
        </w:rPr>
      </w:pPr>
      <w:r w:rsidRPr="00622094">
        <w:rPr>
          <w:b/>
          <w:sz w:val="16"/>
          <w:szCs w:val="16"/>
        </w:rPr>
        <w:t>Asset Recognition Threshold</w:t>
      </w:r>
    </w:p>
    <w:p w:rsidR="000D4957" w:rsidRPr="00622094" w:rsidRDefault="000D4957" w:rsidP="003C6E71">
      <w:pPr>
        <w:spacing w:before="60"/>
        <w:ind w:left="142"/>
        <w:rPr>
          <w:sz w:val="16"/>
          <w:szCs w:val="16"/>
        </w:rPr>
      </w:pPr>
      <w:r w:rsidRPr="00622094">
        <w:rPr>
          <w:sz w:val="16"/>
          <w:szCs w:val="16"/>
        </w:rPr>
        <w:t>Purchases of leasehold improvements, plant and equipment, and intangibles are recognised initially at cost in the Statement of Financial Position, except for purchases costing less than $2,000, which are expensed in the year of acquisition (other than where they form part of a group of similar items which are significant in total).</w:t>
      </w:r>
    </w:p>
    <w:p w:rsidR="000D4957" w:rsidRPr="00622094" w:rsidRDefault="000D4957" w:rsidP="00CF77A0">
      <w:pPr>
        <w:spacing w:before="60"/>
        <w:ind w:left="142"/>
        <w:rPr>
          <w:b/>
          <w:sz w:val="16"/>
          <w:szCs w:val="16"/>
        </w:rPr>
      </w:pPr>
      <w:r w:rsidRPr="00622094">
        <w:rPr>
          <w:b/>
          <w:sz w:val="16"/>
          <w:szCs w:val="16"/>
        </w:rPr>
        <w:t>Derecognition</w:t>
      </w:r>
    </w:p>
    <w:p w:rsidR="000D4957" w:rsidRPr="00622094" w:rsidRDefault="000D4957" w:rsidP="003C6E71">
      <w:pPr>
        <w:spacing w:before="60"/>
        <w:ind w:left="142"/>
        <w:rPr>
          <w:sz w:val="16"/>
          <w:szCs w:val="16"/>
        </w:rPr>
      </w:pPr>
      <w:r w:rsidRPr="00622094">
        <w:rPr>
          <w:sz w:val="16"/>
          <w:szCs w:val="16"/>
        </w:rPr>
        <w:t xml:space="preserve">All items of leasehold improvements, plant and equipment, and intangibles are derecognised upon disposal or when no further future economic benefits are expected from their use. </w:t>
      </w:r>
    </w:p>
    <w:p w:rsidR="000D4957" w:rsidRPr="00622094" w:rsidRDefault="000D4957" w:rsidP="00CF77A0">
      <w:pPr>
        <w:spacing w:before="60"/>
        <w:ind w:left="142"/>
        <w:rPr>
          <w:b/>
          <w:sz w:val="16"/>
          <w:szCs w:val="16"/>
        </w:rPr>
      </w:pPr>
      <w:r w:rsidRPr="00622094">
        <w:rPr>
          <w:b/>
          <w:sz w:val="16"/>
          <w:szCs w:val="16"/>
        </w:rPr>
        <w:t>Impairment</w:t>
      </w:r>
    </w:p>
    <w:p w:rsidR="000D4957" w:rsidRPr="00622094" w:rsidRDefault="000D4957" w:rsidP="003C6E71">
      <w:pPr>
        <w:spacing w:before="60"/>
        <w:ind w:left="142"/>
        <w:rPr>
          <w:sz w:val="16"/>
          <w:szCs w:val="16"/>
        </w:rPr>
      </w:pPr>
      <w:r w:rsidRPr="00622094">
        <w:rPr>
          <w:sz w:val="16"/>
          <w:szCs w:val="16"/>
        </w:rPr>
        <w:t>All leasehold improvements, plant and equipment, and intangibles were assessed for impairment at 30 June 2017. Where indications of impairment exist, the asset’s recoverable amount is estimated and an impairment adjustment made if the asset’s recoverable amount is less than its carrying amount.</w:t>
      </w:r>
    </w:p>
    <w:p w:rsidR="000D4957" w:rsidRPr="00622094" w:rsidRDefault="000D4957" w:rsidP="00CF77A0">
      <w:pPr>
        <w:ind w:left="142"/>
        <w:rPr>
          <w:sz w:val="16"/>
          <w:szCs w:val="16"/>
        </w:rPr>
      </w:pPr>
      <w:r w:rsidRPr="00622094">
        <w:rPr>
          <w:sz w:val="16"/>
          <w:szCs w:val="16"/>
        </w:rPr>
        <w:t>No indicators of impairment were identified for leasehold improvements, plant and equipment, and intangibles.</w:t>
      </w:r>
    </w:p>
    <w:p w:rsidR="000D4957" w:rsidRPr="00622094" w:rsidRDefault="000D4957" w:rsidP="00CF77A0">
      <w:pPr>
        <w:spacing w:before="100"/>
        <w:ind w:left="142"/>
        <w:rPr>
          <w:b/>
          <w:i/>
          <w:sz w:val="16"/>
          <w:szCs w:val="16"/>
        </w:rPr>
      </w:pPr>
      <w:r w:rsidRPr="00622094">
        <w:rPr>
          <w:b/>
          <w:i/>
          <w:sz w:val="16"/>
          <w:szCs w:val="16"/>
        </w:rPr>
        <w:t>Leasehold improvements, plant and equipment</w:t>
      </w:r>
    </w:p>
    <w:p w:rsidR="000D4957" w:rsidRPr="00622094" w:rsidRDefault="000D4957" w:rsidP="00CF77A0">
      <w:pPr>
        <w:ind w:left="142"/>
        <w:rPr>
          <w:b/>
          <w:sz w:val="16"/>
          <w:szCs w:val="16"/>
        </w:rPr>
      </w:pPr>
      <w:r w:rsidRPr="00622094">
        <w:rPr>
          <w:b/>
          <w:sz w:val="16"/>
          <w:szCs w:val="16"/>
        </w:rPr>
        <w:t>Depreciation</w:t>
      </w:r>
    </w:p>
    <w:p w:rsidR="000D4957" w:rsidRPr="00622094" w:rsidRDefault="000D4957" w:rsidP="003C6E71">
      <w:pPr>
        <w:spacing w:before="60"/>
        <w:ind w:left="142"/>
        <w:rPr>
          <w:sz w:val="16"/>
          <w:szCs w:val="16"/>
        </w:rPr>
      </w:pPr>
      <w:r w:rsidRPr="00622094">
        <w:rPr>
          <w:sz w:val="16"/>
          <w:szCs w:val="16"/>
        </w:rPr>
        <w:t xml:space="preserve">Depreciable leasehold improvements, plant and equipment assets are written-off to their estimated residual values over their estimated useful lives to OPC using, in all cases, the straight-line method of depreciation. </w:t>
      </w:r>
    </w:p>
    <w:p w:rsidR="000D4957" w:rsidRPr="00622094" w:rsidRDefault="000D4957" w:rsidP="00CF77A0">
      <w:pPr>
        <w:spacing w:before="60"/>
        <w:ind w:left="142"/>
        <w:rPr>
          <w:sz w:val="16"/>
          <w:szCs w:val="16"/>
        </w:rPr>
      </w:pPr>
      <w:r w:rsidRPr="00622094">
        <w:rPr>
          <w:sz w:val="16"/>
          <w:szCs w:val="16"/>
        </w:rPr>
        <w:t>Depreciation rates (useful lives), residual values and methods are reviewed at each reporting date and necessary adjustments are recognised in the current, or current and future reporting periods, as appropriate.</w:t>
      </w:r>
    </w:p>
    <w:p w:rsidR="000D4957" w:rsidRPr="00622094" w:rsidRDefault="000D4957" w:rsidP="00CF77A0">
      <w:pPr>
        <w:spacing w:before="60"/>
        <w:ind w:left="142"/>
        <w:rPr>
          <w:sz w:val="16"/>
          <w:szCs w:val="16"/>
        </w:rPr>
      </w:pPr>
      <w:r w:rsidRPr="00622094">
        <w:rPr>
          <w:sz w:val="16"/>
          <w:szCs w:val="16"/>
        </w:rPr>
        <w:t>Depreciation rates applying to each class of depreciable asset are based on the following useful lives:</w:t>
      </w:r>
    </w:p>
    <w:p w:rsidR="000D4957" w:rsidRPr="00622094" w:rsidRDefault="000D4957" w:rsidP="00CF77A0">
      <w:pPr>
        <w:spacing w:before="100"/>
        <w:ind w:left="142"/>
        <w:rPr>
          <w:sz w:val="16"/>
          <w:szCs w:val="16"/>
        </w:rPr>
      </w:pPr>
      <w:r w:rsidRPr="00622094">
        <w:rPr>
          <w:sz w:val="16"/>
          <w:szCs w:val="16"/>
        </w:rPr>
        <w:t xml:space="preserve">                                                                   </w:t>
      </w:r>
      <w:r w:rsidRPr="00622094">
        <w:rPr>
          <w:b/>
          <w:sz w:val="16"/>
          <w:szCs w:val="16"/>
        </w:rPr>
        <w:t>2017</w:t>
      </w:r>
      <w:r w:rsidRPr="00622094">
        <w:rPr>
          <w:sz w:val="16"/>
          <w:szCs w:val="16"/>
        </w:rPr>
        <w:t xml:space="preserve">                   2016</w:t>
      </w:r>
    </w:p>
    <w:p w:rsidR="000D4957" w:rsidRPr="00622094" w:rsidRDefault="000D4957" w:rsidP="00CF77A0">
      <w:pPr>
        <w:ind w:left="142"/>
        <w:rPr>
          <w:sz w:val="16"/>
          <w:szCs w:val="16"/>
        </w:rPr>
      </w:pPr>
      <w:r w:rsidRPr="00622094">
        <w:rPr>
          <w:sz w:val="16"/>
          <w:szCs w:val="16"/>
        </w:rPr>
        <w:t xml:space="preserve">  Leasehold improvements                       </w:t>
      </w:r>
      <w:r w:rsidRPr="00622094">
        <w:rPr>
          <w:b/>
          <w:sz w:val="16"/>
          <w:szCs w:val="16"/>
        </w:rPr>
        <w:t xml:space="preserve"> Lease term </w:t>
      </w:r>
      <w:r w:rsidRPr="00622094">
        <w:rPr>
          <w:sz w:val="16"/>
          <w:szCs w:val="16"/>
        </w:rPr>
        <w:t xml:space="preserve">        Lease term</w:t>
      </w:r>
    </w:p>
    <w:p w:rsidR="000D4957" w:rsidRPr="00622094" w:rsidRDefault="000D4957" w:rsidP="00CF77A0">
      <w:pPr>
        <w:ind w:left="142"/>
        <w:rPr>
          <w:sz w:val="16"/>
          <w:szCs w:val="16"/>
        </w:rPr>
      </w:pPr>
      <w:r w:rsidRPr="00622094">
        <w:rPr>
          <w:sz w:val="16"/>
          <w:szCs w:val="16"/>
        </w:rPr>
        <w:t xml:space="preserve">  Plant and equipment                            </w:t>
      </w:r>
      <w:r w:rsidRPr="00622094">
        <w:rPr>
          <w:b/>
          <w:sz w:val="16"/>
          <w:szCs w:val="16"/>
        </w:rPr>
        <w:t xml:space="preserve">   3 to 25 years</w:t>
      </w:r>
      <w:r w:rsidRPr="00622094">
        <w:rPr>
          <w:sz w:val="16"/>
          <w:szCs w:val="16"/>
        </w:rPr>
        <w:t xml:space="preserve">       3 to 25 years</w:t>
      </w:r>
    </w:p>
    <w:p w:rsidR="000D4957" w:rsidRPr="00622094" w:rsidRDefault="000D4957" w:rsidP="00CF77A0">
      <w:pPr>
        <w:spacing w:before="100"/>
        <w:ind w:left="142"/>
        <w:rPr>
          <w:b/>
          <w:i/>
          <w:sz w:val="16"/>
          <w:szCs w:val="16"/>
        </w:rPr>
      </w:pPr>
      <w:r w:rsidRPr="00622094">
        <w:rPr>
          <w:b/>
          <w:i/>
          <w:sz w:val="16"/>
          <w:szCs w:val="16"/>
        </w:rPr>
        <w:t>Intangibles</w:t>
      </w:r>
    </w:p>
    <w:p w:rsidR="000D4957" w:rsidRPr="00622094" w:rsidRDefault="000D4957" w:rsidP="003C6E71">
      <w:pPr>
        <w:spacing w:before="60"/>
        <w:ind w:left="142"/>
        <w:rPr>
          <w:sz w:val="16"/>
          <w:szCs w:val="16"/>
        </w:rPr>
      </w:pPr>
      <w:r w:rsidRPr="00622094">
        <w:rPr>
          <w:sz w:val="16"/>
          <w:szCs w:val="16"/>
        </w:rPr>
        <w:t>Intangibles are carried at cost less accumulated amortisation and accumulated impairment losses.</w:t>
      </w:r>
    </w:p>
    <w:p w:rsidR="000D4957" w:rsidRPr="00622094" w:rsidRDefault="000D4957" w:rsidP="00CF77A0">
      <w:pPr>
        <w:spacing w:before="60"/>
        <w:ind w:left="142"/>
        <w:rPr>
          <w:b/>
          <w:sz w:val="16"/>
          <w:szCs w:val="16"/>
        </w:rPr>
      </w:pPr>
      <w:r w:rsidRPr="00622094">
        <w:rPr>
          <w:b/>
          <w:sz w:val="16"/>
          <w:szCs w:val="16"/>
        </w:rPr>
        <w:t>Amortisation</w:t>
      </w:r>
    </w:p>
    <w:p w:rsidR="000D4957" w:rsidRPr="00622094" w:rsidRDefault="000D4957" w:rsidP="003C6E71">
      <w:pPr>
        <w:spacing w:before="60"/>
        <w:ind w:left="142"/>
        <w:rPr>
          <w:sz w:val="16"/>
          <w:szCs w:val="16"/>
        </w:rPr>
      </w:pPr>
      <w:r w:rsidRPr="00622094">
        <w:rPr>
          <w:sz w:val="16"/>
          <w:szCs w:val="16"/>
        </w:rPr>
        <w:t xml:space="preserve">Intangibles are amortised on a straight-line basis over their anticipated useful life.  </w:t>
      </w:r>
    </w:p>
    <w:p w:rsidR="000D4957" w:rsidRPr="00622094" w:rsidRDefault="000D4957" w:rsidP="00CF77A0">
      <w:pPr>
        <w:ind w:left="142"/>
        <w:rPr>
          <w:sz w:val="16"/>
          <w:szCs w:val="16"/>
        </w:rPr>
      </w:pPr>
      <w:r w:rsidRPr="00622094">
        <w:rPr>
          <w:sz w:val="16"/>
          <w:szCs w:val="16"/>
        </w:rPr>
        <w:t>The useful life of OPC’s intangibles are as follows:</w:t>
      </w:r>
    </w:p>
    <w:p w:rsidR="000D4957" w:rsidRPr="00622094" w:rsidRDefault="000D4957" w:rsidP="00CF77A0">
      <w:pPr>
        <w:spacing w:before="100"/>
        <w:ind w:left="142"/>
        <w:rPr>
          <w:sz w:val="16"/>
          <w:szCs w:val="16"/>
        </w:rPr>
      </w:pPr>
      <w:r w:rsidRPr="00622094">
        <w:rPr>
          <w:sz w:val="16"/>
          <w:szCs w:val="16"/>
        </w:rPr>
        <w:t xml:space="preserve">                                                                   </w:t>
      </w:r>
      <w:r w:rsidRPr="00622094">
        <w:rPr>
          <w:b/>
          <w:sz w:val="16"/>
          <w:szCs w:val="16"/>
        </w:rPr>
        <w:t xml:space="preserve">2017 </w:t>
      </w:r>
      <w:r w:rsidRPr="00622094">
        <w:rPr>
          <w:sz w:val="16"/>
          <w:szCs w:val="16"/>
        </w:rPr>
        <w:t xml:space="preserve">                  2016</w:t>
      </w:r>
    </w:p>
    <w:p w:rsidR="000D4957" w:rsidRPr="00622094" w:rsidRDefault="000D4957" w:rsidP="00CF77A0">
      <w:pPr>
        <w:ind w:left="142"/>
        <w:rPr>
          <w:sz w:val="16"/>
          <w:szCs w:val="16"/>
        </w:rPr>
      </w:pPr>
      <w:r w:rsidRPr="00622094">
        <w:rPr>
          <w:sz w:val="16"/>
          <w:szCs w:val="16"/>
        </w:rPr>
        <w:t xml:space="preserve">  Purchased  software                                </w:t>
      </w:r>
      <w:r w:rsidRPr="00622094">
        <w:rPr>
          <w:b/>
          <w:sz w:val="16"/>
          <w:szCs w:val="16"/>
        </w:rPr>
        <w:t>4 to 5 years</w:t>
      </w:r>
      <w:r w:rsidRPr="00622094">
        <w:rPr>
          <w:sz w:val="16"/>
          <w:szCs w:val="16"/>
        </w:rPr>
        <w:t xml:space="preserve">        4 to 5 years</w:t>
      </w:r>
    </w:p>
    <w:p w:rsidR="000D4957" w:rsidRPr="00622094" w:rsidRDefault="000D4957" w:rsidP="00CF77A0">
      <w:pPr>
        <w:ind w:left="142"/>
        <w:rPr>
          <w:sz w:val="16"/>
          <w:szCs w:val="16"/>
        </w:rPr>
      </w:pPr>
      <w:r w:rsidRPr="00622094">
        <w:rPr>
          <w:sz w:val="16"/>
          <w:szCs w:val="16"/>
        </w:rPr>
        <w:t xml:space="preserve">  Internally generated software                </w:t>
      </w:r>
      <w:r w:rsidRPr="00622094">
        <w:rPr>
          <w:b/>
          <w:sz w:val="16"/>
          <w:szCs w:val="16"/>
        </w:rPr>
        <w:t xml:space="preserve">  9 years</w:t>
      </w:r>
      <w:r w:rsidRPr="00622094">
        <w:rPr>
          <w:sz w:val="16"/>
          <w:szCs w:val="16"/>
        </w:rPr>
        <w:t xml:space="preserve">               7 years </w:t>
      </w:r>
    </w:p>
    <w:p w:rsidR="000D4957" w:rsidRPr="00622094" w:rsidRDefault="000D4957" w:rsidP="00CF77A0">
      <w:pPr>
        <w:ind w:left="142"/>
        <w:rPr>
          <w:sz w:val="16"/>
          <w:szCs w:val="16"/>
        </w:rPr>
      </w:pPr>
    </w:p>
    <w:p w:rsidR="00B549EB" w:rsidRDefault="000D4957" w:rsidP="000D4957">
      <w:pPr>
        <w:ind w:left="142"/>
        <w:rPr>
          <w:sz w:val="14"/>
          <w:szCs w:val="16"/>
        </w:rPr>
      </w:pPr>
      <w:r w:rsidRPr="000D4957">
        <w:rPr>
          <w:noProof/>
        </w:rPr>
        <w:drawing>
          <wp:inline distT="0" distB="0" distL="0" distR="0" wp14:anchorId="6F5988FC" wp14:editId="58E92C46">
            <wp:extent cx="4347713" cy="10391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92358" cy="1049836"/>
                    </a:xfrm>
                    <a:prstGeom prst="rect">
                      <a:avLst/>
                    </a:prstGeom>
                    <a:noFill/>
                    <a:ln>
                      <a:noFill/>
                    </a:ln>
                  </pic:spPr>
                </pic:pic>
              </a:graphicData>
            </a:graphic>
          </wp:inline>
        </w:drawing>
      </w:r>
      <w:r w:rsidR="00AC519C">
        <w:rPr>
          <w:sz w:val="14"/>
          <w:szCs w:val="16"/>
        </w:rPr>
        <w:t xml:space="preserve"> </w:t>
      </w:r>
      <w:r w:rsidRPr="00F42F9F">
        <w:rPr>
          <w:sz w:val="16"/>
        </w:rPr>
        <w:t>No indicators of impairment were found for other non-financial assets.</w:t>
      </w:r>
      <w:r w:rsidR="00B549EB">
        <w:rPr>
          <w:sz w:val="14"/>
          <w:szCs w:val="16"/>
        </w:rPr>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lastRenderedPageBreak/>
              <w:t>2.3: Payables</w:t>
            </w:r>
          </w:p>
        </w:tc>
      </w:tr>
    </w:tbl>
    <w:p w:rsidR="00B549EB" w:rsidRDefault="000D4957" w:rsidP="00B549EB">
      <w:pPr>
        <w:spacing w:before="120"/>
      </w:pPr>
      <w:r w:rsidRPr="000D4957">
        <w:rPr>
          <w:noProof/>
        </w:rPr>
        <w:drawing>
          <wp:inline distT="0" distB="0" distL="0" distR="0">
            <wp:extent cx="4494530" cy="11303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494530" cy="1130300"/>
                    </a:xfrm>
                    <a:prstGeom prst="rect">
                      <a:avLst/>
                    </a:prstGeom>
                    <a:noFill/>
                    <a:ln>
                      <a:noFill/>
                    </a:ln>
                  </pic:spPr>
                </pic:pic>
              </a:graphicData>
            </a:graphic>
          </wp:inline>
        </w:drawing>
      </w:r>
    </w:p>
    <w:p w:rsidR="000D4957" w:rsidRPr="00A0716C" w:rsidRDefault="000D4957" w:rsidP="000D4957">
      <w:pPr>
        <w:rPr>
          <w:sz w:val="16"/>
          <w:szCs w:val="16"/>
        </w:rPr>
      </w:pPr>
      <w:r w:rsidRPr="006E16D7">
        <w:rPr>
          <w:sz w:val="16"/>
          <w:szCs w:val="16"/>
          <w:vertAlign w:val="superscript"/>
        </w:rPr>
        <w:t>1</w:t>
      </w:r>
      <w:r>
        <w:rPr>
          <w:sz w:val="16"/>
          <w:szCs w:val="16"/>
        </w:rPr>
        <w:t xml:space="preserve"> S</w:t>
      </w:r>
      <w:r w:rsidRPr="00A0716C">
        <w:rPr>
          <w:sz w:val="16"/>
          <w:szCs w:val="16"/>
        </w:rPr>
        <w:t>ettlement is usually made in 30 days</w:t>
      </w:r>
      <w:r>
        <w:rPr>
          <w:sz w:val="16"/>
          <w:szCs w:val="16"/>
        </w:rPr>
        <w:t>.</w:t>
      </w:r>
    </w:p>
    <w:p w:rsidR="000D4957" w:rsidRDefault="000D4957" w:rsidP="000D4957">
      <w:pPr>
        <w:rPr>
          <w:sz w:val="16"/>
          <w:szCs w:val="16"/>
        </w:rPr>
      </w:pPr>
      <w:r w:rsidRPr="006E16D7">
        <w:rPr>
          <w:sz w:val="16"/>
          <w:szCs w:val="16"/>
          <w:vertAlign w:val="superscript"/>
        </w:rPr>
        <w:t xml:space="preserve">2 </w:t>
      </w:r>
      <w:r>
        <w:rPr>
          <w:sz w:val="16"/>
          <w:szCs w:val="16"/>
        </w:rPr>
        <w:t>S</w:t>
      </w:r>
      <w:r w:rsidRPr="00F41C42">
        <w:rPr>
          <w:sz w:val="16"/>
          <w:szCs w:val="16"/>
        </w:rPr>
        <w:t>ettlement will be made progressively until the end of the office lease in 2025</w:t>
      </w:r>
      <w:r>
        <w:rPr>
          <w:sz w:val="16"/>
          <w:szCs w:val="16"/>
        </w:rPr>
        <w:t>.</w:t>
      </w:r>
    </w:p>
    <w:p w:rsidR="007471AD" w:rsidRPr="007471AD" w:rsidRDefault="007471AD" w:rsidP="000D4957">
      <w:pPr>
        <w:rPr>
          <w:sz w:val="20"/>
          <w:szCs w:val="20"/>
        </w:rPr>
      </w:pPr>
    </w:p>
    <w:p w:rsidR="007471AD" w:rsidRPr="00F41C42" w:rsidRDefault="007471AD" w:rsidP="000D4957">
      <w:pPr>
        <w:rPr>
          <w:sz w:val="16"/>
          <w:szCs w:val="16"/>
        </w:rPr>
      </w:pPr>
      <w:r w:rsidRPr="002F1B8C">
        <w:rPr>
          <w:noProof/>
        </w:rPr>
        <w:drawing>
          <wp:inline distT="0" distB="0" distL="0" distR="0" wp14:anchorId="149A02BA" wp14:editId="73676566">
            <wp:extent cx="4494363" cy="177541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91102" cy="1774127"/>
                    </a:xfrm>
                    <a:prstGeom prst="rect">
                      <a:avLst/>
                    </a:prstGeom>
                    <a:noFill/>
                    <a:ln>
                      <a:noFill/>
                    </a:ln>
                  </pic:spPr>
                </pic:pic>
              </a:graphicData>
            </a:graphic>
          </wp:inline>
        </w:drawing>
      </w:r>
    </w:p>
    <w:p w:rsidR="000D4957" w:rsidRDefault="000D4957" w:rsidP="00B549EB">
      <w:pPr>
        <w:spacing w:before="120"/>
      </w:pPr>
    </w:p>
    <w:p w:rsidR="00B549EB" w:rsidRDefault="00B549EB" w:rsidP="00B549EB">
      <w:pPr>
        <w:ind w:left="142"/>
        <w:rPr>
          <w:sz w:val="14"/>
          <w:szCs w:val="16"/>
        </w:rPr>
      </w:pPr>
      <w:r>
        <w:rPr>
          <w:sz w:val="14"/>
          <w:szCs w:val="16"/>
        </w:rPr>
        <w:br w:type="page"/>
      </w:r>
    </w:p>
    <w:tbl>
      <w:tblPr>
        <w:tblW w:w="7088" w:type="dxa"/>
        <w:tblInd w:w="108" w:type="dxa"/>
        <w:tblLook w:val="04A0" w:firstRow="1" w:lastRow="0" w:firstColumn="1" w:lastColumn="0" w:noHBand="0" w:noVBand="1"/>
      </w:tblPr>
      <w:tblGrid>
        <w:gridCol w:w="7088"/>
      </w:tblGrid>
      <w:tr w:rsidR="00B549EB" w:rsidRPr="002942BC" w:rsidTr="00E42F6F">
        <w:trPr>
          <w:trHeight w:val="267"/>
        </w:trPr>
        <w:tc>
          <w:tcPr>
            <w:tcW w:w="7088" w:type="dxa"/>
            <w:shd w:val="clear" w:color="auto" w:fill="A6A6A6" w:themeFill="background1" w:themeFillShade="A6"/>
            <w:noWrap/>
            <w:vAlign w:val="bottom"/>
            <w:hideMark/>
          </w:tcPr>
          <w:p w:rsidR="00B549EB" w:rsidRPr="007924D2" w:rsidRDefault="00B549EB" w:rsidP="00E42F6F">
            <w:pPr>
              <w:rPr>
                <w:rFonts w:ascii="Arial" w:hAnsi="Arial" w:cs="Arial"/>
                <w:color w:val="FFFFFF" w:themeColor="background1"/>
                <w:sz w:val="18"/>
                <w:szCs w:val="18"/>
              </w:rPr>
            </w:pPr>
            <w:r>
              <w:rPr>
                <w:rFonts w:ascii="Arial" w:hAnsi="Arial" w:cs="Arial"/>
                <w:b/>
                <w:bCs/>
                <w:sz w:val="20"/>
                <w:szCs w:val="18"/>
              </w:rPr>
              <w:lastRenderedPageBreak/>
              <w:t>3. FUNDING</w:t>
            </w:r>
          </w:p>
        </w:tc>
      </w:tr>
      <w:tr w:rsidR="00B549EB" w:rsidRPr="007924D2" w:rsidTr="00E42F6F">
        <w:tblPrEx>
          <w:shd w:val="clear" w:color="auto" w:fill="000000" w:themeFill="text1"/>
        </w:tblPrEx>
        <w:trPr>
          <w:trHeight w:val="119"/>
        </w:trPr>
        <w:tc>
          <w:tcPr>
            <w:tcW w:w="7088" w:type="dxa"/>
            <w:shd w:val="clear" w:color="auto" w:fill="auto"/>
            <w:noWrap/>
            <w:vAlign w:val="bottom"/>
          </w:tcPr>
          <w:p w:rsidR="00B549EB" w:rsidRPr="007924D2" w:rsidRDefault="00B549EB" w:rsidP="00E42F6F">
            <w:pPr>
              <w:rPr>
                <w:rFonts w:ascii="Arial" w:hAnsi="Arial" w:cs="Arial"/>
                <w:b/>
                <w:bCs/>
                <w:color w:val="FFFFFF" w:themeColor="background1"/>
                <w:sz w:val="8"/>
                <w:szCs w:val="18"/>
              </w:rPr>
            </w:pPr>
          </w:p>
        </w:tc>
      </w:tr>
      <w:tr w:rsidR="00B549EB" w:rsidRPr="000F6CA6" w:rsidTr="00E42F6F">
        <w:tblPrEx>
          <w:shd w:val="clear" w:color="auto" w:fill="000000" w:themeFill="text1"/>
        </w:tblPrEx>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t>3.1: Appropriations</w:t>
            </w:r>
          </w:p>
        </w:tc>
      </w:tr>
    </w:tbl>
    <w:p w:rsidR="007471AD" w:rsidRPr="0095690E" w:rsidRDefault="007471AD" w:rsidP="007471AD">
      <w:pPr>
        <w:spacing w:before="60"/>
        <w:rPr>
          <w:sz w:val="16"/>
        </w:rPr>
      </w:pPr>
      <w:r w:rsidRPr="007471AD">
        <w:rPr>
          <w:noProof/>
        </w:rPr>
        <w:drawing>
          <wp:inline distT="0" distB="0" distL="0" distR="0" wp14:anchorId="349A6A7D" wp14:editId="22F404D2">
            <wp:extent cx="4494530" cy="200977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494530" cy="2009775"/>
                    </a:xfrm>
                    <a:prstGeom prst="rect">
                      <a:avLst/>
                    </a:prstGeom>
                    <a:noFill/>
                    <a:ln>
                      <a:noFill/>
                    </a:ln>
                  </pic:spPr>
                </pic:pic>
              </a:graphicData>
            </a:graphic>
          </wp:inline>
        </w:drawing>
      </w:r>
      <w:r w:rsidRPr="002821E1">
        <w:rPr>
          <w:sz w:val="16"/>
          <w:vertAlign w:val="superscript"/>
        </w:rPr>
        <w:t>1</w:t>
      </w:r>
      <w:r w:rsidRPr="0095690E">
        <w:rPr>
          <w:sz w:val="16"/>
        </w:rPr>
        <w:t xml:space="preserve"> Includes $3,653 for 2016-17 departmental appropriation that has been withheld and quarantined for administrative purposes. </w:t>
      </w:r>
      <w:r w:rsidRPr="002821E1">
        <w:rPr>
          <w:sz w:val="16"/>
        </w:rPr>
        <w:t>No form</w:t>
      </w:r>
      <w:r>
        <w:rPr>
          <w:sz w:val="16"/>
        </w:rPr>
        <w:t>al determination has been made.</w:t>
      </w:r>
    </w:p>
    <w:p w:rsidR="00B549EB" w:rsidRPr="002821E1" w:rsidRDefault="007471AD" w:rsidP="007471AD">
      <w:pPr>
        <w:spacing w:before="60" w:after="120"/>
        <w:rPr>
          <w:sz w:val="16"/>
        </w:rPr>
      </w:pPr>
      <w:r w:rsidRPr="002821E1">
        <w:rPr>
          <w:sz w:val="16"/>
        </w:rPr>
        <w:t xml:space="preserve">² The variance is mainly due to the surplus for the year after adding back </w:t>
      </w:r>
      <w:r>
        <w:rPr>
          <w:sz w:val="16"/>
        </w:rPr>
        <w:t>non-cost recovered depreciation.</w:t>
      </w:r>
    </w:p>
    <w:p w:rsidR="007471AD" w:rsidRDefault="007471AD" w:rsidP="007471AD">
      <w:pPr>
        <w:rPr>
          <w:sz w:val="16"/>
        </w:rPr>
      </w:pPr>
      <w:r w:rsidRPr="007471AD">
        <w:rPr>
          <w:noProof/>
        </w:rPr>
        <w:drawing>
          <wp:inline distT="0" distB="0" distL="0" distR="0" wp14:anchorId="2425553F" wp14:editId="47440CC8">
            <wp:extent cx="4494530" cy="131953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494530" cy="1319530"/>
                    </a:xfrm>
                    <a:prstGeom prst="rect">
                      <a:avLst/>
                    </a:prstGeom>
                    <a:noFill/>
                    <a:ln>
                      <a:noFill/>
                    </a:ln>
                  </pic:spPr>
                </pic:pic>
              </a:graphicData>
            </a:graphic>
          </wp:inline>
        </w:drawing>
      </w:r>
      <w:r>
        <w:rPr>
          <w:sz w:val="16"/>
          <w:vertAlign w:val="superscript"/>
        </w:rPr>
        <w:t>1</w:t>
      </w:r>
      <w:r w:rsidRPr="002821E1">
        <w:rPr>
          <w:sz w:val="16"/>
        </w:rPr>
        <w:t>This amount of $23,000 is departmental appropriation which has been quarantined. No formal determination has been made.</w:t>
      </w:r>
    </w:p>
    <w:p w:rsidR="00B549EB" w:rsidRPr="007471AD" w:rsidRDefault="007471AD" w:rsidP="007471AD">
      <w:pPr>
        <w:spacing w:before="120"/>
        <w:rPr>
          <w:sz w:val="16"/>
        </w:rPr>
      </w:pPr>
      <w:r>
        <w:rPr>
          <w:sz w:val="16"/>
          <w:vertAlign w:val="superscript"/>
        </w:rPr>
        <w:t>2</w:t>
      </w:r>
      <w:r w:rsidRPr="002821E1">
        <w:rPr>
          <w:sz w:val="16"/>
        </w:rPr>
        <w:t xml:space="preserve">This </w:t>
      </w:r>
      <w:r>
        <w:rPr>
          <w:sz w:val="16"/>
        </w:rPr>
        <w:t>includes</w:t>
      </w:r>
      <w:r w:rsidRPr="002821E1">
        <w:rPr>
          <w:sz w:val="16"/>
        </w:rPr>
        <w:t xml:space="preserve"> $3,</w:t>
      </w:r>
      <w:r>
        <w:rPr>
          <w:sz w:val="16"/>
        </w:rPr>
        <w:t>653 which</w:t>
      </w:r>
      <w:r w:rsidRPr="002821E1">
        <w:rPr>
          <w:sz w:val="16"/>
        </w:rPr>
        <w:t xml:space="preserve"> is departmental appropriation </w:t>
      </w:r>
      <w:r>
        <w:rPr>
          <w:sz w:val="16"/>
        </w:rPr>
        <w:t>that</w:t>
      </w:r>
      <w:r w:rsidRPr="002821E1">
        <w:rPr>
          <w:sz w:val="16"/>
        </w:rPr>
        <w:t xml:space="preserve"> has been quarantined. No formal determination has been made.</w:t>
      </w:r>
    </w:p>
    <w:p w:rsidR="00B549EB" w:rsidRDefault="00B549EB" w:rsidP="00B549EB">
      <w:pPr>
        <w:ind w:left="142"/>
      </w:pPr>
      <w:r>
        <w:br w:type="page"/>
      </w:r>
    </w:p>
    <w:tbl>
      <w:tblPr>
        <w:tblW w:w="7088" w:type="dxa"/>
        <w:tblInd w:w="108" w:type="dxa"/>
        <w:shd w:val="clear" w:color="auto" w:fill="000000" w:themeFill="text1"/>
        <w:tblLook w:val="04A0" w:firstRow="1" w:lastRow="0" w:firstColumn="1" w:lastColumn="0" w:noHBand="0" w:noVBand="1"/>
      </w:tblPr>
      <w:tblGrid>
        <w:gridCol w:w="7088"/>
      </w:tblGrid>
      <w:tr w:rsidR="00B549EB" w:rsidRPr="000F6CA6" w:rsidTr="00E42F6F">
        <w:trPr>
          <w:trHeight w:val="267"/>
        </w:trPr>
        <w:tc>
          <w:tcPr>
            <w:tcW w:w="7088" w:type="dxa"/>
            <w:shd w:val="clear" w:color="auto" w:fill="000000" w:themeFill="text1"/>
            <w:noWrap/>
            <w:vAlign w:val="bottom"/>
            <w:hideMark/>
          </w:tcPr>
          <w:p w:rsidR="00B549EB" w:rsidRPr="007924D2" w:rsidRDefault="00B549EB" w:rsidP="00E42F6F">
            <w:pPr>
              <w:rPr>
                <w:rFonts w:ascii="Arial" w:hAnsi="Arial" w:cs="Arial"/>
                <w:b/>
                <w:bCs/>
                <w:color w:val="FFFFFF" w:themeColor="background1"/>
                <w:sz w:val="18"/>
                <w:szCs w:val="18"/>
              </w:rPr>
            </w:pPr>
            <w:r>
              <w:rPr>
                <w:rFonts w:ascii="Arial" w:hAnsi="Arial" w:cs="Arial"/>
                <w:b/>
                <w:bCs/>
                <w:color w:val="FFFFFF" w:themeColor="background1"/>
                <w:sz w:val="18"/>
                <w:szCs w:val="18"/>
              </w:rPr>
              <w:lastRenderedPageBreak/>
              <w:t>3.2: Net Cash Appropriation Arrangements</w:t>
            </w:r>
          </w:p>
        </w:tc>
      </w:tr>
    </w:tbl>
    <w:p w:rsidR="00B549EB" w:rsidRDefault="009A39C4" w:rsidP="00B549EB">
      <w:pPr>
        <w:spacing w:before="120"/>
      </w:pPr>
      <w:r w:rsidRPr="009A39C4">
        <w:rPr>
          <w:noProof/>
        </w:rPr>
        <w:drawing>
          <wp:inline distT="0" distB="0" distL="0" distR="0" wp14:anchorId="60C52609" wp14:editId="06511FAF">
            <wp:extent cx="4500245" cy="220728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00245" cy="2207284"/>
                    </a:xfrm>
                    <a:prstGeom prst="rect">
                      <a:avLst/>
                    </a:prstGeom>
                    <a:noFill/>
                    <a:ln>
                      <a:noFill/>
                    </a:ln>
                  </pic:spPr>
                </pic:pic>
              </a:graphicData>
            </a:graphic>
          </wp:inline>
        </w:drawing>
      </w:r>
    </w:p>
    <w:p w:rsidR="00B549EB" w:rsidRDefault="00B549EB" w:rsidP="00B549EB">
      <w:pPr>
        <w:ind w:left="142"/>
      </w:pPr>
    </w:p>
    <w:p w:rsidR="00B549EB" w:rsidRDefault="00B549EB" w:rsidP="00B549EB">
      <w:pPr>
        <w:ind w:left="142"/>
      </w:pPr>
      <w:r>
        <w:br w:type="page"/>
      </w:r>
    </w:p>
    <w:tbl>
      <w:tblPr>
        <w:tblW w:w="7088" w:type="dxa"/>
        <w:tblInd w:w="108" w:type="dxa"/>
        <w:tblLook w:val="04A0" w:firstRow="1" w:lastRow="0" w:firstColumn="1" w:lastColumn="0" w:noHBand="0" w:noVBand="1"/>
      </w:tblPr>
      <w:tblGrid>
        <w:gridCol w:w="7088"/>
      </w:tblGrid>
      <w:tr w:rsidR="001456A7" w:rsidRPr="002942BC" w:rsidTr="00E42F6F">
        <w:trPr>
          <w:trHeight w:val="267"/>
        </w:trPr>
        <w:tc>
          <w:tcPr>
            <w:tcW w:w="7088" w:type="dxa"/>
            <w:shd w:val="clear" w:color="auto" w:fill="A6A6A6" w:themeFill="background1" w:themeFillShade="A6"/>
            <w:noWrap/>
            <w:vAlign w:val="bottom"/>
            <w:hideMark/>
          </w:tcPr>
          <w:p w:rsidR="001456A7" w:rsidRPr="007924D2" w:rsidRDefault="001456A7" w:rsidP="00E42F6F">
            <w:pPr>
              <w:rPr>
                <w:rFonts w:ascii="Arial" w:hAnsi="Arial" w:cs="Arial"/>
                <w:color w:val="FFFFFF" w:themeColor="background1"/>
                <w:sz w:val="18"/>
                <w:szCs w:val="18"/>
              </w:rPr>
            </w:pPr>
            <w:r>
              <w:rPr>
                <w:rFonts w:ascii="Arial" w:hAnsi="Arial" w:cs="Arial"/>
                <w:b/>
                <w:bCs/>
                <w:sz w:val="20"/>
                <w:szCs w:val="18"/>
              </w:rPr>
              <w:lastRenderedPageBreak/>
              <w:t>4. PEOPLE AND RELATIONSHIPS</w:t>
            </w:r>
          </w:p>
        </w:tc>
      </w:tr>
      <w:tr w:rsidR="001456A7" w:rsidRPr="007924D2" w:rsidTr="00E42F6F">
        <w:tblPrEx>
          <w:shd w:val="clear" w:color="auto" w:fill="000000" w:themeFill="text1"/>
        </w:tblPrEx>
        <w:trPr>
          <w:trHeight w:val="119"/>
        </w:trPr>
        <w:tc>
          <w:tcPr>
            <w:tcW w:w="7088" w:type="dxa"/>
            <w:shd w:val="clear" w:color="auto" w:fill="auto"/>
            <w:noWrap/>
            <w:vAlign w:val="bottom"/>
          </w:tcPr>
          <w:p w:rsidR="001456A7" w:rsidRPr="007924D2" w:rsidRDefault="001456A7" w:rsidP="00E42F6F">
            <w:pPr>
              <w:rPr>
                <w:rFonts w:ascii="Arial" w:hAnsi="Arial" w:cs="Arial"/>
                <w:b/>
                <w:bCs/>
                <w:color w:val="FFFFFF" w:themeColor="background1"/>
                <w:sz w:val="8"/>
                <w:szCs w:val="18"/>
              </w:rPr>
            </w:pPr>
          </w:p>
        </w:tc>
      </w:tr>
      <w:tr w:rsidR="001456A7" w:rsidRPr="000F6CA6" w:rsidTr="00E42F6F">
        <w:tblPrEx>
          <w:shd w:val="clear" w:color="auto" w:fill="000000" w:themeFill="text1"/>
        </w:tblPrEx>
        <w:trPr>
          <w:trHeight w:val="267"/>
        </w:trPr>
        <w:tc>
          <w:tcPr>
            <w:tcW w:w="7088" w:type="dxa"/>
            <w:shd w:val="clear" w:color="auto" w:fill="000000" w:themeFill="text1"/>
            <w:noWrap/>
            <w:vAlign w:val="bottom"/>
            <w:hideMark/>
          </w:tcPr>
          <w:p w:rsidR="001456A7" w:rsidRPr="007924D2" w:rsidRDefault="001456A7" w:rsidP="00E42F6F">
            <w:pPr>
              <w:rPr>
                <w:rFonts w:ascii="Arial" w:hAnsi="Arial" w:cs="Arial"/>
                <w:b/>
                <w:bCs/>
                <w:color w:val="FFFFFF" w:themeColor="background1"/>
                <w:sz w:val="18"/>
                <w:szCs w:val="18"/>
              </w:rPr>
            </w:pPr>
            <w:r>
              <w:rPr>
                <w:rFonts w:ascii="Arial" w:hAnsi="Arial" w:cs="Arial"/>
                <w:b/>
                <w:bCs/>
                <w:color w:val="FFFFFF" w:themeColor="background1"/>
                <w:sz w:val="18"/>
                <w:szCs w:val="18"/>
              </w:rPr>
              <w:t>4.1: Employee Provisions</w:t>
            </w:r>
          </w:p>
        </w:tc>
      </w:tr>
    </w:tbl>
    <w:p w:rsidR="001456A7" w:rsidRDefault="009A39C4" w:rsidP="001456A7">
      <w:r w:rsidRPr="009A39C4">
        <w:rPr>
          <w:noProof/>
        </w:rPr>
        <w:drawing>
          <wp:inline distT="0" distB="0" distL="0" distR="0">
            <wp:extent cx="4494530" cy="96647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494530" cy="966470"/>
                    </a:xfrm>
                    <a:prstGeom prst="rect">
                      <a:avLst/>
                    </a:prstGeom>
                    <a:noFill/>
                    <a:ln>
                      <a:noFill/>
                    </a:ln>
                  </pic:spPr>
                </pic:pic>
              </a:graphicData>
            </a:graphic>
          </wp:inline>
        </w:drawing>
      </w:r>
    </w:p>
    <w:p w:rsidR="009A39C4" w:rsidRPr="002821E1" w:rsidRDefault="009A39C4" w:rsidP="009A39C4">
      <w:pPr>
        <w:ind w:left="142"/>
        <w:rPr>
          <w:b/>
          <w:sz w:val="14"/>
        </w:rPr>
      </w:pPr>
      <w:r>
        <w:rPr>
          <w:b/>
          <w:noProof/>
          <w:sz w:val="20"/>
        </w:rPr>
        <mc:AlternateContent>
          <mc:Choice Requires="wps">
            <w:drawing>
              <wp:anchor distT="0" distB="0" distL="114300" distR="114300" simplePos="0" relativeHeight="251661312" behindDoc="0" locked="0" layoutInCell="1" allowOverlap="1" wp14:anchorId="03130277" wp14:editId="0B525238">
                <wp:simplePos x="0" y="0"/>
                <wp:positionH relativeFrom="column">
                  <wp:posOffset>31031</wp:posOffset>
                </wp:positionH>
                <wp:positionV relativeFrom="paragraph">
                  <wp:posOffset>731</wp:posOffset>
                </wp:positionV>
                <wp:extent cx="4486275" cy="3950898"/>
                <wp:effectExtent l="0" t="0" r="28575" b="12065"/>
                <wp:wrapNone/>
                <wp:docPr id="10" name="Rectangle 10"/>
                <wp:cNvGraphicFramePr/>
                <a:graphic xmlns:a="http://schemas.openxmlformats.org/drawingml/2006/main">
                  <a:graphicData uri="http://schemas.microsoft.com/office/word/2010/wordprocessingShape">
                    <wps:wsp>
                      <wps:cNvSpPr/>
                      <wps:spPr>
                        <a:xfrm>
                          <a:off x="0" y="0"/>
                          <a:ext cx="4486275" cy="3950898"/>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F4E" w:rsidRDefault="00803F4E" w:rsidP="00145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2.45pt;margin-top:.05pt;width:353.25pt;height:3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" filled="f" strokecolor="#a5a5a5 [2092]" strokeweight=".5pt">
                <v:textbox>
                  <w:txbxContent>
                    <w:p w:rsidR="00803F4E" w:rsidRDefault="00803F4E" w:rsidP="001456A7">
                      <w:pPr>
                        <w:jc w:val="center"/>
                      </w:pPr>
                    </w:p>
                  </w:txbxContent>
                </v:textbox>
              </v:rect>
            </w:pict>
          </mc:Fallback>
        </mc:AlternateContent>
      </w:r>
      <w:r w:rsidRPr="002821E1">
        <w:rPr>
          <w:b/>
          <w:sz w:val="14"/>
        </w:rPr>
        <w:t>Accounting Policy</w:t>
      </w:r>
    </w:p>
    <w:p w:rsidR="009A39C4" w:rsidRPr="002821E1" w:rsidRDefault="009A39C4" w:rsidP="009A39C4">
      <w:pPr>
        <w:spacing w:before="60"/>
        <w:ind w:left="142"/>
        <w:rPr>
          <w:b/>
          <w:i/>
          <w:sz w:val="14"/>
        </w:rPr>
      </w:pPr>
      <w:r w:rsidRPr="002821E1">
        <w:rPr>
          <w:b/>
          <w:i/>
          <w:sz w:val="14"/>
        </w:rPr>
        <w:t>Employee provisions</w:t>
      </w:r>
    </w:p>
    <w:p w:rsidR="009A39C4" w:rsidRPr="002821E1" w:rsidRDefault="009A39C4" w:rsidP="003C6E71">
      <w:pPr>
        <w:spacing w:before="60"/>
        <w:ind w:left="142"/>
        <w:rPr>
          <w:sz w:val="14"/>
        </w:rPr>
      </w:pPr>
      <w:r w:rsidRPr="002821E1">
        <w:rPr>
          <w:sz w:val="14"/>
        </w:rPr>
        <w:t xml:space="preserve">Liabilities for ‘short-term employee benefits’ (as defined in AASB 119 </w:t>
      </w:r>
      <w:r w:rsidRPr="00515596">
        <w:rPr>
          <w:i/>
          <w:sz w:val="14"/>
        </w:rPr>
        <w:t>Employee Benefits</w:t>
      </w:r>
      <w:r w:rsidRPr="002821E1">
        <w:rPr>
          <w:sz w:val="14"/>
        </w:rPr>
        <w:t>) and termination benefits expected within twelve months of the end of the reporting period are measured at their nominal amounts.</w:t>
      </w:r>
    </w:p>
    <w:p w:rsidR="009A39C4" w:rsidRPr="002821E1" w:rsidRDefault="009A39C4" w:rsidP="009A39C4">
      <w:pPr>
        <w:spacing w:before="60"/>
        <w:ind w:left="142"/>
        <w:rPr>
          <w:sz w:val="14"/>
        </w:rPr>
      </w:pPr>
      <w:r w:rsidRPr="002821E1">
        <w:rPr>
          <w:sz w:val="14"/>
        </w:rPr>
        <w:t>The nominal amount is calculated with regard to the rates expected to be paid on settlement of the liability.</w:t>
      </w:r>
    </w:p>
    <w:p w:rsidR="009A39C4" w:rsidRPr="002821E1" w:rsidRDefault="009A39C4" w:rsidP="009A39C4">
      <w:pPr>
        <w:ind w:left="142"/>
        <w:rPr>
          <w:sz w:val="14"/>
        </w:rPr>
      </w:pPr>
      <w:r w:rsidRPr="002821E1">
        <w:rPr>
          <w:sz w:val="14"/>
        </w:rPr>
        <w:t>Long-term employee benefits are measured at total net  present value of the defined benefit obligation at the end of the reporting period.</w:t>
      </w:r>
    </w:p>
    <w:p w:rsidR="009A39C4" w:rsidRPr="002821E1" w:rsidRDefault="009A39C4" w:rsidP="009A39C4">
      <w:pPr>
        <w:spacing w:before="60"/>
        <w:ind w:left="142"/>
        <w:rPr>
          <w:b/>
          <w:i/>
          <w:sz w:val="14"/>
        </w:rPr>
      </w:pPr>
      <w:r w:rsidRPr="002821E1">
        <w:rPr>
          <w:b/>
          <w:i/>
          <w:sz w:val="14"/>
        </w:rPr>
        <w:t>Leave</w:t>
      </w:r>
    </w:p>
    <w:p w:rsidR="009A39C4" w:rsidRPr="002821E1" w:rsidRDefault="009A39C4" w:rsidP="003C6E71">
      <w:pPr>
        <w:spacing w:before="60"/>
        <w:ind w:left="142"/>
        <w:rPr>
          <w:sz w:val="14"/>
        </w:rPr>
      </w:pPr>
      <w:r w:rsidRPr="002821E1">
        <w:rPr>
          <w:sz w:val="14"/>
        </w:rPr>
        <w:t>The liability for employee benefits includes provision for annual leave and long service leave.  No provision has been made for sick leave as all sick leave is non-vesting and the average sick leave taken in future years by employees of OPC is estimated to be less than the annual entitlement for sick leave.</w:t>
      </w:r>
    </w:p>
    <w:p w:rsidR="009A39C4" w:rsidRPr="0038320B" w:rsidRDefault="009A39C4" w:rsidP="009A39C4">
      <w:pPr>
        <w:spacing w:before="60"/>
        <w:ind w:left="142"/>
        <w:rPr>
          <w:sz w:val="14"/>
        </w:rPr>
      </w:pPr>
      <w:r w:rsidRPr="002821E1">
        <w:rPr>
          <w:sz w:val="14"/>
        </w:rPr>
        <w:t xml:space="preserve">The leave liabilities are calculated on the basis of employees’ remuneration at the estimated salary rates that will be applied at the time the leave is taken, including OPC's employer superannuation contribution rates to the extent that the leave is </w:t>
      </w:r>
      <w:r w:rsidRPr="0038320B">
        <w:rPr>
          <w:sz w:val="14"/>
        </w:rPr>
        <w:t>likely to be taken during service rather than paid out on termination.</w:t>
      </w:r>
    </w:p>
    <w:p w:rsidR="009A39C4" w:rsidRPr="002821E1" w:rsidRDefault="009A39C4" w:rsidP="009A39C4">
      <w:pPr>
        <w:spacing w:before="60"/>
        <w:ind w:left="142"/>
        <w:rPr>
          <w:sz w:val="14"/>
        </w:rPr>
      </w:pPr>
      <w:r w:rsidRPr="0038320B">
        <w:rPr>
          <w:sz w:val="14"/>
        </w:rPr>
        <w:t xml:space="preserve">The liability for long service leave has been determined by reference to paragraph 24(a) of the  </w:t>
      </w:r>
      <w:r w:rsidRPr="0038320B">
        <w:rPr>
          <w:i/>
          <w:sz w:val="14"/>
        </w:rPr>
        <w:t xml:space="preserve">Public Governance, Performance and Accountability (Financial Reporting) Rule 2015 </w:t>
      </w:r>
      <w:r w:rsidRPr="00EF2B83">
        <w:rPr>
          <w:sz w:val="14"/>
        </w:rPr>
        <w:t>u</w:t>
      </w:r>
      <w:r w:rsidRPr="0038320B">
        <w:rPr>
          <w:sz w:val="14"/>
        </w:rPr>
        <w:t>sin</w:t>
      </w:r>
      <w:r w:rsidRPr="002821E1">
        <w:rPr>
          <w:sz w:val="14"/>
        </w:rPr>
        <w:t>g the shorthand method.  The estimate of the present value of the liability takes into account attrition rates and pay increases through promotion and inflation.</w:t>
      </w:r>
    </w:p>
    <w:p w:rsidR="009A39C4" w:rsidRPr="002821E1" w:rsidRDefault="009A39C4" w:rsidP="009A39C4">
      <w:pPr>
        <w:spacing w:before="60"/>
        <w:ind w:left="142"/>
        <w:rPr>
          <w:b/>
          <w:i/>
          <w:sz w:val="14"/>
        </w:rPr>
      </w:pPr>
      <w:r w:rsidRPr="002821E1">
        <w:rPr>
          <w:b/>
          <w:i/>
          <w:sz w:val="14"/>
        </w:rPr>
        <w:t>Separation and Redundancy</w:t>
      </w:r>
    </w:p>
    <w:p w:rsidR="009A39C4" w:rsidRPr="002821E1" w:rsidRDefault="009A39C4" w:rsidP="003C6E71">
      <w:pPr>
        <w:spacing w:before="60"/>
        <w:ind w:left="142"/>
        <w:rPr>
          <w:sz w:val="14"/>
        </w:rPr>
      </w:pPr>
      <w:r w:rsidRPr="002821E1">
        <w:rPr>
          <w:sz w:val="14"/>
        </w:rPr>
        <w:t>Provision is made for separation and redundancy benefit payments.  OPC recognises a provision for termination when it has developed a detailed formal plan for terminations and has informed those employees affected that it will carry out the terminations.</w:t>
      </w:r>
    </w:p>
    <w:p w:rsidR="009A39C4" w:rsidRPr="002821E1" w:rsidRDefault="009A39C4" w:rsidP="009A39C4">
      <w:pPr>
        <w:spacing w:before="60"/>
        <w:ind w:left="142"/>
        <w:rPr>
          <w:b/>
          <w:i/>
          <w:sz w:val="14"/>
        </w:rPr>
      </w:pPr>
      <w:r w:rsidRPr="002821E1">
        <w:rPr>
          <w:b/>
          <w:i/>
          <w:sz w:val="14"/>
        </w:rPr>
        <w:t>Superannuation</w:t>
      </w:r>
    </w:p>
    <w:p w:rsidR="009A39C4" w:rsidRPr="002821E1" w:rsidRDefault="009A39C4" w:rsidP="003C6E71">
      <w:pPr>
        <w:spacing w:before="60"/>
        <w:ind w:left="142"/>
        <w:rPr>
          <w:sz w:val="14"/>
        </w:rPr>
      </w:pPr>
      <w:r w:rsidRPr="002821E1">
        <w:rPr>
          <w:sz w:val="14"/>
        </w:rPr>
        <w:t>Staff of OPC are members of the Commonwealth Superannuation Scheme (CSS), the Public Sector Superannuation Scheme (PSS), the PSS accumulation plan (PSSap) or a complying fund  chosen by the employee.</w:t>
      </w:r>
    </w:p>
    <w:p w:rsidR="009A39C4" w:rsidRPr="002821E1" w:rsidRDefault="009A39C4" w:rsidP="009A39C4">
      <w:pPr>
        <w:spacing w:before="60"/>
        <w:ind w:left="142"/>
        <w:rPr>
          <w:sz w:val="14"/>
        </w:rPr>
      </w:pPr>
      <w:r w:rsidRPr="002821E1">
        <w:rPr>
          <w:sz w:val="14"/>
        </w:rPr>
        <w:t>The CSS and PSS are defined benefit schemes for the Australian Government.  The PSSap and other funds are defined contribution schemes.</w:t>
      </w:r>
    </w:p>
    <w:p w:rsidR="009A39C4" w:rsidRPr="002821E1" w:rsidRDefault="009A39C4" w:rsidP="009A39C4">
      <w:pPr>
        <w:spacing w:before="60"/>
        <w:ind w:left="142"/>
        <w:rPr>
          <w:sz w:val="14"/>
        </w:rPr>
      </w:pPr>
      <w:r w:rsidRPr="002821E1">
        <w:rPr>
          <w:sz w:val="14"/>
        </w:rPr>
        <w:t>The liability for defined benefits is recognised in the Financial Statements of the Australian Government and is settled by the Australian Government in due course. This liability is reported by the Department of Finance as an administered item.</w:t>
      </w:r>
    </w:p>
    <w:p w:rsidR="009A39C4" w:rsidRPr="002821E1" w:rsidRDefault="009A39C4" w:rsidP="009A39C4">
      <w:pPr>
        <w:spacing w:before="60"/>
        <w:ind w:left="142"/>
        <w:rPr>
          <w:sz w:val="14"/>
        </w:rPr>
      </w:pPr>
      <w:r w:rsidRPr="002821E1">
        <w:rPr>
          <w:sz w:val="14"/>
        </w:rPr>
        <w:t xml:space="preserve">OPC makes employer contributions to the employee superannuation scheme at rates determined by an actuary to be sufficient to meet the current cost to the Government. OPC accounts for the contributions as if they were contributions to defined contribution plans. </w:t>
      </w:r>
    </w:p>
    <w:p w:rsidR="001456A7" w:rsidRPr="009A39C4" w:rsidRDefault="009A39C4" w:rsidP="001456A7">
      <w:pPr>
        <w:spacing w:before="60"/>
        <w:ind w:left="142"/>
        <w:rPr>
          <w:sz w:val="14"/>
        </w:rPr>
      </w:pPr>
      <w:r w:rsidRPr="002821E1">
        <w:rPr>
          <w:sz w:val="14"/>
        </w:rPr>
        <w:t>The liability for superannuation recognised as at 30 June represents outstanding contributions for the final fortnight of the year.</w:t>
      </w:r>
    </w:p>
    <w:p w:rsidR="001456A7" w:rsidRPr="002821E1" w:rsidRDefault="001456A7" w:rsidP="001456A7">
      <w:pPr>
        <w:spacing w:before="240"/>
        <w:ind w:left="142"/>
        <w:rPr>
          <w:b/>
          <w:sz w:val="14"/>
        </w:rPr>
      </w:pPr>
      <w:r w:rsidRPr="002821E1">
        <w:rPr>
          <w:b/>
          <w:noProof/>
          <w:sz w:val="18"/>
        </w:rPr>
        <mc:AlternateContent>
          <mc:Choice Requires="wps">
            <w:drawing>
              <wp:anchor distT="0" distB="0" distL="114300" distR="114300" simplePos="0" relativeHeight="251662336" behindDoc="0" locked="0" layoutInCell="1" allowOverlap="1" wp14:anchorId="7EEDE516" wp14:editId="077A8A29">
                <wp:simplePos x="0" y="0"/>
                <wp:positionH relativeFrom="column">
                  <wp:posOffset>29845</wp:posOffset>
                </wp:positionH>
                <wp:positionV relativeFrom="paragraph">
                  <wp:posOffset>102870</wp:posOffset>
                </wp:positionV>
                <wp:extent cx="4486275" cy="5429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4486275" cy="542925"/>
                        </a:xfrm>
                        <a:prstGeom prst="rect">
                          <a:avLst/>
                        </a:prstGeom>
                        <a:noFill/>
                        <a:ln w="6350">
                          <a:solidFill>
                            <a:schemeClr val="bg1">
                              <a:lumMod val="6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803F4E" w:rsidRDefault="00803F4E" w:rsidP="001456A7">
                            <w:pPr>
                              <w:jc w:val="center"/>
                            </w:pPr>
                          </w:p>
                          <w:p w:rsidR="00803F4E" w:rsidRDefault="00803F4E" w:rsidP="001456A7">
                            <w:pPr>
                              <w:jc w:val="center"/>
                            </w:pPr>
                          </w:p>
                          <w:p w:rsidR="00803F4E" w:rsidRDefault="00803F4E" w:rsidP="001456A7">
                            <w:pPr>
                              <w:jc w:val="center"/>
                            </w:pPr>
                          </w:p>
                          <w:p w:rsidR="00803F4E" w:rsidRDefault="00803F4E" w:rsidP="00145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2.35pt;margin-top:8.1pt;width:353.25pt;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" filled="f" strokecolor="#a5a5a5 [2092]" strokeweight=".5pt">
                <v:stroke dashstyle="1 1"/>
                <v:textbox>
                  <w:txbxContent>
                    <w:p w:rsidR="00803F4E" w:rsidRDefault="00803F4E" w:rsidP="001456A7">
                      <w:pPr>
                        <w:jc w:val="center"/>
                      </w:pPr>
                    </w:p>
                    <w:p w:rsidR="00803F4E" w:rsidRDefault="00803F4E" w:rsidP="001456A7">
                      <w:pPr>
                        <w:jc w:val="center"/>
                      </w:pPr>
                    </w:p>
                    <w:p w:rsidR="00803F4E" w:rsidRDefault="00803F4E" w:rsidP="001456A7">
                      <w:pPr>
                        <w:jc w:val="center"/>
                      </w:pPr>
                    </w:p>
                    <w:p w:rsidR="00803F4E" w:rsidRDefault="00803F4E" w:rsidP="001456A7">
                      <w:pPr>
                        <w:jc w:val="center"/>
                      </w:pPr>
                    </w:p>
                  </w:txbxContent>
                </v:textbox>
              </v:rect>
            </w:pict>
          </mc:Fallback>
        </mc:AlternateContent>
      </w:r>
      <w:r w:rsidRPr="002821E1">
        <w:rPr>
          <w:b/>
          <w:sz w:val="14"/>
        </w:rPr>
        <w:t>Accounting Judgements and Estimates</w:t>
      </w:r>
    </w:p>
    <w:p w:rsidR="001456A7" w:rsidRPr="002821E1" w:rsidRDefault="001456A7" w:rsidP="001456A7">
      <w:pPr>
        <w:ind w:left="142"/>
        <w:rPr>
          <w:sz w:val="14"/>
        </w:rPr>
      </w:pPr>
      <w:r w:rsidRPr="002821E1">
        <w:rPr>
          <w:sz w:val="14"/>
        </w:rPr>
        <w:t>The long service leave provision at balance date required management judgement including:</w:t>
      </w:r>
    </w:p>
    <w:p w:rsidR="001456A7" w:rsidRPr="002821E1" w:rsidRDefault="001456A7" w:rsidP="001456A7">
      <w:pPr>
        <w:ind w:left="142"/>
        <w:rPr>
          <w:sz w:val="14"/>
        </w:rPr>
      </w:pPr>
      <w:r w:rsidRPr="002821E1">
        <w:rPr>
          <w:sz w:val="14"/>
        </w:rPr>
        <w:t xml:space="preserve"> - future salary and wage increases, and </w:t>
      </w:r>
    </w:p>
    <w:p w:rsidR="001456A7" w:rsidRDefault="001456A7" w:rsidP="001456A7">
      <w:pPr>
        <w:ind w:left="142"/>
        <w:rPr>
          <w:sz w:val="20"/>
        </w:rPr>
      </w:pPr>
      <w:r w:rsidRPr="002821E1">
        <w:rPr>
          <w:sz w:val="14"/>
        </w:rPr>
        <w:t xml:space="preserve"> - past patterns of promotions and departures.</w:t>
      </w:r>
      <w:r w:rsidRPr="002821E1">
        <w:rPr>
          <w:sz w:val="20"/>
        </w:rPr>
        <w:br w:type="page"/>
      </w:r>
    </w:p>
    <w:tbl>
      <w:tblPr>
        <w:tblW w:w="7088" w:type="dxa"/>
        <w:tblInd w:w="108" w:type="dxa"/>
        <w:shd w:val="clear" w:color="auto" w:fill="000000" w:themeFill="text1"/>
        <w:tblLook w:val="04A0" w:firstRow="1" w:lastRow="0" w:firstColumn="1" w:lastColumn="0" w:noHBand="0" w:noVBand="1"/>
      </w:tblPr>
      <w:tblGrid>
        <w:gridCol w:w="7088"/>
      </w:tblGrid>
      <w:tr w:rsidR="001456A7" w:rsidRPr="000F6CA6" w:rsidTr="00E42F6F">
        <w:trPr>
          <w:trHeight w:val="267"/>
        </w:trPr>
        <w:tc>
          <w:tcPr>
            <w:tcW w:w="7088" w:type="dxa"/>
            <w:shd w:val="clear" w:color="auto" w:fill="000000" w:themeFill="text1"/>
            <w:noWrap/>
            <w:vAlign w:val="bottom"/>
            <w:hideMark/>
          </w:tcPr>
          <w:p w:rsidR="001456A7" w:rsidRPr="007924D2" w:rsidRDefault="009A39C4" w:rsidP="009A39C4">
            <w:pPr>
              <w:ind w:right="-250"/>
              <w:rPr>
                <w:rFonts w:ascii="Arial" w:hAnsi="Arial" w:cs="Arial"/>
                <w:b/>
                <w:bCs/>
                <w:color w:val="FFFFFF" w:themeColor="background1"/>
                <w:sz w:val="18"/>
                <w:szCs w:val="18"/>
              </w:rPr>
            </w:pPr>
            <w:r>
              <w:rPr>
                <w:rFonts w:ascii="Arial" w:hAnsi="Arial" w:cs="Arial"/>
                <w:b/>
                <w:bCs/>
                <w:color w:val="FFFFFF" w:themeColor="background1"/>
                <w:sz w:val="18"/>
                <w:szCs w:val="18"/>
              </w:rPr>
              <w:lastRenderedPageBreak/>
              <w:t>4.2: Key</w:t>
            </w:r>
            <w:r w:rsidR="001456A7">
              <w:rPr>
                <w:rFonts w:ascii="Arial" w:hAnsi="Arial" w:cs="Arial"/>
                <w:b/>
                <w:bCs/>
                <w:color w:val="FFFFFF" w:themeColor="background1"/>
                <w:sz w:val="18"/>
                <w:szCs w:val="18"/>
              </w:rPr>
              <w:t xml:space="preserve"> Management Personnel Remuneration</w:t>
            </w:r>
          </w:p>
        </w:tc>
      </w:tr>
    </w:tbl>
    <w:p w:rsidR="009A39C4" w:rsidRPr="009A39C4" w:rsidRDefault="009A39C4" w:rsidP="009A39C4">
      <w:pPr>
        <w:pStyle w:val="Head5"/>
        <w:spacing w:before="0" w:after="0" w:line="260" w:lineRule="atLeast"/>
        <w:rPr>
          <w:rFonts w:ascii="Times New Roman" w:eastAsiaTheme="minorHAnsi" w:hAnsi="Times New Roman"/>
          <w:b w:val="0"/>
          <w:i w:val="0"/>
          <w:color w:val="auto"/>
          <w:kern w:val="0"/>
          <w:sz w:val="18"/>
          <w:szCs w:val="18"/>
          <w:lang w:eastAsia="en-US"/>
        </w:rPr>
      </w:pPr>
      <w:r w:rsidRPr="009A39C4">
        <w:rPr>
          <w:rFonts w:ascii="Times New Roman" w:eastAsiaTheme="minorHAnsi" w:hAnsi="Times New Roman"/>
          <w:b w:val="0"/>
          <w:i w:val="0"/>
          <w:color w:val="auto"/>
          <w:kern w:val="0"/>
          <w:sz w:val="18"/>
          <w:szCs w:val="18"/>
          <w:lang w:eastAsia="en-US"/>
        </w:rPr>
        <w:t>Key Management Personnel are those persons having authority and responsibility for planning, directing and controlling the activities of the entity, directly or indirectly. OPC has determined the Key Management Personnel to be the First Parliamentary Counsel, the two Second Parliamentary Counsel, the General Manager and Chief Finance Officer, and the General Manager Publications. Key management personnel remuneration is reported in the table below:</w:t>
      </w:r>
    </w:p>
    <w:p w:rsidR="001456A7" w:rsidRDefault="009A39C4" w:rsidP="009A39C4">
      <w:pPr>
        <w:rPr>
          <w:sz w:val="20"/>
        </w:rPr>
      </w:pPr>
      <w:r w:rsidRPr="009A39C4">
        <w:rPr>
          <w:noProof/>
        </w:rPr>
        <w:drawing>
          <wp:inline distT="0" distB="0" distL="0" distR="0">
            <wp:extent cx="4459605" cy="1035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59605" cy="1035050"/>
                    </a:xfrm>
                    <a:prstGeom prst="rect">
                      <a:avLst/>
                    </a:prstGeom>
                    <a:noFill/>
                    <a:ln>
                      <a:noFill/>
                    </a:ln>
                  </pic:spPr>
                </pic:pic>
              </a:graphicData>
            </a:graphic>
          </wp:inline>
        </w:drawing>
      </w:r>
    </w:p>
    <w:p w:rsidR="009A39C4" w:rsidRPr="00331CD5" w:rsidRDefault="009A39C4" w:rsidP="009A39C4">
      <w:pPr>
        <w:spacing w:before="120"/>
        <w:rPr>
          <w:sz w:val="18"/>
          <w:szCs w:val="18"/>
        </w:rPr>
      </w:pPr>
      <w:r w:rsidRPr="00331CD5">
        <w:rPr>
          <w:sz w:val="18"/>
          <w:szCs w:val="18"/>
        </w:rPr>
        <w:t>The total number of Key Management Personnel that are included in the above table are 6 full-time employees.</w:t>
      </w:r>
    </w:p>
    <w:p w:rsidR="009A39C4" w:rsidRDefault="009A39C4" w:rsidP="009A39C4">
      <w:pPr>
        <w:spacing w:before="60"/>
        <w:rPr>
          <w:sz w:val="16"/>
        </w:rPr>
      </w:pPr>
      <w:r w:rsidRPr="00515596">
        <w:rPr>
          <w:sz w:val="16"/>
        </w:rPr>
        <w:t>¹</w:t>
      </w:r>
      <w:r>
        <w:rPr>
          <w:sz w:val="16"/>
        </w:rPr>
        <w:t xml:space="preserve">Short-term employee benefits </w:t>
      </w:r>
      <w:r w:rsidRPr="00515596">
        <w:rPr>
          <w:sz w:val="16"/>
        </w:rPr>
        <w:t xml:space="preserve"> includes </w:t>
      </w:r>
      <w:r>
        <w:rPr>
          <w:sz w:val="16"/>
        </w:rPr>
        <w:t>salary, performance bonuses, motor vehicle allowances and SES experience loading.</w:t>
      </w:r>
    </w:p>
    <w:p w:rsidR="009A39C4" w:rsidRDefault="009A39C4" w:rsidP="009A39C4">
      <w:pPr>
        <w:spacing w:before="60"/>
        <w:rPr>
          <w:sz w:val="16"/>
        </w:rPr>
      </w:pPr>
      <w:r w:rsidRPr="0026176F">
        <w:rPr>
          <w:sz w:val="16"/>
          <w:vertAlign w:val="superscript"/>
        </w:rPr>
        <w:t>2</w:t>
      </w:r>
      <w:r>
        <w:rPr>
          <w:sz w:val="16"/>
        </w:rPr>
        <w:t>Post-employment benefits includes superannuation.</w:t>
      </w:r>
    </w:p>
    <w:p w:rsidR="009A39C4" w:rsidRDefault="009A39C4" w:rsidP="009A39C4">
      <w:pPr>
        <w:spacing w:before="60"/>
        <w:rPr>
          <w:sz w:val="16"/>
        </w:rPr>
      </w:pPr>
      <w:r w:rsidRPr="0026176F">
        <w:rPr>
          <w:sz w:val="16"/>
          <w:vertAlign w:val="superscript"/>
        </w:rPr>
        <w:t>3</w:t>
      </w:r>
      <w:r>
        <w:rPr>
          <w:sz w:val="16"/>
        </w:rPr>
        <w:t>Other long-term employee benefits includes annual leave and long service leave.</w:t>
      </w:r>
    </w:p>
    <w:p w:rsidR="009A39C4" w:rsidRDefault="009A39C4" w:rsidP="009A39C4">
      <w:pPr>
        <w:spacing w:before="60"/>
        <w:rPr>
          <w:sz w:val="16"/>
        </w:rPr>
      </w:pPr>
    </w:p>
    <w:tbl>
      <w:tblPr>
        <w:tblW w:w="7088" w:type="dxa"/>
        <w:tblInd w:w="108" w:type="dxa"/>
        <w:shd w:val="clear" w:color="auto" w:fill="000000" w:themeFill="text1"/>
        <w:tblLook w:val="04A0" w:firstRow="1" w:lastRow="0" w:firstColumn="1" w:lastColumn="0" w:noHBand="0" w:noVBand="1"/>
      </w:tblPr>
      <w:tblGrid>
        <w:gridCol w:w="7088"/>
      </w:tblGrid>
      <w:tr w:rsidR="009A39C4" w:rsidRPr="000F6CA6" w:rsidTr="008F4DD7">
        <w:trPr>
          <w:trHeight w:val="267"/>
        </w:trPr>
        <w:tc>
          <w:tcPr>
            <w:tcW w:w="7088" w:type="dxa"/>
            <w:shd w:val="clear" w:color="auto" w:fill="000000" w:themeFill="text1"/>
            <w:noWrap/>
            <w:vAlign w:val="bottom"/>
            <w:hideMark/>
          </w:tcPr>
          <w:p w:rsidR="009A39C4" w:rsidRPr="007924D2" w:rsidRDefault="009A39C4" w:rsidP="008F4DD7">
            <w:pPr>
              <w:ind w:right="-250"/>
              <w:rPr>
                <w:rFonts w:ascii="Arial" w:hAnsi="Arial" w:cs="Arial"/>
                <w:b/>
                <w:bCs/>
                <w:color w:val="FFFFFF" w:themeColor="background1"/>
                <w:sz w:val="18"/>
                <w:szCs w:val="18"/>
              </w:rPr>
            </w:pPr>
            <w:r>
              <w:rPr>
                <w:rFonts w:ascii="Arial" w:hAnsi="Arial" w:cs="Arial"/>
                <w:b/>
                <w:bCs/>
                <w:color w:val="FFFFFF" w:themeColor="background1"/>
                <w:sz w:val="18"/>
                <w:szCs w:val="18"/>
              </w:rPr>
              <w:t>4.3: Related Party Disclosures</w:t>
            </w:r>
          </w:p>
        </w:tc>
      </w:tr>
    </w:tbl>
    <w:p w:rsidR="009A39C4" w:rsidRPr="009A39C4" w:rsidRDefault="009A39C4" w:rsidP="009A39C4"/>
    <w:p w:rsidR="009A39C4" w:rsidRPr="009A39C4" w:rsidRDefault="009A39C4" w:rsidP="009A39C4">
      <w:pPr>
        <w:rPr>
          <w:b/>
          <w:bCs/>
          <w:sz w:val="16"/>
          <w:szCs w:val="16"/>
        </w:rPr>
      </w:pPr>
      <w:r w:rsidRPr="009A39C4">
        <w:rPr>
          <w:b/>
          <w:bCs/>
          <w:sz w:val="16"/>
          <w:szCs w:val="16"/>
        </w:rPr>
        <w:t>Related party relationships:</w:t>
      </w:r>
    </w:p>
    <w:p w:rsidR="009A39C4" w:rsidRPr="009A39C4" w:rsidRDefault="009A39C4" w:rsidP="009A39C4">
      <w:pPr>
        <w:pStyle w:val="Head5"/>
        <w:spacing w:before="0" w:after="0" w:line="260" w:lineRule="atLeast"/>
        <w:rPr>
          <w:rFonts w:ascii="Times New Roman" w:eastAsiaTheme="minorHAnsi" w:hAnsi="Times New Roman"/>
          <w:b w:val="0"/>
          <w:i w:val="0"/>
          <w:color w:val="auto"/>
          <w:kern w:val="0"/>
          <w:sz w:val="18"/>
          <w:szCs w:val="18"/>
          <w:lang w:eastAsia="en-US"/>
        </w:rPr>
      </w:pPr>
      <w:r w:rsidRPr="009A39C4">
        <w:rPr>
          <w:rFonts w:ascii="Times New Roman" w:eastAsiaTheme="minorHAnsi" w:hAnsi="Times New Roman"/>
          <w:b w:val="0"/>
          <w:i w:val="0"/>
          <w:color w:val="auto"/>
          <w:kern w:val="0"/>
          <w:sz w:val="18"/>
          <w:szCs w:val="18"/>
          <w:lang w:eastAsia="en-US"/>
        </w:rPr>
        <w:t>OPC is an Australian Government controlled entity. Related parties to this entity are Key Management Personnel.</w:t>
      </w:r>
    </w:p>
    <w:p w:rsidR="009A39C4" w:rsidRPr="009A39C4" w:rsidRDefault="009A39C4" w:rsidP="009A39C4">
      <w:pPr>
        <w:pStyle w:val="Head5"/>
        <w:spacing w:before="0" w:after="0" w:line="260" w:lineRule="atLeast"/>
        <w:rPr>
          <w:rFonts w:ascii="Times New Roman" w:eastAsiaTheme="minorHAnsi" w:hAnsi="Times New Roman"/>
          <w:b w:val="0"/>
          <w:i w:val="0"/>
          <w:color w:val="auto"/>
          <w:kern w:val="0"/>
          <w:sz w:val="18"/>
          <w:szCs w:val="18"/>
          <w:lang w:eastAsia="en-US"/>
        </w:rPr>
      </w:pPr>
    </w:p>
    <w:p w:rsidR="009A39C4" w:rsidRPr="009A39C4" w:rsidRDefault="009A39C4" w:rsidP="009A39C4">
      <w:pPr>
        <w:rPr>
          <w:b/>
          <w:bCs/>
          <w:sz w:val="16"/>
          <w:szCs w:val="16"/>
        </w:rPr>
      </w:pPr>
      <w:r w:rsidRPr="009A39C4">
        <w:rPr>
          <w:b/>
          <w:bCs/>
          <w:sz w:val="16"/>
          <w:szCs w:val="16"/>
        </w:rPr>
        <w:t>Transactions with related parties:</w:t>
      </w:r>
    </w:p>
    <w:p w:rsidR="009A39C4" w:rsidRPr="009A39C4" w:rsidRDefault="009A39C4" w:rsidP="009A39C4">
      <w:pPr>
        <w:pStyle w:val="Head5"/>
        <w:spacing w:before="0" w:after="0" w:line="260" w:lineRule="atLeast"/>
        <w:rPr>
          <w:rFonts w:ascii="Times New Roman" w:eastAsiaTheme="minorHAnsi" w:hAnsi="Times New Roman"/>
          <w:b w:val="0"/>
          <w:i w:val="0"/>
          <w:color w:val="auto"/>
          <w:kern w:val="0"/>
          <w:sz w:val="18"/>
          <w:szCs w:val="18"/>
          <w:lang w:eastAsia="en-US"/>
        </w:rPr>
      </w:pPr>
      <w:r w:rsidRPr="009A39C4">
        <w:rPr>
          <w:rFonts w:ascii="Times New Roman" w:eastAsiaTheme="minorHAnsi" w:hAnsi="Times New Roman"/>
          <w:b w:val="0"/>
          <w:i w:val="0"/>
          <w:color w:val="auto"/>
          <w:kern w:val="0"/>
          <w:sz w:val="18"/>
          <w:szCs w:val="18"/>
          <w:lang w:eastAsia="en-US"/>
        </w:rPr>
        <w:t xml:space="preserve">Given the breadth of Government activities, related parties may transact with the government sector in the same capacity as ordinary citizens. Such transactions include the payment or refund of taxes, receipt of a Medicare rebate or higher education loans. These transactions have not been separately disclosed in this note. </w:t>
      </w:r>
    </w:p>
    <w:p w:rsidR="009A39C4" w:rsidRPr="009A39C4" w:rsidRDefault="009A39C4" w:rsidP="009A39C4">
      <w:pPr>
        <w:pStyle w:val="Head5"/>
        <w:spacing w:before="0" w:after="0" w:line="260" w:lineRule="atLeast"/>
        <w:rPr>
          <w:rFonts w:ascii="Times New Roman" w:eastAsiaTheme="minorHAnsi" w:hAnsi="Times New Roman"/>
          <w:b w:val="0"/>
          <w:i w:val="0"/>
          <w:color w:val="auto"/>
          <w:kern w:val="0"/>
          <w:sz w:val="18"/>
          <w:szCs w:val="18"/>
          <w:lang w:eastAsia="en-US"/>
        </w:rPr>
      </w:pPr>
    </w:p>
    <w:p w:rsidR="009A39C4" w:rsidRPr="009A39C4" w:rsidRDefault="009A39C4" w:rsidP="009A39C4">
      <w:pPr>
        <w:pStyle w:val="Head5"/>
        <w:spacing w:before="0" w:after="0" w:line="260" w:lineRule="atLeast"/>
        <w:rPr>
          <w:rFonts w:ascii="Times New Roman" w:eastAsiaTheme="minorHAnsi" w:hAnsi="Times New Roman"/>
          <w:b w:val="0"/>
          <w:i w:val="0"/>
          <w:color w:val="auto"/>
          <w:kern w:val="0"/>
          <w:sz w:val="18"/>
          <w:szCs w:val="18"/>
          <w:lang w:eastAsia="en-US"/>
        </w:rPr>
      </w:pPr>
      <w:r w:rsidRPr="009A39C4">
        <w:rPr>
          <w:rFonts w:ascii="Times New Roman" w:eastAsiaTheme="minorHAnsi" w:hAnsi="Times New Roman"/>
          <w:b w:val="0"/>
          <w:i w:val="0"/>
          <w:color w:val="auto"/>
          <w:kern w:val="0"/>
          <w:sz w:val="18"/>
          <w:szCs w:val="18"/>
          <w:lang w:eastAsia="en-US"/>
        </w:rPr>
        <w:t>Giving consideration to relationships with related entities, and  transactions entered into during the reporting period by the entity, it has been determined that there are no related party transactions to be separately  disclosed.</w:t>
      </w:r>
    </w:p>
    <w:p w:rsidR="009A39C4" w:rsidRPr="009A39C4" w:rsidRDefault="009A39C4" w:rsidP="009A39C4">
      <w:pPr>
        <w:rPr>
          <w:sz w:val="20"/>
        </w:rPr>
      </w:pPr>
    </w:p>
    <w:p w:rsidR="001456A7" w:rsidRPr="009A39C4" w:rsidRDefault="001456A7" w:rsidP="00B549EB">
      <w:pPr>
        <w:ind w:left="142"/>
      </w:pPr>
      <w:r w:rsidRPr="009A39C4">
        <w:br w:type="page"/>
      </w:r>
    </w:p>
    <w:tbl>
      <w:tblPr>
        <w:tblW w:w="7088" w:type="dxa"/>
        <w:tblInd w:w="108" w:type="dxa"/>
        <w:tblLook w:val="04A0" w:firstRow="1" w:lastRow="0" w:firstColumn="1" w:lastColumn="0" w:noHBand="0" w:noVBand="1"/>
      </w:tblPr>
      <w:tblGrid>
        <w:gridCol w:w="7088"/>
      </w:tblGrid>
      <w:tr w:rsidR="001456A7" w:rsidRPr="002942BC" w:rsidTr="00E42F6F">
        <w:trPr>
          <w:trHeight w:val="267"/>
        </w:trPr>
        <w:tc>
          <w:tcPr>
            <w:tcW w:w="7088" w:type="dxa"/>
            <w:shd w:val="clear" w:color="auto" w:fill="A6A6A6" w:themeFill="background1" w:themeFillShade="A6"/>
            <w:noWrap/>
            <w:vAlign w:val="bottom"/>
            <w:hideMark/>
          </w:tcPr>
          <w:p w:rsidR="001456A7" w:rsidRPr="007924D2" w:rsidRDefault="001456A7" w:rsidP="00E42F6F">
            <w:pPr>
              <w:rPr>
                <w:rFonts w:ascii="Arial" w:hAnsi="Arial" w:cs="Arial"/>
                <w:color w:val="FFFFFF" w:themeColor="background1"/>
                <w:sz w:val="18"/>
                <w:szCs w:val="18"/>
              </w:rPr>
            </w:pPr>
            <w:r>
              <w:rPr>
                <w:rFonts w:ascii="Arial" w:hAnsi="Arial" w:cs="Arial"/>
                <w:b/>
                <w:bCs/>
                <w:sz w:val="20"/>
                <w:szCs w:val="18"/>
              </w:rPr>
              <w:lastRenderedPageBreak/>
              <w:t>5. MANAGING UNCERTAINTIES</w:t>
            </w:r>
          </w:p>
        </w:tc>
      </w:tr>
      <w:tr w:rsidR="001456A7" w:rsidRPr="007924D2" w:rsidTr="00E42F6F">
        <w:tblPrEx>
          <w:shd w:val="clear" w:color="auto" w:fill="000000" w:themeFill="text1"/>
        </w:tblPrEx>
        <w:trPr>
          <w:trHeight w:val="119"/>
        </w:trPr>
        <w:tc>
          <w:tcPr>
            <w:tcW w:w="7088" w:type="dxa"/>
            <w:shd w:val="clear" w:color="auto" w:fill="auto"/>
            <w:noWrap/>
            <w:vAlign w:val="bottom"/>
          </w:tcPr>
          <w:p w:rsidR="001456A7" w:rsidRPr="007924D2" w:rsidRDefault="001456A7" w:rsidP="00E42F6F">
            <w:pPr>
              <w:rPr>
                <w:rFonts w:ascii="Arial" w:hAnsi="Arial" w:cs="Arial"/>
                <w:b/>
                <w:bCs/>
                <w:color w:val="FFFFFF" w:themeColor="background1"/>
                <w:sz w:val="8"/>
                <w:szCs w:val="18"/>
              </w:rPr>
            </w:pPr>
          </w:p>
        </w:tc>
      </w:tr>
      <w:tr w:rsidR="001456A7" w:rsidRPr="000F6CA6" w:rsidTr="00E42F6F">
        <w:tblPrEx>
          <w:shd w:val="clear" w:color="auto" w:fill="000000" w:themeFill="text1"/>
        </w:tblPrEx>
        <w:trPr>
          <w:trHeight w:val="267"/>
        </w:trPr>
        <w:tc>
          <w:tcPr>
            <w:tcW w:w="7088" w:type="dxa"/>
            <w:shd w:val="clear" w:color="auto" w:fill="000000" w:themeFill="text1"/>
            <w:noWrap/>
            <w:vAlign w:val="bottom"/>
            <w:hideMark/>
          </w:tcPr>
          <w:p w:rsidR="001456A7" w:rsidRPr="007924D2" w:rsidRDefault="001456A7" w:rsidP="00E42F6F">
            <w:pPr>
              <w:rPr>
                <w:rFonts w:ascii="Arial" w:hAnsi="Arial" w:cs="Arial"/>
                <w:b/>
                <w:bCs/>
                <w:color w:val="FFFFFF" w:themeColor="background1"/>
                <w:sz w:val="18"/>
                <w:szCs w:val="18"/>
              </w:rPr>
            </w:pPr>
            <w:r>
              <w:rPr>
                <w:rFonts w:ascii="Arial" w:hAnsi="Arial" w:cs="Arial"/>
                <w:b/>
                <w:bCs/>
                <w:color w:val="FFFFFF" w:themeColor="background1"/>
                <w:sz w:val="18"/>
                <w:szCs w:val="18"/>
              </w:rPr>
              <w:t>5.1: Financial Instruments</w:t>
            </w:r>
          </w:p>
        </w:tc>
      </w:tr>
    </w:tbl>
    <w:p w:rsidR="001456A7" w:rsidRDefault="009A39C4" w:rsidP="001456A7">
      <w:r w:rsidRPr="00515596">
        <w:rPr>
          <w:b/>
          <w:noProof/>
          <w:sz w:val="18"/>
        </w:rPr>
        <mc:AlternateContent>
          <mc:Choice Requires="wps">
            <w:drawing>
              <wp:anchor distT="0" distB="0" distL="114300" distR="114300" simplePos="0" relativeHeight="251664384" behindDoc="0" locked="0" layoutInCell="1" allowOverlap="1" wp14:anchorId="5101E940" wp14:editId="515E26CC">
                <wp:simplePos x="0" y="0"/>
                <wp:positionH relativeFrom="column">
                  <wp:posOffset>-3475</wp:posOffset>
                </wp:positionH>
                <wp:positionV relativeFrom="paragraph">
                  <wp:posOffset>2528582</wp:posOffset>
                </wp:positionV>
                <wp:extent cx="4514850" cy="1630392"/>
                <wp:effectExtent l="0" t="0" r="19050" b="27305"/>
                <wp:wrapNone/>
                <wp:docPr id="12" name="Rectangle 12"/>
                <wp:cNvGraphicFramePr/>
                <a:graphic xmlns:a="http://schemas.openxmlformats.org/drawingml/2006/main">
                  <a:graphicData uri="http://schemas.microsoft.com/office/word/2010/wordprocessingShape">
                    <wps:wsp>
                      <wps:cNvSpPr/>
                      <wps:spPr>
                        <a:xfrm>
                          <a:off x="0" y="0"/>
                          <a:ext cx="4514850" cy="1630392"/>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F4E" w:rsidRDefault="00803F4E" w:rsidP="00145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25pt;margin-top:199.1pt;width:355.5pt;height:1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" filled="f" strokecolor="#a5a5a5 [2092]" strokeweight=".5pt">
                <v:textbox>
                  <w:txbxContent>
                    <w:p w:rsidR="00803F4E" w:rsidRDefault="00803F4E" w:rsidP="001456A7">
                      <w:pPr>
                        <w:jc w:val="center"/>
                      </w:pPr>
                    </w:p>
                  </w:txbxContent>
                </v:textbox>
              </v:rect>
            </w:pict>
          </mc:Fallback>
        </mc:AlternateContent>
      </w:r>
      <w:r w:rsidRPr="009A39C4">
        <w:rPr>
          <w:noProof/>
        </w:rPr>
        <w:drawing>
          <wp:inline distT="0" distB="0" distL="0" distR="0" wp14:anchorId="0E5809F6" wp14:editId="6282DA69">
            <wp:extent cx="4494530" cy="2553335"/>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494530" cy="2553335"/>
                    </a:xfrm>
                    <a:prstGeom prst="rect">
                      <a:avLst/>
                    </a:prstGeom>
                    <a:noFill/>
                    <a:ln>
                      <a:noFill/>
                    </a:ln>
                  </pic:spPr>
                </pic:pic>
              </a:graphicData>
            </a:graphic>
          </wp:inline>
        </w:drawing>
      </w:r>
    </w:p>
    <w:p w:rsidR="009A39C4" w:rsidRPr="00515596" w:rsidRDefault="009A39C4" w:rsidP="009A39C4">
      <w:pPr>
        <w:ind w:left="142"/>
        <w:rPr>
          <w:b/>
          <w:sz w:val="14"/>
        </w:rPr>
      </w:pPr>
      <w:r w:rsidRPr="00515596">
        <w:rPr>
          <w:b/>
          <w:sz w:val="14"/>
        </w:rPr>
        <w:t>Accounting Policy</w:t>
      </w:r>
    </w:p>
    <w:p w:rsidR="009A39C4" w:rsidRPr="00515596" w:rsidRDefault="009A39C4" w:rsidP="009A39C4">
      <w:pPr>
        <w:spacing w:before="60"/>
        <w:ind w:left="142"/>
        <w:rPr>
          <w:b/>
          <w:i/>
          <w:sz w:val="14"/>
        </w:rPr>
      </w:pPr>
      <w:r w:rsidRPr="00515596">
        <w:rPr>
          <w:b/>
          <w:i/>
          <w:sz w:val="14"/>
        </w:rPr>
        <w:t>Financial assets</w:t>
      </w:r>
    </w:p>
    <w:p w:rsidR="009A39C4" w:rsidRPr="00515596" w:rsidRDefault="009A39C4" w:rsidP="003C6E71">
      <w:pPr>
        <w:spacing w:before="60"/>
        <w:ind w:left="142"/>
        <w:rPr>
          <w:sz w:val="14"/>
        </w:rPr>
      </w:pPr>
      <w:r w:rsidRPr="00515596">
        <w:rPr>
          <w:sz w:val="14"/>
        </w:rPr>
        <w:t>Trade receivables and other receivables are classified as ‘loans and receivables’ and are recorded at face value less any impairment. Trade receivables are recognised when OPC becomes party to a contract and has a legal right to receive cash.  Trade receivables are derecognised on payment.</w:t>
      </w:r>
    </w:p>
    <w:p w:rsidR="009A39C4" w:rsidRPr="00515596" w:rsidRDefault="009A39C4" w:rsidP="009A39C4">
      <w:pPr>
        <w:spacing w:before="60"/>
        <w:ind w:left="142"/>
        <w:rPr>
          <w:sz w:val="14"/>
        </w:rPr>
      </w:pPr>
      <w:r w:rsidRPr="00515596">
        <w:rPr>
          <w:sz w:val="14"/>
        </w:rPr>
        <w:t>Loans and receivables are assessed for impairment at the end of each reporting period. Allowances are made when collectability of the debt is no longer probable.</w:t>
      </w:r>
    </w:p>
    <w:p w:rsidR="009A39C4" w:rsidRPr="00515596" w:rsidRDefault="009A39C4" w:rsidP="009A39C4">
      <w:pPr>
        <w:spacing w:before="60"/>
        <w:ind w:left="142"/>
        <w:rPr>
          <w:b/>
          <w:i/>
          <w:sz w:val="14"/>
        </w:rPr>
      </w:pPr>
      <w:r w:rsidRPr="00515596">
        <w:rPr>
          <w:b/>
          <w:i/>
          <w:sz w:val="14"/>
        </w:rPr>
        <w:t>Financial Liabilities</w:t>
      </w:r>
    </w:p>
    <w:p w:rsidR="009A39C4" w:rsidRPr="00515596" w:rsidRDefault="009A39C4" w:rsidP="003C6E71">
      <w:pPr>
        <w:spacing w:before="60"/>
        <w:ind w:left="142"/>
        <w:rPr>
          <w:sz w:val="14"/>
        </w:rPr>
      </w:pPr>
      <w:r w:rsidRPr="00515596">
        <w:rPr>
          <w:sz w:val="14"/>
        </w:rPr>
        <w:t>Supplier and other payables are recognised at amortised cost.  Liabilities are recognised to the extent that the goods or services have been received (and irrespective of having been invoiced). Supplier and other payables are derecognised on payment.</w:t>
      </w:r>
    </w:p>
    <w:p w:rsidR="009A39C4" w:rsidRPr="00515596" w:rsidRDefault="009A39C4" w:rsidP="009A39C4">
      <w:pPr>
        <w:spacing w:before="60"/>
        <w:ind w:left="142"/>
        <w:rPr>
          <w:sz w:val="14"/>
        </w:rPr>
      </w:pPr>
      <w:r w:rsidRPr="00515596">
        <w:rPr>
          <w:sz w:val="14"/>
        </w:rPr>
        <w:t>The net fair values of the financial assets and liabilities are at their carrying amounts. OPC derived no interest income from financial assets in either the current or prior year.</w:t>
      </w:r>
    </w:p>
    <w:p w:rsidR="001456A7" w:rsidRDefault="001456A7" w:rsidP="00B549EB">
      <w:pPr>
        <w:ind w:left="142"/>
      </w:pPr>
      <w:r>
        <w:br w:type="page"/>
      </w:r>
    </w:p>
    <w:tbl>
      <w:tblPr>
        <w:tblW w:w="7088" w:type="dxa"/>
        <w:tblInd w:w="108" w:type="dxa"/>
        <w:shd w:val="clear" w:color="auto" w:fill="000000" w:themeFill="text1"/>
        <w:tblLook w:val="04A0" w:firstRow="1" w:lastRow="0" w:firstColumn="1" w:lastColumn="0" w:noHBand="0" w:noVBand="1"/>
      </w:tblPr>
      <w:tblGrid>
        <w:gridCol w:w="7088"/>
      </w:tblGrid>
      <w:tr w:rsidR="001456A7" w:rsidRPr="000F6CA6" w:rsidTr="00E42F6F">
        <w:trPr>
          <w:trHeight w:val="267"/>
        </w:trPr>
        <w:tc>
          <w:tcPr>
            <w:tcW w:w="7088" w:type="dxa"/>
            <w:shd w:val="clear" w:color="auto" w:fill="000000" w:themeFill="text1"/>
            <w:noWrap/>
            <w:vAlign w:val="bottom"/>
            <w:hideMark/>
          </w:tcPr>
          <w:p w:rsidR="001456A7" w:rsidRPr="007924D2" w:rsidRDefault="001456A7" w:rsidP="00E42F6F">
            <w:pPr>
              <w:ind w:right="-250"/>
              <w:rPr>
                <w:rFonts w:ascii="Arial" w:hAnsi="Arial" w:cs="Arial"/>
                <w:b/>
                <w:bCs/>
                <w:color w:val="FFFFFF" w:themeColor="background1"/>
                <w:sz w:val="18"/>
                <w:szCs w:val="18"/>
              </w:rPr>
            </w:pPr>
            <w:r>
              <w:rPr>
                <w:rFonts w:ascii="Arial" w:hAnsi="Arial" w:cs="Arial"/>
                <w:b/>
                <w:bCs/>
                <w:color w:val="FFFFFF" w:themeColor="background1"/>
                <w:sz w:val="18"/>
                <w:szCs w:val="18"/>
              </w:rPr>
              <w:lastRenderedPageBreak/>
              <w:t>5.2: Fair Value</w:t>
            </w:r>
          </w:p>
        </w:tc>
      </w:tr>
    </w:tbl>
    <w:p w:rsidR="00940CBE" w:rsidRDefault="00940CBE" w:rsidP="00940CBE">
      <w:pPr>
        <w:spacing w:before="60"/>
        <w:rPr>
          <w:sz w:val="14"/>
        </w:rPr>
      </w:pPr>
      <w:r w:rsidRPr="00940CBE">
        <w:rPr>
          <w:noProof/>
        </w:rPr>
        <w:drawing>
          <wp:inline distT="0" distB="0" distL="0" distR="0" wp14:anchorId="44ADE997" wp14:editId="5EE71833">
            <wp:extent cx="4494530" cy="248412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494530" cy="2484120"/>
                    </a:xfrm>
                    <a:prstGeom prst="rect">
                      <a:avLst/>
                    </a:prstGeom>
                    <a:noFill/>
                    <a:ln>
                      <a:noFill/>
                    </a:ln>
                  </pic:spPr>
                </pic:pic>
              </a:graphicData>
            </a:graphic>
          </wp:inline>
        </w:drawing>
      </w:r>
      <w:r w:rsidRPr="00FD014D">
        <w:rPr>
          <w:sz w:val="14"/>
          <w:vertAlign w:val="superscript"/>
        </w:rPr>
        <w:t>1</w:t>
      </w:r>
      <w:r w:rsidRPr="00FD014D">
        <w:rPr>
          <w:sz w:val="14"/>
        </w:rPr>
        <w:t xml:space="preserve">OPC's assets are held for operational purposes and not held for the purposes of deriving a profit. </w:t>
      </w:r>
    </w:p>
    <w:p w:rsidR="00940CBE" w:rsidRDefault="00940CBE" w:rsidP="00940CBE">
      <w:pPr>
        <w:spacing w:before="60"/>
        <w:rPr>
          <w:sz w:val="14"/>
        </w:rPr>
      </w:pPr>
    </w:p>
    <w:p w:rsidR="00940CBE" w:rsidRPr="00FD014D" w:rsidRDefault="00940CBE" w:rsidP="00940CBE">
      <w:pPr>
        <w:spacing w:before="60"/>
        <w:rPr>
          <w:b/>
          <w:sz w:val="14"/>
        </w:rPr>
      </w:pPr>
      <w:r w:rsidRPr="00FD014D">
        <w:rPr>
          <w:b/>
          <w:noProof/>
          <w:sz w:val="16"/>
        </w:rPr>
        <mc:AlternateContent>
          <mc:Choice Requires="wps">
            <w:drawing>
              <wp:anchor distT="0" distB="0" distL="114300" distR="114300" simplePos="0" relativeHeight="251666432" behindDoc="0" locked="0" layoutInCell="1" allowOverlap="1" wp14:anchorId="20260DB5" wp14:editId="6EE8899B">
                <wp:simplePos x="0" y="0"/>
                <wp:positionH relativeFrom="column">
                  <wp:posOffset>-55233</wp:posOffset>
                </wp:positionH>
                <wp:positionV relativeFrom="paragraph">
                  <wp:posOffset>12976</wp:posOffset>
                </wp:positionV>
                <wp:extent cx="4552950" cy="2803584"/>
                <wp:effectExtent l="0" t="0" r="19050" b="15875"/>
                <wp:wrapNone/>
                <wp:docPr id="74" name="Rectangle 74"/>
                <wp:cNvGraphicFramePr/>
                <a:graphic xmlns:a="http://schemas.openxmlformats.org/drawingml/2006/main">
                  <a:graphicData uri="http://schemas.microsoft.com/office/word/2010/wordprocessingShape">
                    <wps:wsp>
                      <wps:cNvSpPr/>
                      <wps:spPr>
                        <a:xfrm>
                          <a:off x="0" y="0"/>
                          <a:ext cx="4552950" cy="2803584"/>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F4E" w:rsidRDefault="00803F4E" w:rsidP="00145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9" style="position:absolute;margin-left:-4.35pt;margin-top:1pt;width:358.5pt;height:2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" filled="f" strokecolor="#a5a5a5 [2092]" strokeweight=".5pt">
                <v:textbox>
                  <w:txbxContent>
                    <w:p w:rsidR="00803F4E" w:rsidRDefault="00803F4E" w:rsidP="001456A7">
                      <w:pPr>
                        <w:jc w:val="center"/>
                      </w:pPr>
                    </w:p>
                  </w:txbxContent>
                </v:textbox>
              </v:rect>
            </w:pict>
          </mc:Fallback>
        </mc:AlternateContent>
      </w:r>
      <w:r w:rsidRPr="00FD014D">
        <w:rPr>
          <w:b/>
          <w:sz w:val="14"/>
        </w:rPr>
        <w:t>Accounting Policy</w:t>
      </w:r>
    </w:p>
    <w:p w:rsidR="00940CBE" w:rsidRPr="00FD014D" w:rsidRDefault="00940CBE" w:rsidP="00940CBE">
      <w:pPr>
        <w:spacing w:before="60"/>
        <w:rPr>
          <w:b/>
          <w:i/>
          <w:sz w:val="14"/>
        </w:rPr>
      </w:pPr>
      <w:r w:rsidRPr="00FD014D">
        <w:rPr>
          <w:b/>
          <w:i/>
          <w:sz w:val="14"/>
        </w:rPr>
        <w:t>Fair Value Measurement</w:t>
      </w:r>
    </w:p>
    <w:p w:rsidR="00940CBE" w:rsidRPr="00FD014D" w:rsidRDefault="00940CBE" w:rsidP="00940CBE">
      <w:pPr>
        <w:spacing w:before="60"/>
        <w:rPr>
          <w:sz w:val="14"/>
        </w:rPr>
      </w:pPr>
      <w:r w:rsidRPr="00FD014D">
        <w:rPr>
          <w:sz w:val="14"/>
        </w:rPr>
        <w:t>OPC deems transfers between levels of the fair value hierarchy to have occurred at the end of each reporting period.</w:t>
      </w:r>
    </w:p>
    <w:p w:rsidR="00940CBE" w:rsidRPr="00FD014D" w:rsidRDefault="00940CBE" w:rsidP="00940CBE">
      <w:pPr>
        <w:spacing w:before="60"/>
        <w:rPr>
          <w:b/>
          <w:i/>
          <w:sz w:val="14"/>
        </w:rPr>
      </w:pPr>
      <w:r w:rsidRPr="00FD014D">
        <w:rPr>
          <w:b/>
          <w:i/>
          <w:sz w:val="14"/>
        </w:rPr>
        <w:t>Revaluations</w:t>
      </w:r>
    </w:p>
    <w:p w:rsidR="00940CBE" w:rsidRDefault="00940CBE" w:rsidP="00940CBE">
      <w:pPr>
        <w:spacing w:before="60"/>
        <w:rPr>
          <w:sz w:val="14"/>
        </w:rPr>
      </w:pPr>
      <w:r w:rsidRPr="00FD014D">
        <w:rPr>
          <w:sz w:val="14"/>
        </w:rPr>
        <w:t>All leasehold improvements, plant and equipment are measured at fair value in the Statement of Financial Position.</w:t>
      </w:r>
    </w:p>
    <w:p w:rsidR="00940CBE" w:rsidRDefault="00940CBE" w:rsidP="00940CBE">
      <w:pPr>
        <w:spacing w:before="60"/>
        <w:rPr>
          <w:rFonts w:ascii="Cambria" w:hAnsi="Cambria" w:cs="Cambria"/>
          <w:sz w:val="18"/>
          <w:szCs w:val="18"/>
        </w:rPr>
      </w:pPr>
      <w:r w:rsidRPr="00232F89">
        <w:rPr>
          <w:sz w:val="14"/>
        </w:rPr>
        <w:t>Following initial recognition at cost, property, plant and equipment</w:t>
      </w:r>
      <w:r>
        <w:rPr>
          <w:sz w:val="14"/>
        </w:rPr>
        <w:t xml:space="preserve"> </w:t>
      </w:r>
      <w:r w:rsidRPr="00232F89">
        <w:rPr>
          <w:sz w:val="14"/>
        </w:rPr>
        <w:t>are carried at fair value less subsequent accumulated depreciation</w:t>
      </w:r>
      <w:r>
        <w:rPr>
          <w:sz w:val="14"/>
        </w:rPr>
        <w:t xml:space="preserve"> </w:t>
      </w:r>
      <w:r w:rsidRPr="00232F89">
        <w:rPr>
          <w:sz w:val="14"/>
        </w:rPr>
        <w:t>and accumulated impairment losses. Valuations are conducted with</w:t>
      </w:r>
      <w:r>
        <w:rPr>
          <w:sz w:val="14"/>
        </w:rPr>
        <w:t xml:space="preserve"> </w:t>
      </w:r>
      <w:r w:rsidRPr="00232F89">
        <w:rPr>
          <w:sz w:val="14"/>
        </w:rPr>
        <w:t>sufficient frequency to ensure that the carrying amounts of assets</w:t>
      </w:r>
      <w:r>
        <w:rPr>
          <w:sz w:val="14"/>
        </w:rPr>
        <w:t xml:space="preserve"> do</w:t>
      </w:r>
      <w:r w:rsidRPr="00232F89">
        <w:rPr>
          <w:sz w:val="14"/>
        </w:rPr>
        <w:t xml:space="preserve"> not differ materially from the assets’ fair values as at the</w:t>
      </w:r>
      <w:r>
        <w:rPr>
          <w:sz w:val="14"/>
        </w:rPr>
        <w:t xml:space="preserve"> </w:t>
      </w:r>
      <w:r w:rsidRPr="00232F89">
        <w:rPr>
          <w:sz w:val="14"/>
        </w:rPr>
        <w:t>reporting date. The regularity o</w:t>
      </w:r>
      <w:r>
        <w:rPr>
          <w:sz w:val="14"/>
        </w:rPr>
        <w:t xml:space="preserve">f independent valuations depends </w:t>
      </w:r>
      <w:r w:rsidRPr="00232F89">
        <w:rPr>
          <w:sz w:val="14"/>
        </w:rPr>
        <w:t>upon the volatility of movements in market values for the relevant</w:t>
      </w:r>
      <w:r>
        <w:rPr>
          <w:sz w:val="14"/>
        </w:rPr>
        <w:t xml:space="preserve"> </w:t>
      </w:r>
      <w:r w:rsidRPr="000C00F6">
        <w:rPr>
          <w:sz w:val="14"/>
        </w:rPr>
        <w:t>assets.</w:t>
      </w:r>
    </w:p>
    <w:p w:rsidR="00940CBE" w:rsidRPr="00FD014D" w:rsidRDefault="00940CBE" w:rsidP="00940CBE">
      <w:pPr>
        <w:spacing w:before="60"/>
        <w:rPr>
          <w:sz w:val="14"/>
        </w:rPr>
      </w:pPr>
      <w:r w:rsidRPr="00FD014D">
        <w:rPr>
          <w:sz w:val="14"/>
        </w:rPr>
        <w:t xml:space="preserve">Each year, a review of the carrying amounts of assets is conducted and presented to OPC's Senior Management Team as an "officer's valuation". Where it is considered that the carrying amount of an asset at the date of reporting would materially differ from the fair value, an independent valuation is recommended. All leasehold improvements, plant and equipment is subject to a formal valuation at least once every three years.  </w:t>
      </w:r>
    </w:p>
    <w:p w:rsidR="00940CBE" w:rsidRPr="00FD014D" w:rsidRDefault="00940CBE" w:rsidP="00940CBE">
      <w:pPr>
        <w:spacing w:before="60"/>
        <w:rPr>
          <w:sz w:val="14"/>
        </w:rPr>
      </w:pPr>
      <w:r>
        <w:rPr>
          <w:sz w:val="14"/>
        </w:rPr>
        <w:t>An “officer's valuation” was undertaken in 20</w:t>
      </w:r>
      <w:r w:rsidRPr="00FD014D">
        <w:rPr>
          <w:sz w:val="14"/>
        </w:rPr>
        <w:t>16</w:t>
      </w:r>
      <w:r>
        <w:rPr>
          <w:sz w:val="14"/>
        </w:rPr>
        <w:t>-17 and it was determined that non-financial assets were held at Fair Value.</w:t>
      </w:r>
      <w:r w:rsidRPr="00FD014D">
        <w:rPr>
          <w:sz w:val="14"/>
        </w:rPr>
        <w:t xml:space="preserve">  An independent valuation was undertaken in 2014-15 by Australian Valuation Solutions.</w:t>
      </w:r>
    </w:p>
    <w:p w:rsidR="00940CBE" w:rsidRPr="00FD014D" w:rsidRDefault="00940CBE" w:rsidP="00940CBE">
      <w:pPr>
        <w:spacing w:before="60"/>
        <w:rPr>
          <w:sz w:val="14"/>
        </w:rPr>
      </w:pPr>
      <w:r w:rsidRPr="00FD014D">
        <w:rPr>
          <w:sz w:val="14"/>
        </w:rPr>
        <w:t>Revaluation adjustments are made on a class basis.  Any revaluation increment is credited to equity under the heading of asset revaluation reserve except to the extent that it reverses a previous revaluation decrement of the same asset class that was previously recognised through operating result.  Revaluation decrements for a class of assets are recognised directly through operating result except to the extent that they reverse a previous revaluation increment for that class.</w:t>
      </w:r>
    </w:p>
    <w:p w:rsidR="00940CBE" w:rsidRPr="00FD014D" w:rsidRDefault="00940CBE" w:rsidP="00940CBE">
      <w:pPr>
        <w:spacing w:before="60"/>
        <w:rPr>
          <w:sz w:val="14"/>
        </w:rPr>
      </w:pPr>
      <w:r w:rsidRPr="00FD014D">
        <w:rPr>
          <w:sz w:val="14"/>
        </w:rPr>
        <w:t>Any accumulated depreciation as at the revaluation date is eliminated against the gross carrying amount of the asset and the asset restated to the revalued amount.</w:t>
      </w:r>
    </w:p>
    <w:p w:rsidR="00622094" w:rsidRDefault="00940CBE" w:rsidP="00940CBE">
      <w:pPr>
        <w:spacing w:before="60"/>
        <w:rPr>
          <w:sz w:val="14"/>
        </w:rPr>
        <w:sectPr w:rsidR="00622094" w:rsidSect="00D56569">
          <w:headerReference w:type="even" r:id="rId135"/>
          <w:pgSz w:w="11907" w:h="16839" w:code="9"/>
          <w:pgMar w:top="1134" w:right="2410" w:bottom="4253" w:left="2410" w:header="510" w:footer="3402" w:gutter="0"/>
          <w:cols w:space="709"/>
          <w:docGrid w:linePitch="326"/>
        </w:sectPr>
      </w:pPr>
      <w:r w:rsidRPr="00FD014D">
        <w:rPr>
          <w:sz w:val="14"/>
        </w:rPr>
        <w:t>A reconciliation of movements and impact of the valuation on leasehold improvements and plant and equipment has been included in Note 2.2</w:t>
      </w:r>
      <w:r>
        <w:rPr>
          <w:sz w:val="14"/>
        </w:rPr>
        <w:t>A</w:t>
      </w:r>
    </w:p>
    <w:p w:rsidR="00B77A79" w:rsidRDefault="00B77A79" w:rsidP="00940CBE">
      <w:pPr>
        <w:spacing w:before="60"/>
        <w:rPr>
          <w:sz w:val="14"/>
        </w:rPr>
      </w:pPr>
    </w:p>
    <w:p w:rsidR="000C5713" w:rsidRPr="009E198C" w:rsidRDefault="000C5713" w:rsidP="000C5713">
      <w:pPr>
        <w:pStyle w:val="Head2"/>
      </w:pPr>
      <w:bookmarkStart w:id="130" w:name="_Toc492656494"/>
      <w:r>
        <w:t xml:space="preserve">Appendix </w:t>
      </w:r>
      <w:r w:rsidR="001127A5">
        <w:t>E</w:t>
      </w:r>
      <w:r>
        <w:t>—List of requirements</w:t>
      </w:r>
      <w:bookmarkEnd w:id="130"/>
    </w:p>
    <w:p w:rsidR="000C5713" w:rsidRDefault="000C5713" w:rsidP="000C5713">
      <w:pPr>
        <w:rPr>
          <w:b/>
          <w:color w:val="000000"/>
        </w:rPr>
      </w:pPr>
    </w:p>
    <w:tbl>
      <w:tblPr>
        <w:tblW w:w="74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08"/>
        <w:gridCol w:w="760"/>
        <w:gridCol w:w="3351"/>
        <w:gridCol w:w="1275"/>
        <w:gridCol w:w="1134"/>
      </w:tblGrid>
      <w:tr w:rsidR="000C5713" w:rsidTr="002D48EF">
        <w:trPr>
          <w:cantSplit/>
          <w:trHeight w:val="50"/>
          <w:tblHeader/>
        </w:trPr>
        <w:tc>
          <w:tcPr>
            <w:tcW w:w="908" w:type="dxa"/>
          </w:tcPr>
          <w:p w:rsidR="000C5713" w:rsidRDefault="00087F6B" w:rsidP="007A2DEE">
            <w:pPr>
              <w:pStyle w:val="mhb1"/>
              <w:tabs>
                <w:tab w:val="clear" w:pos="567"/>
              </w:tabs>
              <w:spacing w:before="0"/>
              <w:jc w:val="center"/>
              <w:rPr>
                <w:sz w:val="16"/>
              </w:rPr>
            </w:pPr>
            <w:r>
              <w:rPr>
                <w:sz w:val="16"/>
              </w:rPr>
              <w:t>PGPA Rule Reference</w:t>
            </w:r>
          </w:p>
        </w:tc>
        <w:tc>
          <w:tcPr>
            <w:tcW w:w="760" w:type="dxa"/>
            <w:tcBorders>
              <w:bottom w:val="single" w:sz="6" w:space="0" w:color="auto"/>
            </w:tcBorders>
          </w:tcPr>
          <w:p w:rsidR="000C5713" w:rsidRDefault="000C5713" w:rsidP="007A2DEE">
            <w:pPr>
              <w:pStyle w:val="mhb1"/>
              <w:tabs>
                <w:tab w:val="clear" w:pos="567"/>
              </w:tabs>
              <w:spacing w:before="0"/>
              <w:jc w:val="center"/>
              <w:rPr>
                <w:sz w:val="20"/>
              </w:rPr>
            </w:pPr>
            <w:r>
              <w:rPr>
                <w:sz w:val="20"/>
              </w:rPr>
              <w:t>Part of Report</w:t>
            </w:r>
          </w:p>
        </w:tc>
        <w:tc>
          <w:tcPr>
            <w:tcW w:w="3351" w:type="dxa"/>
          </w:tcPr>
          <w:p w:rsidR="000C5713" w:rsidRDefault="000C5713" w:rsidP="007A2DEE">
            <w:pPr>
              <w:pStyle w:val="mhb1"/>
              <w:tabs>
                <w:tab w:val="clear" w:pos="567"/>
              </w:tabs>
              <w:spacing w:before="0"/>
              <w:rPr>
                <w:sz w:val="20"/>
              </w:rPr>
            </w:pPr>
            <w:r>
              <w:rPr>
                <w:sz w:val="20"/>
              </w:rPr>
              <w:t>Description</w:t>
            </w:r>
          </w:p>
        </w:tc>
        <w:tc>
          <w:tcPr>
            <w:tcW w:w="1275" w:type="dxa"/>
          </w:tcPr>
          <w:p w:rsidR="000C5713" w:rsidRDefault="00882701" w:rsidP="007A2DEE">
            <w:pPr>
              <w:pStyle w:val="mhb1"/>
              <w:tabs>
                <w:tab w:val="clear" w:pos="567"/>
              </w:tabs>
              <w:spacing w:before="0"/>
              <w:rPr>
                <w:sz w:val="20"/>
              </w:rPr>
            </w:pPr>
            <w:r>
              <w:rPr>
                <w:sz w:val="20"/>
              </w:rPr>
              <w:t>Require</w:t>
            </w:r>
            <w:r w:rsidR="000C5713">
              <w:rPr>
                <w:sz w:val="20"/>
              </w:rPr>
              <w:t>ment</w:t>
            </w:r>
          </w:p>
        </w:tc>
        <w:tc>
          <w:tcPr>
            <w:tcW w:w="1134" w:type="dxa"/>
          </w:tcPr>
          <w:p w:rsidR="000C5713" w:rsidRDefault="00882701" w:rsidP="00882701">
            <w:pPr>
              <w:pStyle w:val="mhb1"/>
              <w:tabs>
                <w:tab w:val="clear" w:pos="567"/>
              </w:tabs>
              <w:spacing w:before="0"/>
              <w:rPr>
                <w:sz w:val="20"/>
              </w:rPr>
            </w:pPr>
            <w:r>
              <w:rPr>
                <w:sz w:val="20"/>
              </w:rPr>
              <w:t>Loca</w:t>
            </w:r>
            <w:r w:rsidR="000C5713">
              <w:rPr>
                <w:sz w:val="20"/>
              </w:rPr>
              <w:t>tion</w:t>
            </w:r>
          </w:p>
        </w:tc>
      </w:tr>
      <w:tr w:rsidR="00087F6B" w:rsidTr="00290F08">
        <w:trPr>
          <w:cantSplit/>
          <w:trHeight w:val="50"/>
        </w:trPr>
        <w:tc>
          <w:tcPr>
            <w:tcW w:w="908" w:type="dxa"/>
            <w:vAlign w:val="center"/>
          </w:tcPr>
          <w:p w:rsidR="00087F6B" w:rsidRPr="00D65937" w:rsidRDefault="00087F6B" w:rsidP="007A2DEE">
            <w:pPr>
              <w:pStyle w:val="mhb1"/>
              <w:tabs>
                <w:tab w:val="clear" w:pos="567"/>
              </w:tabs>
              <w:spacing w:before="0"/>
              <w:jc w:val="center"/>
              <w:rPr>
                <w:sz w:val="16"/>
              </w:rPr>
            </w:pPr>
            <w:r w:rsidRPr="00D65937">
              <w:rPr>
                <w:sz w:val="16"/>
              </w:rPr>
              <w:t>17AD(g)</w:t>
            </w:r>
          </w:p>
        </w:tc>
        <w:tc>
          <w:tcPr>
            <w:tcW w:w="6520" w:type="dxa"/>
            <w:gridSpan w:val="4"/>
          </w:tcPr>
          <w:p w:rsidR="00087F6B" w:rsidRPr="00087F6B" w:rsidRDefault="00087F6B" w:rsidP="007A2DEE">
            <w:pPr>
              <w:pStyle w:val="mhb1"/>
              <w:tabs>
                <w:tab w:val="clear" w:pos="567"/>
              </w:tabs>
              <w:spacing w:before="0"/>
              <w:rPr>
                <w:sz w:val="20"/>
              </w:rPr>
            </w:pPr>
            <w:r w:rsidRPr="00087F6B">
              <w:rPr>
                <w:sz w:val="20"/>
              </w:rPr>
              <w:t>Letter of transmittal</w:t>
            </w:r>
          </w:p>
        </w:tc>
      </w:tr>
      <w:tr w:rsidR="000C5713" w:rsidTr="002D48EF">
        <w:trPr>
          <w:cantSplit/>
          <w:trHeight w:val="50"/>
        </w:trPr>
        <w:tc>
          <w:tcPr>
            <w:tcW w:w="908" w:type="dxa"/>
          </w:tcPr>
          <w:p w:rsidR="000C5713" w:rsidRDefault="00087F6B" w:rsidP="007A2DEE">
            <w:pPr>
              <w:pStyle w:val="mhb1"/>
              <w:tabs>
                <w:tab w:val="clear" w:pos="567"/>
              </w:tabs>
              <w:spacing w:before="0"/>
              <w:jc w:val="center"/>
              <w:rPr>
                <w:b w:val="0"/>
                <w:sz w:val="16"/>
              </w:rPr>
            </w:pPr>
            <w:r>
              <w:rPr>
                <w:b w:val="0"/>
                <w:sz w:val="16"/>
              </w:rPr>
              <w:t>17AI</w:t>
            </w:r>
          </w:p>
        </w:tc>
        <w:tc>
          <w:tcPr>
            <w:tcW w:w="760" w:type="dxa"/>
          </w:tcPr>
          <w:p w:rsidR="000C5713" w:rsidRDefault="000C5713" w:rsidP="007A2DEE">
            <w:pPr>
              <w:pStyle w:val="mhb1"/>
              <w:tabs>
                <w:tab w:val="clear" w:pos="567"/>
              </w:tabs>
              <w:spacing w:before="0"/>
              <w:rPr>
                <w:b w:val="0"/>
                <w:sz w:val="20"/>
              </w:rPr>
            </w:pPr>
          </w:p>
        </w:tc>
        <w:tc>
          <w:tcPr>
            <w:tcW w:w="3351" w:type="dxa"/>
          </w:tcPr>
          <w:p w:rsidR="000C5713" w:rsidRDefault="00087F6B" w:rsidP="007A2DEE">
            <w:pPr>
              <w:pStyle w:val="mhb1"/>
              <w:tabs>
                <w:tab w:val="clear" w:pos="567"/>
              </w:tabs>
              <w:spacing w:before="0"/>
              <w:rPr>
                <w:b w:val="0"/>
                <w:sz w:val="20"/>
              </w:rPr>
            </w:pPr>
            <w:r>
              <w:rPr>
                <w:b w:val="0"/>
                <w:sz w:val="20"/>
              </w:rPr>
              <w:t xml:space="preserve">A copy of the letter of transmittal signed and dated by accountable authority on date final text approved, with statement that the report has been prepared in accordance with section 46 of the </w:t>
            </w:r>
            <w:r w:rsidR="00256A92">
              <w:rPr>
                <w:b w:val="0"/>
                <w:sz w:val="20"/>
              </w:rPr>
              <w:t xml:space="preserve">PGPA </w:t>
            </w:r>
            <w:r>
              <w:rPr>
                <w:b w:val="0"/>
                <w:sz w:val="20"/>
              </w:rPr>
              <w:t>Act and any enabling legislation that specifies additional requirements in relation to the annual report.</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p>
        </w:tc>
      </w:tr>
      <w:tr w:rsidR="00882701" w:rsidTr="002D48EF">
        <w:trPr>
          <w:cantSplit/>
          <w:trHeight w:val="50"/>
        </w:trPr>
        <w:tc>
          <w:tcPr>
            <w:tcW w:w="908" w:type="dxa"/>
          </w:tcPr>
          <w:p w:rsidR="00882701" w:rsidRPr="00D65937" w:rsidRDefault="00882701" w:rsidP="007A2DEE">
            <w:pPr>
              <w:pStyle w:val="mhb1"/>
              <w:tabs>
                <w:tab w:val="clear" w:pos="567"/>
              </w:tabs>
              <w:spacing w:before="0"/>
              <w:jc w:val="center"/>
              <w:rPr>
                <w:sz w:val="16"/>
              </w:rPr>
            </w:pPr>
            <w:r w:rsidRPr="00D65937">
              <w:rPr>
                <w:sz w:val="16"/>
              </w:rPr>
              <w:t>17AD(h)</w:t>
            </w:r>
          </w:p>
        </w:tc>
        <w:tc>
          <w:tcPr>
            <w:tcW w:w="6520" w:type="dxa"/>
            <w:gridSpan w:val="4"/>
          </w:tcPr>
          <w:p w:rsidR="00882701" w:rsidRPr="00087F6B" w:rsidRDefault="00882701" w:rsidP="00D65937">
            <w:pPr>
              <w:pStyle w:val="mhb1"/>
              <w:tabs>
                <w:tab w:val="clear" w:pos="567"/>
              </w:tabs>
              <w:spacing w:before="0"/>
              <w:rPr>
                <w:sz w:val="20"/>
              </w:rPr>
            </w:pPr>
            <w:r>
              <w:rPr>
                <w:sz w:val="20"/>
              </w:rPr>
              <w:t>Aids to access</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17AJ(a)</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0C5713" w:rsidP="007A2DEE">
            <w:pPr>
              <w:pStyle w:val="mhb1"/>
              <w:tabs>
                <w:tab w:val="clear" w:pos="567"/>
              </w:tabs>
              <w:spacing w:before="0"/>
              <w:rPr>
                <w:b w:val="0"/>
                <w:sz w:val="20"/>
              </w:rPr>
            </w:pPr>
            <w:r>
              <w:rPr>
                <w:b w:val="0"/>
                <w:sz w:val="20"/>
              </w:rPr>
              <w:t>Table of contents</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882701" w:rsidP="007A2DEE">
            <w:pPr>
              <w:pStyle w:val="mhb1"/>
              <w:tabs>
                <w:tab w:val="clear" w:pos="567"/>
              </w:tabs>
              <w:spacing w:before="0"/>
              <w:rPr>
                <w:b w:val="0"/>
                <w:sz w:val="16"/>
                <w:szCs w:val="16"/>
              </w:rPr>
            </w:pPr>
            <w:r>
              <w:rPr>
                <w:b w:val="0"/>
                <w:sz w:val="16"/>
                <w:szCs w:val="16"/>
              </w:rPr>
              <w:t>Pages i-ii</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17AJ(b)</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882701" w:rsidP="007A2DEE">
            <w:pPr>
              <w:pStyle w:val="mhb1"/>
              <w:tabs>
                <w:tab w:val="clear" w:pos="567"/>
              </w:tabs>
              <w:spacing w:before="0"/>
              <w:rPr>
                <w:b w:val="0"/>
                <w:sz w:val="20"/>
              </w:rPr>
            </w:pPr>
            <w:r>
              <w:rPr>
                <w:b w:val="0"/>
                <w:sz w:val="20"/>
              </w:rPr>
              <w:t>Alphabetical index</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882701" w:rsidP="007A2DEE">
            <w:pPr>
              <w:pStyle w:val="mhb1"/>
              <w:tabs>
                <w:tab w:val="clear" w:pos="567"/>
              </w:tabs>
              <w:spacing w:before="0"/>
              <w:rPr>
                <w:b w:val="0"/>
                <w:sz w:val="16"/>
                <w:szCs w:val="16"/>
              </w:rPr>
            </w:pPr>
            <w:r>
              <w:rPr>
                <w:b w:val="0"/>
                <w:sz w:val="16"/>
                <w:szCs w:val="16"/>
              </w:rPr>
              <w:t>Index</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17AJ(c)</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0C5713" w:rsidP="007A2DEE">
            <w:pPr>
              <w:pStyle w:val="mhb1"/>
              <w:tabs>
                <w:tab w:val="clear" w:pos="567"/>
              </w:tabs>
              <w:spacing w:before="0"/>
              <w:rPr>
                <w:b w:val="0"/>
                <w:sz w:val="20"/>
              </w:rPr>
            </w:pPr>
            <w:r>
              <w:rPr>
                <w:b w:val="0"/>
                <w:sz w:val="20"/>
              </w:rPr>
              <w:t>Glossary</w:t>
            </w:r>
            <w:r w:rsidR="00882701">
              <w:rPr>
                <w:b w:val="0"/>
                <w:sz w:val="20"/>
              </w:rPr>
              <w:t xml:space="preserve"> of abbreviations and acronyms</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882701" w:rsidP="007A2DEE">
            <w:pPr>
              <w:pStyle w:val="mhb1"/>
              <w:tabs>
                <w:tab w:val="clear" w:pos="567"/>
              </w:tabs>
              <w:spacing w:before="0"/>
              <w:rPr>
                <w:b w:val="0"/>
                <w:sz w:val="16"/>
                <w:szCs w:val="16"/>
              </w:rPr>
            </w:pPr>
            <w:r>
              <w:rPr>
                <w:b w:val="0"/>
                <w:sz w:val="16"/>
                <w:szCs w:val="16"/>
              </w:rPr>
              <w:t>Glossary</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17AJ(d)</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882701" w:rsidP="007A2DEE">
            <w:pPr>
              <w:pStyle w:val="mhb1"/>
              <w:tabs>
                <w:tab w:val="clear" w:pos="567"/>
              </w:tabs>
              <w:spacing w:before="0"/>
              <w:rPr>
                <w:b w:val="0"/>
                <w:sz w:val="20"/>
              </w:rPr>
            </w:pPr>
            <w:r>
              <w:rPr>
                <w:b w:val="0"/>
                <w:sz w:val="20"/>
              </w:rPr>
              <w:t>List of requirements</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882701" w:rsidP="007A2DEE">
            <w:pPr>
              <w:pStyle w:val="mhb1"/>
              <w:tabs>
                <w:tab w:val="clear" w:pos="567"/>
              </w:tabs>
              <w:spacing w:before="0"/>
              <w:rPr>
                <w:b w:val="0"/>
                <w:sz w:val="16"/>
                <w:szCs w:val="16"/>
              </w:rPr>
            </w:pPr>
            <w:r>
              <w:rPr>
                <w:b w:val="0"/>
                <w:sz w:val="16"/>
                <w:szCs w:val="16"/>
              </w:rPr>
              <w:t>Appendix E</w:t>
            </w:r>
          </w:p>
        </w:tc>
      </w:tr>
      <w:tr w:rsidR="00882701" w:rsidTr="002D48EF">
        <w:trPr>
          <w:cantSplit/>
          <w:trHeight w:val="50"/>
        </w:trPr>
        <w:tc>
          <w:tcPr>
            <w:tcW w:w="908" w:type="dxa"/>
          </w:tcPr>
          <w:p w:rsidR="00882701" w:rsidRDefault="00882701" w:rsidP="007A2DEE">
            <w:pPr>
              <w:pStyle w:val="mhb1"/>
              <w:tabs>
                <w:tab w:val="clear" w:pos="567"/>
              </w:tabs>
              <w:spacing w:before="0"/>
              <w:jc w:val="center"/>
              <w:rPr>
                <w:b w:val="0"/>
                <w:sz w:val="16"/>
              </w:rPr>
            </w:pPr>
            <w:r>
              <w:rPr>
                <w:b w:val="0"/>
                <w:sz w:val="16"/>
              </w:rPr>
              <w:t>17AJ(e)</w:t>
            </w:r>
          </w:p>
        </w:tc>
        <w:tc>
          <w:tcPr>
            <w:tcW w:w="760" w:type="dxa"/>
          </w:tcPr>
          <w:p w:rsidR="00882701" w:rsidRDefault="00882701" w:rsidP="007A2DEE">
            <w:pPr>
              <w:pStyle w:val="mhb1"/>
              <w:tabs>
                <w:tab w:val="clear" w:pos="567"/>
              </w:tabs>
              <w:spacing w:before="0"/>
              <w:jc w:val="center"/>
              <w:rPr>
                <w:b w:val="0"/>
                <w:sz w:val="20"/>
              </w:rPr>
            </w:pPr>
          </w:p>
        </w:tc>
        <w:tc>
          <w:tcPr>
            <w:tcW w:w="3351" w:type="dxa"/>
          </w:tcPr>
          <w:p w:rsidR="00882701" w:rsidRDefault="00882701" w:rsidP="007A2DEE">
            <w:pPr>
              <w:pStyle w:val="mhb1"/>
              <w:tabs>
                <w:tab w:val="clear" w:pos="567"/>
              </w:tabs>
              <w:spacing w:before="0"/>
              <w:rPr>
                <w:b w:val="0"/>
                <w:sz w:val="20"/>
              </w:rPr>
            </w:pPr>
            <w:r>
              <w:rPr>
                <w:b w:val="0"/>
                <w:sz w:val="20"/>
              </w:rPr>
              <w:t>Details of contact officer</w:t>
            </w:r>
          </w:p>
        </w:tc>
        <w:tc>
          <w:tcPr>
            <w:tcW w:w="1275" w:type="dxa"/>
          </w:tcPr>
          <w:p w:rsidR="00882701" w:rsidRDefault="00882701" w:rsidP="007A2DEE">
            <w:pPr>
              <w:pStyle w:val="mhb1"/>
              <w:tabs>
                <w:tab w:val="clear" w:pos="567"/>
              </w:tabs>
              <w:spacing w:before="0"/>
              <w:rPr>
                <w:b w:val="0"/>
                <w:sz w:val="20"/>
              </w:rPr>
            </w:pPr>
            <w:r>
              <w:rPr>
                <w:b w:val="0"/>
                <w:sz w:val="20"/>
              </w:rPr>
              <w:t>Mandatory</w:t>
            </w:r>
          </w:p>
        </w:tc>
        <w:tc>
          <w:tcPr>
            <w:tcW w:w="1134" w:type="dxa"/>
          </w:tcPr>
          <w:p w:rsidR="00882701" w:rsidRPr="00EE0730" w:rsidRDefault="00882701" w:rsidP="00D65937">
            <w:pPr>
              <w:pStyle w:val="mhb1"/>
              <w:tabs>
                <w:tab w:val="clear" w:pos="567"/>
              </w:tabs>
              <w:spacing w:before="0"/>
              <w:rPr>
                <w:b w:val="0"/>
                <w:sz w:val="16"/>
                <w:szCs w:val="16"/>
              </w:rPr>
            </w:pPr>
            <w:r>
              <w:rPr>
                <w:b w:val="0"/>
                <w:sz w:val="16"/>
                <w:szCs w:val="16"/>
              </w:rPr>
              <w:t>Chapter 6</w:t>
            </w:r>
          </w:p>
        </w:tc>
      </w:tr>
      <w:tr w:rsidR="000C5713" w:rsidTr="002D48EF">
        <w:trPr>
          <w:cantSplit/>
          <w:trHeight w:val="50"/>
        </w:trPr>
        <w:tc>
          <w:tcPr>
            <w:tcW w:w="908" w:type="dxa"/>
          </w:tcPr>
          <w:p w:rsidR="000C5713" w:rsidRDefault="00882701" w:rsidP="007A2DEE">
            <w:pPr>
              <w:pStyle w:val="mhb1"/>
              <w:tabs>
                <w:tab w:val="clear" w:pos="567"/>
              </w:tabs>
              <w:spacing w:before="0"/>
              <w:jc w:val="center"/>
              <w:rPr>
                <w:b w:val="0"/>
                <w:sz w:val="16"/>
              </w:rPr>
            </w:pPr>
            <w:r>
              <w:rPr>
                <w:b w:val="0"/>
                <w:sz w:val="16"/>
              </w:rPr>
              <w:t>17AJ(f)</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882701" w:rsidP="007A2DEE">
            <w:pPr>
              <w:pStyle w:val="mhb1"/>
              <w:tabs>
                <w:tab w:val="clear" w:pos="567"/>
              </w:tabs>
              <w:spacing w:before="0"/>
              <w:rPr>
                <w:b w:val="0"/>
                <w:sz w:val="20"/>
              </w:rPr>
            </w:pPr>
            <w:r>
              <w:rPr>
                <w:b w:val="0"/>
                <w:sz w:val="20"/>
              </w:rPr>
              <w:t>Entity’s website address</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Chapter 6</w:t>
            </w:r>
          </w:p>
        </w:tc>
      </w:tr>
      <w:tr w:rsidR="00882701" w:rsidTr="002D48EF">
        <w:trPr>
          <w:cantSplit/>
          <w:trHeight w:val="50"/>
        </w:trPr>
        <w:tc>
          <w:tcPr>
            <w:tcW w:w="908" w:type="dxa"/>
          </w:tcPr>
          <w:p w:rsidR="00882701" w:rsidRDefault="00882701" w:rsidP="007A2DEE">
            <w:pPr>
              <w:pStyle w:val="mhb1"/>
              <w:tabs>
                <w:tab w:val="clear" w:pos="567"/>
              </w:tabs>
              <w:spacing w:before="0"/>
              <w:jc w:val="center"/>
              <w:rPr>
                <w:b w:val="0"/>
                <w:sz w:val="16"/>
              </w:rPr>
            </w:pPr>
            <w:r>
              <w:rPr>
                <w:b w:val="0"/>
                <w:sz w:val="16"/>
              </w:rPr>
              <w:t>17AJ(g)</w:t>
            </w:r>
          </w:p>
        </w:tc>
        <w:tc>
          <w:tcPr>
            <w:tcW w:w="760" w:type="dxa"/>
          </w:tcPr>
          <w:p w:rsidR="00882701" w:rsidRDefault="00882701" w:rsidP="007A2DEE">
            <w:pPr>
              <w:pStyle w:val="mhb1"/>
              <w:tabs>
                <w:tab w:val="clear" w:pos="567"/>
              </w:tabs>
              <w:spacing w:before="0"/>
              <w:jc w:val="center"/>
              <w:rPr>
                <w:b w:val="0"/>
                <w:sz w:val="20"/>
              </w:rPr>
            </w:pPr>
          </w:p>
        </w:tc>
        <w:tc>
          <w:tcPr>
            <w:tcW w:w="3351" w:type="dxa"/>
          </w:tcPr>
          <w:p w:rsidR="00882701" w:rsidRDefault="00882701" w:rsidP="007A2DEE">
            <w:pPr>
              <w:pStyle w:val="mhb1"/>
              <w:tabs>
                <w:tab w:val="clear" w:pos="567"/>
              </w:tabs>
              <w:spacing w:before="0"/>
              <w:rPr>
                <w:b w:val="0"/>
                <w:sz w:val="20"/>
              </w:rPr>
            </w:pPr>
            <w:r>
              <w:rPr>
                <w:b w:val="0"/>
                <w:sz w:val="20"/>
              </w:rPr>
              <w:t>Electronic address of report</w:t>
            </w:r>
          </w:p>
        </w:tc>
        <w:tc>
          <w:tcPr>
            <w:tcW w:w="1275" w:type="dxa"/>
          </w:tcPr>
          <w:p w:rsidR="00882701" w:rsidRDefault="00882701" w:rsidP="007A2DEE">
            <w:pPr>
              <w:pStyle w:val="mhb1"/>
              <w:tabs>
                <w:tab w:val="clear" w:pos="567"/>
              </w:tabs>
              <w:spacing w:before="0"/>
              <w:rPr>
                <w:b w:val="0"/>
                <w:sz w:val="20"/>
              </w:rPr>
            </w:pPr>
            <w:r>
              <w:rPr>
                <w:b w:val="0"/>
                <w:sz w:val="20"/>
              </w:rPr>
              <w:t>Mandatory</w:t>
            </w:r>
          </w:p>
        </w:tc>
        <w:tc>
          <w:tcPr>
            <w:tcW w:w="1134" w:type="dxa"/>
          </w:tcPr>
          <w:p w:rsidR="00882701" w:rsidRDefault="00882701" w:rsidP="007A2DEE">
            <w:pPr>
              <w:pStyle w:val="mhb1"/>
              <w:tabs>
                <w:tab w:val="clear" w:pos="567"/>
              </w:tabs>
              <w:spacing w:before="0"/>
              <w:rPr>
                <w:b w:val="0"/>
                <w:sz w:val="16"/>
                <w:szCs w:val="16"/>
              </w:rPr>
            </w:pPr>
            <w:r>
              <w:rPr>
                <w:b w:val="0"/>
                <w:sz w:val="16"/>
                <w:szCs w:val="16"/>
              </w:rPr>
              <w:t>Chapter 6</w:t>
            </w:r>
          </w:p>
        </w:tc>
      </w:tr>
      <w:tr w:rsidR="006D1268" w:rsidTr="002D48EF">
        <w:trPr>
          <w:cantSplit/>
          <w:trHeight w:val="50"/>
        </w:trPr>
        <w:tc>
          <w:tcPr>
            <w:tcW w:w="908" w:type="dxa"/>
          </w:tcPr>
          <w:p w:rsidR="006D1268" w:rsidRPr="00D65937" w:rsidRDefault="006D1268" w:rsidP="007A2DEE">
            <w:pPr>
              <w:pStyle w:val="mhb1"/>
              <w:tabs>
                <w:tab w:val="clear" w:pos="567"/>
              </w:tabs>
              <w:spacing w:before="0"/>
              <w:jc w:val="center"/>
              <w:rPr>
                <w:sz w:val="16"/>
              </w:rPr>
            </w:pPr>
            <w:r w:rsidRPr="00D65937">
              <w:rPr>
                <w:sz w:val="16"/>
              </w:rPr>
              <w:t>17AD(a)</w:t>
            </w:r>
          </w:p>
        </w:tc>
        <w:tc>
          <w:tcPr>
            <w:tcW w:w="6520" w:type="dxa"/>
            <w:gridSpan w:val="4"/>
          </w:tcPr>
          <w:p w:rsidR="006D1268" w:rsidRPr="00087F6B" w:rsidRDefault="006D1268" w:rsidP="00D65937">
            <w:pPr>
              <w:pStyle w:val="mhb1"/>
              <w:tabs>
                <w:tab w:val="clear" w:pos="567"/>
              </w:tabs>
              <w:spacing w:before="0"/>
              <w:rPr>
                <w:sz w:val="20"/>
              </w:rPr>
            </w:pPr>
            <w:r>
              <w:rPr>
                <w:sz w:val="20"/>
              </w:rPr>
              <w:t>Review by accountable authority</w:t>
            </w:r>
          </w:p>
        </w:tc>
      </w:tr>
      <w:tr w:rsidR="000C5713" w:rsidTr="002D48EF">
        <w:trPr>
          <w:cantSplit/>
          <w:trHeight w:val="50"/>
        </w:trPr>
        <w:tc>
          <w:tcPr>
            <w:tcW w:w="908" w:type="dxa"/>
          </w:tcPr>
          <w:p w:rsidR="000C5713" w:rsidRDefault="006D1268" w:rsidP="007A2DEE">
            <w:pPr>
              <w:pStyle w:val="mhb1"/>
              <w:tabs>
                <w:tab w:val="clear" w:pos="567"/>
              </w:tabs>
              <w:spacing w:before="0"/>
              <w:jc w:val="center"/>
              <w:rPr>
                <w:b w:val="0"/>
                <w:sz w:val="16"/>
              </w:rPr>
            </w:pPr>
            <w:r>
              <w:rPr>
                <w:b w:val="0"/>
                <w:sz w:val="16"/>
              </w:rPr>
              <w:t>17AD(a)</w:t>
            </w:r>
          </w:p>
        </w:tc>
        <w:tc>
          <w:tcPr>
            <w:tcW w:w="760" w:type="dxa"/>
          </w:tcPr>
          <w:p w:rsidR="000C5713" w:rsidRDefault="000C5713" w:rsidP="007A2DEE">
            <w:pPr>
              <w:pStyle w:val="mhb1"/>
              <w:tabs>
                <w:tab w:val="clear" w:pos="567"/>
              </w:tabs>
              <w:spacing w:before="0"/>
              <w:rPr>
                <w:b w:val="0"/>
                <w:sz w:val="20"/>
              </w:rPr>
            </w:pPr>
          </w:p>
        </w:tc>
        <w:tc>
          <w:tcPr>
            <w:tcW w:w="3351" w:type="dxa"/>
          </w:tcPr>
          <w:p w:rsidR="000C5713" w:rsidRDefault="006D1268" w:rsidP="006D1268">
            <w:pPr>
              <w:pStyle w:val="mhb1"/>
              <w:tabs>
                <w:tab w:val="clear" w:pos="567"/>
              </w:tabs>
              <w:spacing w:before="0"/>
              <w:rPr>
                <w:b w:val="0"/>
                <w:sz w:val="20"/>
              </w:rPr>
            </w:pPr>
            <w:r>
              <w:rPr>
                <w:b w:val="0"/>
                <w:sz w:val="20"/>
              </w:rPr>
              <w:t>A r</w:t>
            </w:r>
            <w:r w:rsidR="000C5713">
              <w:rPr>
                <w:b w:val="0"/>
                <w:sz w:val="20"/>
              </w:rPr>
              <w:t xml:space="preserve">eview by </w:t>
            </w:r>
            <w:r>
              <w:rPr>
                <w:b w:val="0"/>
                <w:sz w:val="20"/>
              </w:rPr>
              <w:t>the accountable authority of the entity.</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0C5713" w:rsidP="00D52C7D">
            <w:r w:rsidRPr="00EE0730">
              <w:rPr>
                <w:sz w:val="16"/>
                <w:szCs w:val="16"/>
              </w:rPr>
              <w:t>F</w:t>
            </w:r>
            <w:r w:rsidR="002D48EF">
              <w:rPr>
                <w:sz w:val="16"/>
                <w:szCs w:val="16"/>
              </w:rPr>
              <w:t xml:space="preserve">irst </w:t>
            </w:r>
            <w:r w:rsidRPr="00EE0730">
              <w:rPr>
                <w:sz w:val="16"/>
                <w:szCs w:val="16"/>
              </w:rPr>
              <w:t>P</w:t>
            </w:r>
            <w:r w:rsidR="002D48EF">
              <w:rPr>
                <w:sz w:val="16"/>
                <w:szCs w:val="16"/>
              </w:rPr>
              <w:t xml:space="preserve">arliamentary </w:t>
            </w:r>
            <w:r w:rsidRPr="00EE0730">
              <w:rPr>
                <w:sz w:val="16"/>
                <w:szCs w:val="16"/>
              </w:rPr>
              <w:t>C</w:t>
            </w:r>
            <w:r w:rsidR="002D48EF">
              <w:rPr>
                <w:sz w:val="16"/>
                <w:szCs w:val="16"/>
              </w:rPr>
              <w:t>ounsel</w:t>
            </w:r>
            <w:r w:rsidR="003C39D9">
              <w:rPr>
                <w:sz w:val="16"/>
                <w:szCs w:val="16"/>
              </w:rPr>
              <w:t>’</w:t>
            </w:r>
            <w:r w:rsidRPr="00EE0730">
              <w:rPr>
                <w:sz w:val="16"/>
                <w:szCs w:val="16"/>
              </w:rPr>
              <w:t xml:space="preserve">s </w:t>
            </w:r>
            <w:r w:rsidR="00D52C7D">
              <w:rPr>
                <w:sz w:val="16"/>
                <w:szCs w:val="16"/>
              </w:rPr>
              <w:t>R</w:t>
            </w:r>
            <w:r w:rsidRPr="00EE0730">
              <w:rPr>
                <w:sz w:val="16"/>
                <w:szCs w:val="16"/>
              </w:rPr>
              <w:t>eview</w:t>
            </w:r>
          </w:p>
        </w:tc>
      </w:tr>
      <w:tr w:rsidR="00A65A83" w:rsidTr="002D48EF">
        <w:trPr>
          <w:cantSplit/>
          <w:trHeight w:val="50"/>
        </w:trPr>
        <w:tc>
          <w:tcPr>
            <w:tcW w:w="908" w:type="dxa"/>
          </w:tcPr>
          <w:p w:rsidR="00A65A83" w:rsidRPr="00D65937" w:rsidRDefault="00A65A83" w:rsidP="007A2DEE">
            <w:pPr>
              <w:pStyle w:val="mhb1"/>
              <w:tabs>
                <w:tab w:val="clear" w:pos="567"/>
              </w:tabs>
              <w:spacing w:before="0"/>
              <w:jc w:val="center"/>
              <w:rPr>
                <w:sz w:val="16"/>
              </w:rPr>
            </w:pPr>
            <w:r w:rsidRPr="00D65937">
              <w:rPr>
                <w:sz w:val="16"/>
              </w:rPr>
              <w:t>17AD(b)</w:t>
            </w:r>
          </w:p>
        </w:tc>
        <w:tc>
          <w:tcPr>
            <w:tcW w:w="6520" w:type="dxa"/>
            <w:gridSpan w:val="4"/>
          </w:tcPr>
          <w:p w:rsidR="00A65A83" w:rsidRPr="00087F6B" w:rsidRDefault="00A65A83" w:rsidP="00D65937">
            <w:pPr>
              <w:pStyle w:val="mhb1"/>
              <w:tabs>
                <w:tab w:val="clear" w:pos="567"/>
              </w:tabs>
              <w:spacing w:before="0"/>
              <w:rPr>
                <w:sz w:val="20"/>
              </w:rPr>
            </w:pPr>
            <w:r>
              <w:rPr>
                <w:sz w:val="20"/>
              </w:rPr>
              <w:t>Overview of the entity</w:t>
            </w:r>
          </w:p>
        </w:tc>
      </w:tr>
      <w:tr w:rsidR="000C5713" w:rsidTr="002D48EF">
        <w:trPr>
          <w:cantSplit/>
          <w:trHeight w:val="50"/>
        </w:trPr>
        <w:tc>
          <w:tcPr>
            <w:tcW w:w="908" w:type="dxa"/>
          </w:tcPr>
          <w:p w:rsidR="000C5713" w:rsidRDefault="00A65A83" w:rsidP="007A2DEE">
            <w:pPr>
              <w:pStyle w:val="mhb1"/>
              <w:tabs>
                <w:tab w:val="clear" w:pos="567"/>
              </w:tabs>
              <w:spacing w:before="0"/>
              <w:jc w:val="center"/>
              <w:rPr>
                <w:b w:val="0"/>
                <w:sz w:val="16"/>
              </w:rPr>
            </w:pPr>
            <w:r>
              <w:rPr>
                <w:b w:val="0"/>
                <w:sz w:val="16"/>
              </w:rPr>
              <w:t>17AE(1)(a) (i)</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Default="00A65A83" w:rsidP="007A2DEE">
            <w:pPr>
              <w:pStyle w:val="mhb1"/>
              <w:tabs>
                <w:tab w:val="clear" w:pos="567"/>
              </w:tabs>
              <w:spacing w:before="0"/>
              <w:rPr>
                <w:b w:val="0"/>
                <w:sz w:val="20"/>
              </w:rPr>
            </w:pPr>
            <w:r>
              <w:rPr>
                <w:b w:val="0"/>
                <w:sz w:val="20"/>
              </w:rPr>
              <w:t>A description of the role and functions of the entity.</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CF21E4" w:rsidRDefault="000C5713" w:rsidP="007A2DEE">
            <w:r w:rsidRPr="00CF21E4">
              <w:rPr>
                <w:sz w:val="16"/>
                <w:szCs w:val="16"/>
              </w:rPr>
              <w:t>Chap</w:t>
            </w:r>
            <w:r>
              <w:rPr>
                <w:sz w:val="16"/>
                <w:szCs w:val="16"/>
              </w:rPr>
              <w:t>ter</w:t>
            </w:r>
            <w:r w:rsidRPr="00CF21E4">
              <w:rPr>
                <w:sz w:val="16"/>
                <w:szCs w:val="16"/>
              </w:rPr>
              <w:t xml:space="preserve"> 1</w:t>
            </w:r>
          </w:p>
        </w:tc>
      </w:tr>
      <w:tr w:rsidR="00A65A83" w:rsidTr="002D48EF">
        <w:trPr>
          <w:cantSplit/>
          <w:trHeight w:val="50"/>
        </w:trPr>
        <w:tc>
          <w:tcPr>
            <w:tcW w:w="908" w:type="dxa"/>
          </w:tcPr>
          <w:p w:rsidR="00A65A83" w:rsidRDefault="00A65A83" w:rsidP="00D65937">
            <w:pPr>
              <w:pStyle w:val="mhb1"/>
              <w:tabs>
                <w:tab w:val="clear" w:pos="567"/>
              </w:tabs>
              <w:spacing w:before="0"/>
              <w:jc w:val="center"/>
              <w:rPr>
                <w:b w:val="0"/>
                <w:sz w:val="16"/>
              </w:rPr>
            </w:pPr>
            <w:r>
              <w:rPr>
                <w:b w:val="0"/>
                <w:sz w:val="16"/>
              </w:rPr>
              <w:t>17AE(1)(a) (ii)</w:t>
            </w:r>
          </w:p>
        </w:tc>
        <w:tc>
          <w:tcPr>
            <w:tcW w:w="760" w:type="dxa"/>
          </w:tcPr>
          <w:p w:rsidR="00A65A83" w:rsidRDefault="00A65A83" w:rsidP="007A2DEE">
            <w:pPr>
              <w:pStyle w:val="mhb1"/>
              <w:tabs>
                <w:tab w:val="clear" w:pos="567"/>
              </w:tabs>
              <w:spacing w:before="0"/>
              <w:jc w:val="center"/>
              <w:rPr>
                <w:b w:val="0"/>
                <w:sz w:val="20"/>
              </w:rPr>
            </w:pPr>
          </w:p>
        </w:tc>
        <w:tc>
          <w:tcPr>
            <w:tcW w:w="3351" w:type="dxa"/>
          </w:tcPr>
          <w:p w:rsidR="00A65A83" w:rsidRDefault="00A65A83" w:rsidP="007A2DEE">
            <w:pPr>
              <w:pStyle w:val="mhb1"/>
              <w:tabs>
                <w:tab w:val="clear" w:pos="567"/>
              </w:tabs>
              <w:spacing w:before="0"/>
              <w:rPr>
                <w:b w:val="0"/>
                <w:sz w:val="20"/>
              </w:rPr>
            </w:pPr>
            <w:r>
              <w:rPr>
                <w:b w:val="0"/>
                <w:sz w:val="20"/>
              </w:rPr>
              <w:t>A description of the organisational structure of the entity.</w:t>
            </w:r>
          </w:p>
        </w:tc>
        <w:tc>
          <w:tcPr>
            <w:tcW w:w="1275" w:type="dxa"/>
          </w:tcPr>
          <w:p w:rsidR="00A65A83" w:rsidRDefault="00A65A83" w:rsidP="007A2DEE">
            <w:pPr>
              <w:pStyle w:val="mhb1"/>
              <w:tabs>
                <w:tab w:val="clear" w:pos="567"/>
              </w:tabs>
              <w:spacing w:before="0"/>
              <w:rPr>
                <w:b w:val="0"/>
                <w:sz w:val="20"/>
              </w:rPr>
            </w:pPr>
            <w:r>
              <w:rPr>
                <w:b w:val="0"/>
                <w:sz w:val="20"/>
              </w:rPr>
              <w:t>Mandatory</w:t>
            </w:r>
          </w:p>
        </w:tc>
        <w:tc>
          <w:tcPr>
            <w:tcW w:w="1134" w:type="dxa"/>
          </w:tcPr>
          <w:p w:rsidR="00A65A83" w:rsidRPr="00CF21E4" w:rsidRDefault="00A65A83" w:rsidP="007A2DEE">
            <w:r w:rsidRPr="00CF21E4">
              <w:rPr>
                <w:sz w:val="16"/>
                <w:szCs w:val="16"/>
              </w:rPr>
              <w:t>Chap</w:t>
            </w:r>
            <w:r>
              <w:rPr>
                <w:sz w:val="16"/>
                <w:szCs w:val="16"/>
              </w:rPr>
              <w:t>ter</w:t>
            </w:r>
            <w:r w:rsidRPr="00CF21E4">
              <w:rPr>
                <w:sz w:val="16"/>
                <w:szCs w:val="16"/>
              </w:rPr>
              <w:t xml:space="preserve"> 1</w:t>
            </w:r>
          </w:p>
        </w:tc>
      </w:tr>
      <w:tr w:rsidR="00A65A83" w:rsidTr="002D48EF">
        <w:trPr>
          <w:cantSplit/>
          <w:trHeight w:val="50"/>
        </w:trPr>
        <w:tc>
          <w:tcPr>
            <w:tcW w:w="908" w:type="dxa"/>
          </w:tcPr>
          <w:p w:rsidR="00A65A83" w:rsidRDefault="00A65A83" w:rsidP="00D65937">
            <w:pPr>
              <w:pStyle w:val="mhb1"/>
              <w:tabs>
                <w:tab w:val="clear" w:pos="567"/>
              </w:tabs>
              <w:spacing w:before="0"/>
              <w:jc w:val="center"/>
              <w:rPr>
                <w:b w:val="0"/>
                <w:sz w:val="16"/>
              </w:rPr>
            </w:pPr>
            <w:r>
              <w:rPr>
                <w:b w:val="0"/>
                <w:sz w:val="16"/>
              </w:rPr>
              <w:t>17AE(1)(a) (iii)</w:t>
            </w:r>
          </w:p>
        </w:tc>
        <w:tc>
          <w:tcPr>
            <w:tcW w:w="760" w:type="dxa"/>
          </w:tcPr>
          <w:p w:rsidR="00A65A83" w:rsidRDefault="00A65A83" w:rsidP="007A2DEE">
            <w:pPr>
              <w:pStyle w:val="mhb1"/>
              <w:tabs>
                <w:tab w:val="clear" w:pos="567"/>
              </w:tabs>
              <w:spacing w:before="0"/>
              <w:jc w:val="center"/>
              <w:rPr>
                <w:b w:val="0"/>
                <w:sz w:val="20"/>
              </w:rPr>
            </w:pPr>
          </w:p>
        </w:tc>
        <w:tc>
          <w:tcPr>
            <w:tcW w:w="3351" w:type="dxa"/>
          </w:tcPr>
          <w:p w:rsidR="00A65A83" w:rsidRDefault="00A65A83" w:rsidP="007A2DEE">
            <w:pPr>
              <w:pStyle w:val="mhb1"/>
              <w:tabs>
                <w:tab w:val="clear" w:pos="567"/>
              </w:tabs>
              <w:spacing w:before="0"/>
              <w:rPr>
                <w:b w:val="0"/>
                <w:sz w:val="20"/>
              </w:rPr>
            </w:pPr>
            <w:r>
              <w:rPr>
                <w:b w:val="0"/>
                <w:sz w:val="20"/>
              </w:rPr>
              <w:t>A descripti</w:t>
            </w:r>
            <w:r w:rsidR="009F1ECF">
              <w:rPr>
                <w:b w:val="0"/>
                <w:sz w:val="20"/>
              </w:rPr>
              <w:t>on of the outcomes and program</w:t>
            </w:r>
            <w:r>
              <w:rPr>
                <w:b w:val="0"/>
                <w:sz w:val="20"/>
              </w:rPr>
              <w:t>s administered by the entity.</w:t>
            </w:r>
          </w:p>
        </w:tc>
        <w:tc>
          <w:tcPr>
            <w:tcW w:w="1275" w:type="dxa"/>
          </w:tcPr>
          <w:p w:rsidR="00A65A83" w:rsidRDefault="00A65A83" w:rsidP="007A2DEE">
            <w:pPr>
              <w:pStyle w:val="mhb1"/>
              <w:tabs>
                <w:tab w:val="clear" w:pos="567"/>
              </w:tabs>
              <w:spacing w:before="0"/>
              <w:rPr>
                <w:b w:val="0"/>
                <w:sz w:val="20"/>
              </w:rPr>
            </w:pPr>
            <w:r>
              <w:rPr>
                <w:b w:val="0"/>
                <w:sz w:val="20"/>
              </w:rPr>
              <w:t>Mandatory</w:t>
            </w:r>
          </w:p>
        </w:tc>
        <w:tc>
          <w:tcPr>
            <w:tcW w:w="1134" w:type="dxa"/>
          </w:tcPr>
          <w:p w:rsidR="00A65A83" w:rsidRPr="00CF21E4" w:rsidRDefault="00A65A83" w:rsidP="007A2DEE">
            <w:r w:rsidRPr="00CF21E4">
              <w:rPr>
                <w:sz w:val="16"/>
                <w:szCs w:val="16"/>
              </w:rPr>
              <w:t>Chap</w:t>
            </w:r>
            <w:r>
              <w:rPr>
                <w:sz w:val="16"/>
                <w:szCs w:val="16"/>
              </w:rPr>
              <w:t>ter</w:t>
            </w:r>
            <w:r w:rsidRPr="00CF21E4">
              <w:rPr>
                <w:sz w:val="16"/>
                <w:szCs w:val="16"/>
              </w:rPr>
              <w:t xml:space="preserve"> 1</w:t>
            </w:r>
          </w:p>
        </w:tc>
      </w:tr>
      <w:tr w:rsidR="009F1ECF" w:rsidTr="002D48EF">
        <w:trPr>
          <w:cantSplit/>
          <w:trHeight w:val="50"/>
        </w:trPr>
        <w:tc>
          <w:tcPr>
            <w:tcW w:w="908" w:type="dxa"/>
          </w:tcPr>
          <w:p w:rsidR="009F1ECF" w:rsidRDefault="009F1ECF" w:rsidP="00D65937">
            <w:pPr>
              <w:pStyle w:val="mhb1"/>
              <w:tabs>
                <w:tab w:val="clear" w:pos="567"/>
              </w:tabs>
              <w:spacing w:before="0"/>
              <w:jc w:val="center"/>
              <w:rPr>
                <w:b w:val="0"/>
                <w:sz w:val="16"/>
              </w:rPr>
            </w:pPr>
            <w:r>
              <w:rPr>
                <w:b w:val="0"/>
                <w:sz w:val="16"/>
              </w:rPr>
              <w:t>17AE(1)(a) (iv)</w:t>
            </w:r>
          </w:p>
        </w:tc>
        <w:tc>
          <w:tcPr>
            <w:tcW w:w="760" w:type="dxa"/>
          </w:tcPr>
          <w:p w:rsidR="009F1ECF" w:rsidRDefault="009F1ECF" w:rsidP="007A2DEE">
            <w:pPr>
              <w:pStyle w:val="mhb1"/>
              <w:tabs>
                <w:tab w:val="clear" w:pos="567"/>
              </w:tabs>
              <w:spacing w:before="0"/>
              <w:jc w:val="center"/>
              <w:rPr>
                <w:b w:val="0"/>
                <w:sz w:val="20"/>
              </w:rPr>
            </w:pPr>
          </w:p>
        </w:tc>
        <w:tc>
          <w:tcPr>
            <w:tcW w:w="3351" w:type="dxa"/>
          </w:tcPr>
          <w:p w:rsidR="009F1ECF" w:rsidRDefault="009F1ECF" w:rsidP="00D65937">
            <w:pPr>
              <w:pStyle w:val="mhb1"/>
              <w:tabs>
                <w:tab w:val="clear" w:pos="567"/>
              </w:tabs>
              <w:spacing w:before="0"/>
              <w:rPr>
                <w:b w:val="0"/>
                <w:sz w:val="20"/>
              </w:rPr>
            </w:pPr>
            <w:r>
              <w:rPr>
                <w:b w:val="0"/>
                <w:sz w:val="20"/>
              </w:rPr>
              <w:t>A description of the purposes of the entity as included in corporate plan.</w:t>
            </w:r>
          </w:p>
        </w:tc>
        <w:tc>
          <w:tcPr>
            <w:tcW w:w="1275" w:type="dxa"/>
          </w:tcPr>
          <w:p w:rsidR="009F1ECF" w:rsidRDefault="009F1ECF" w:rsidP="00D65937">
            <w:pPr>
              <w:pStyle w:val="mhb1"/>
              <w:tabs>
                <w:tab w:val="clear" w:pos="567"/>
              </w:tabs>
              <w:spacing w:before="0"/>
              <w:rPr>
                <w:b w:val="0"/>
                <w:sz w:val="20"/>
              </w:rPr>
            </w:pPr>
            <w:r>
              <w:rPr>
                <w:b w:val="0"/>
                <w:sz w:val="20"/>
              </w:rPr>
              <w:t>Mandatory</w:t>
            </w:r>
          </w:p>
        </w:tc>
        <w:tc>
          <w:tcPr>
            <w:tcW w:w="1134" w:type="dxa"/>
          </w:tcPr>
          <w:p w:rsidR="009F1ECF" w:rsidRPr="00CF21E4" w:rsidRDefault="009F1ECF" w:rsidP="00D65937">
            <w:r w:rsidRPr="00CF21E4">
              <w:rPr>
                <w:sz w:val="16"/>
                <w:szCs w:val="16"/>
              </w:rPr>
              <w:t>Chap</w:t>
            </w:r>
            <w:r>
              <w:rPr>
                <w:sz w:val="16"/>
                <w:szCs w:val="16"/>
              </w:rPr>
              <w:t>ter</w:t>
            </w:r>
            <w:r w:rsidRPr="00CF21E4">
              <w:rPr>
                <w:sz w:val="16"/>
                <w:szCs w:val="16"/>
              </w:rPr>
              <w:t xml:space="preserve"> 1</w:t>
            </w:r>
          </w:p>
        </w:tc>
      </w:tr>
      <w:tr w:rsidR="009F1ECF" w:rsidTr="002D48EF">
        <w:trPr>
          <w:cantSplit/>
          <w:trHeight w:val="50"/>
        </w:trPr>
        <w:tc>
          <w:tcPr>
            <w:tcW w:w="908" w:type="dxa"/>
          </w:tcPr>
          <w:p w:rsidR="009F1ECF" w:rsidRDefault="009F1ECF" w:rsidP="00D65937">
            <w:pPr>
              <w:pStyle w:val="mhb1"/>
              <w:tabs>
                <w:tab w:val="clear" w:pos="567"/>
              </w:tabs>
              <w:spacing w:before="0"/>
              <w:jc w:val="center"/>
              <w:rPr>
                <w:b w:val="0"/>
                <w:sz w:val="16"/>
              </w:rPr>
            </w:pPr>
            <w:r>
              <w:rPr>
                <w:b w:val="0"/>
                <w:sz w:val="16"/>
              </w:rPr>
              <w:t>17AE(1)(b)</w:t>
            </w:r>
          </w:p>
        </w:tc>
        <w:tc>
          <w:tcPr>
            <w:tcW w:w="760" w:type="dxa"/>
          </w:tcPr>
          <w:p w:rsidR="009F1ECF" w:rsidRDefault="009F1ECF" w:rsidP="007A2DEE">
            <w:pPr>
              <w:pStyle w:val="mhb1"/>
              <w:tabs>
                <w:tab w:val="clear" w:pos="567"/>
              </w:tabs>
              <w:spacing w:before="0"/>
              <w:jc w:val="center"/>
              <w:rPr>
                <w:b w:val="0"/>
                <w:sz w:val="20"/>
              </w:rPr>
            </w:pPr>
          </w:p>
        </w:tc>
        <w:tc>
          <w:tcPr>
            <w:tcW w:w="3351" w:type="dxa"/>
          </w:tcPr>
          <w:p w:rsidR="009F1ECF" w:rsidRDefault="009F1ECF" w:rsidP="007A2DEE">
            <w:pPr>
              <w:pStyle w:val="mhb1"/>
              <w:tabs>
                <w:tab w:val="clear" w:pos="567"/>
              </w:tabs>
              <w:spacing w:before="0"/>
              <w:rPr>
                <w:b w:val="0"/>
                <w:sz w:val="20"/>
              </w:rPr>
            </w:pPr>
            <w:r>
              <w:rPr>
                <w:b w:val="0"/>
                <w:sz w:val="20"/>
              </w:rPr>
              <w:t>An outline of the structure of the portfolio of the entity.</w:t>
            </w:r>
          </w:p>
        </w:tc>
        <w:tc>
          <w:tcPr>
            <w:tcW w:w="1275" w:type="dxa"/>
          </w:tcPr>
          <w:p w:rsidR="009F1ECF" w:rsidRDefault="009F1ECF" w:rsidP="009F1ECF">
            <w:pPr>
              <w:pStyle w:val="mhb1"/>
              <w:tabs>
                <w:tab w:val="clear" w:pos="567"/>
              </w:tabs>
              <w:spacing w:before="0"/>
              <w:rPr>
                <w:b w:val="0"/>
                <w:sz w:val="20"/>
              </w:rPr>
            </w:pPr>
            <w:r>
              <w:rPr>
                <w:b w:val="0"/>
                <w:sz w:val="20"/>
              </w:rPr>
              <w:t>Portfolio departments – Mandatory</w:t>
            </w:r>
          </w:p>
        </w:tc>
        <w:tc>
          <w:tcPr>
            <w:tcW w:w="1134" w:type="dxa"/>
          </w:tcPr>
          <w:p w:rsidR="009F1ECF" w:rsidRDefault="009F1ECF" w:rsidP="007A2DEE">
            <w:pPr>
              <w:pStyle w:val="mhb1"/>
              <w:tabs>
                <w:tab w:val="clear" w:pos="567"/>
              </w:tabs>
              <w:spacing w:before="0"/>
              <w:rPr>
                <w:b w:val="0"/>
                <w:sz w:val="16"/>
                <w:szCs w:val="16"/>
              </w:rPr>
            </w:pPr>
            <w:r>
              <w:rPr>
                <w:b w:val="0"/>
                <w:sz w:val="16"/>
                <w:szCs w:val="16"/>
              </w:rPr>
              <w:t>N/A</w:t>
            </w:r>
          </w:p>
        </w:tc>
      </w:tr>
      <w:tr w:rsidR="00A65A83" w:rsidTr="002D48EF">
        <w:trPr>
          <w:cantSplit/>
          <w:trHeight w:val="50"/>
        </w:trPr>
        <w:tc>
          <w:tcPr>
            <w:tcW w:w="908" w:type="dxa"/>
          </w:tcPr>
          <w:p w:rsidR="00A65A83" w:rsidRDefault="00A65A83" w:rsidP="007F50FD">
            <w:pPr>
              <w:pStyle w:val="mhb1"/>
              <w:tabs>
                <w:tab w:val="clear" w:pos="567"/>
              </w:tabs>
              <w:spacing w:before="0"/>
              <w:jc w:val="center"/>
              <w:rPr>
                <w:b w:val="0"/>
                <w:sz w:val="16"/>
              </w:rPr>
            </w:pPr>
            <w:r>
              <w:rPr>
                <w:b w:val="0"/>
                <w:sz w:val="16"/>
              </w:rPr>
              <w:lastRenderedPageBreak/>
              <w:t>17AE(</w:t>
            </w:r>
            <w:r w:rsidR="007F50FD">
              <w:rPr>
                <w:b w:val="0"/>
                <w:sz w:val="16"/>
              </w:rPr>
              <w:t>2</w:t>
            </w:r>
            <w:r>
              <w:rPr>
                <w:b w:val="0"/>
                <w:sz w:val="16"/>
              </w:rPr>
              <w:t>)</w:t>
            </w:r>
          </w:p>
        </w:tc>
        <w:tc>
          <w:tcPr>
            <w:tcW w:w="760" w:type="dxa"/>
          </w:tcPr>
          <w:p w:rsidR="00A65A83" w:rsidRDefault="00A65A83" w:rsidP="007A2DEE">
            <w:pPr>
              <w:pStyle w:val="mhb1"/>
              <w:tabs>
                <w:tab w:val="clear" w:pos="567"/>
              </w:tabs>
              <w:spacing w:before="0"/>
              <w:jc w:val="center"/>
              <w:rPr>
                <w:b w:val="0"/>
                <w:sz w:val="20"/>
              </w:rPr>
            </w:pPr>
          </w:p>
        </w:tc>
        <w:tc>
          <w:tcPr>
            <w:tcW w:w="3351" w:type="dxa"/>
          </w:tcPr>
          <w:p w:rsidR="00A65A83" w:rsidRDefault="00A65A83" w:rsidP="009F1ECF">
            <w:pPr>
              <w:pStyle w:val="mhb1"/>
              <w:tabs>
                <w:tab w:val="clear" w:pos="567"/>
              </w:tabs>
              <w:spacing w:before="0"/>
              <w:rPr>
                <w:b w:val="0"/>
                <w:sz w:val="20"/>
              </w:rPr>
            </w:pPr>
            <w:r>
              <w:rPr>
                <w:b w:val="0"/>
                <w:sz w:val="20"/>
              </w:rPr>
              <w:t xml:space="preserve">Where </w:t>
            </w:r>
            <w:r w:rsidR="007F50FD">
              <w:rPr>
                <w:b w:val="0"/>
                <w:sz w:val="20"/>
              </w:rPr>
              <w:t xml:space="preserve">the </w:t>
            </w:r>
            <w:r>
              <w:rPr>
                <w:b w:val="0"/>
                <w:sz w:val="20"/>
              </w:rPr>
              <w:t>outcome</w:t>
            </w:r>
            <w:r w:rsidR="007F50FD">
              <w:rPr>
                <w:b w:val="0"/>
                <w:sz w:val="20"/>
              </w:rPr>
              <w:t>s</w:t>
            </w:r>
            <w:r>
              <w:rPr>
                <w:b w:val="0"/>
                <w:sz w:val="20"/>
              </w:rPr>
              <w:t xml:space="preserve"> and program</w:t>
            </w:r>
            <w:r w:rsidR="009F1ECF">
              <w:rPr>
                <w:b w:val="0"/>
                <w:sz w:val="20"/>
              </w:rPr>
              <w:t>s administered</w:t>
            </w:r>
            <w:r>
              <w:rPr>
                <w:b w:val="0"/>
                <w:sz w:val="20"/>
              </w:rPr>
              <w:t xml:space="preserve"> </w:t>
            </w:r>
            <w:r w:rsidR="009F1ECF">
              <w:rPr>
                <w:b w:val="0"/>
                <w:sz w:val="20"/>
              </w:rPr>
              <w:t>by the entity d</w:t>
            </w:r>
            <w:r>
              <w:rPr>
                <w:b w:val="0"/>
                <w:sz w:val="20"/>
              </w:rPr>
              <w:t>iffer from</w:t>
            </w:r>
            <w:r w:rsidR="009F1ECF">
              <w:rPr>
                <w:b w:val="0"/>
                <w:sz w:val="20"/>
              </w:rPr>
              <w:t xml:space="preserve"> any</w:t>
            </w:r>
            <w:r>
              <w:rPr>
                <w:b w:val="0"/>
                <w:sz w:val="20"/>
              </w:rPr>
              <w:t xml:space="preserve"> P</w:t>
            </w:r>
            <w:r w:rsidR="009F1ECF">
              <w:rPr>
                <w:b w:val="0"/>
                <w:sz w:val="20"/>
              </w:rPr>
              <w:t xml:space="preserve">ortfolio </w:t>
            </w:r>
            <w:r>
              <w:rPr>
                <w:b w:val="0"/>
                <w:sz w:val="20"/>
              </w:rPr>
              <w:t>B</w:t>
            </w:r>
            <w:r w:rsidR="009F1ECF">
              <w:rPr>
                <w:b w:val="0"/>
                <w:sz w:val="20"/>
              </w:rPr>
              <w:t xml:space="preserve">udget Statement, </w:t>
            </w:r>
            <w:r>
              <w:rPr>
                <w:b w:val="0"/>
                <w:sz w:val="20"/>
              </w:rPr>
              <w:t>P</w:t>
            </w:r>
            <w:r w:rsidR="009F1ECF">
              <w:rPr>
                <w:b w:val="0"/>
                <w:sz w:val="20"/>
              </w:rPr>
              <w:t xml:space="preserve">ortfolio </w:t>
            </w:r>
            <w:r>
              <w:rPr>
                <w:b w:val="0"/>
                <w:sz w:val="20"/>
              </w:rPr>
              <w:t>A</w:t>
            </w:r>
            <w:r w:rsidR="009F1ECF">
              <w:rPr>
                <w:b w:val="0"/>
                <w:sz w:val="20"/>
              </w:rPr>
              <w:t xml:space="preserve">dditional </w:t>
            </w:r>
            <w:r>
              <w:rPr>
                <w:b w:val="0"/>
                <w:sz w:val="20"/>
              </w:rPr>
              <w:t>E</w:t>
            </w:r>
            <w:r w:rsidR="009F1ECF">
              <w:rPr>
                <w:b w:val="0"/>
                <w:sz w:val="20"/>
              </w:rPr>
              <w:t xml:space="preserve">stimates </w:t>
            </w:r>
            <w:r>
              <w:rPr>
                <w:b w:val="0"/>
                <w:sz w:val="20"/>
              </w:rPr>
              <w:t>S</w:t>
            </w:r>
            <w:r w:rsidR="009F1ECF">
              <w:rPr>
                <w:b w:val="0"/>
                <w:sz w:val="20"/>
              </w:rPr>
              <w:t>tatement</w:t>
            </w:r>
            <w:r>
              <w:rPr>
                <w:b w:val="0"/>
                <w:sz w:val="20"/>
              </w:rPr>
              <w:t xml:space="preserve"> or other portfolio</w:t>
            </w:r>
            <w:r w:rsidR="009F1ECF">
              <w:rPr>
                <w:b w:val="0"/>
                <w:sz w:val="20"/>
              </w:rPr>
              <w:t xml:space="preserve"> estimates statement that was prepared for the entity for the period, include</w:t>
            </w:r>
            <w:r>
              <w:rPr>
                <w:b w:val="0"/>
                <w:sz w:val="20"/>
              </w:rPr>
              <w:t xml:space="preserve"> details of variation and reasons for change</w:t>
            </w:r>
            <w:r w:rsidR="009F1ECF">
              <w:rPr>
                <w:b w:val="0"/>
                <w:sz w:val="20"/>
              </w:rPr>
              <w:t>.</w:t>
            </w:r>
          </w:p>
        </w:tc>
        <w:tc>
          <w:tcPr>
            <w:tcW w:w="1275" w:type="dxa"/>
          </w:tcPr>
          <w:p w:rsidR="00A65A83" w:rsidRDefault="009F1ECF" w:rsidP="007A2DEE">
            <w:pPr>
              <w:pStyle w:val="mhb1"/>
              <w:tabs>
                <w:tab w:val="clear" w:pos="567"/>
              </w:tabs>
              <w:spacing w:before="0"/>
              <w:rPr>
                <w:b w:val="0"/>
                <w:sz w:val="20"/>
              </w:rPr>
            </w:pPr>
            <w:r>
              <w:rPr>
                <w:b w:val="0"/>
                <w:sz w:val="20"/>
              </w:rPr>
              <w:t xml:space="preserve">If applicable, </w:t>
            </w:r>
            <w:r w:rsidR="00A65A83">
              <w:rPr>
                <w:b w:val="0"/>
                <w:sz w:val="20"/>
              </w:rPr>
              <w:t>Mandatory</w:t>
            </w:r>
          </w:p>
        </w:tc>
        <w:tc>
          <w:tcPr>
            <w:tcW w:w="1134" w:type="dxa"/>
          </w:tcPr>
          <w:p w:rsidR="00A65A83" w:rsidRPr="00EE0730" w:rsidRDefault="00A65A83" w:rsidP="007A2DEE">
            <w:pPr>
              <w:pStyle w:val="mhb1"/>
              <w:tabs>
                <w:tab w:val="clear" w:pos="567"/>
              </w:tabs>
              <w:spacing w:before="0"/>
              <w:rPr>
                <w:b w:val="0"/>
                <w:sz w:val="16"/>
                <w:szCs w:val="16"/>
              </w:rPr>
            </w:pPr>
            <w:r>
              <w:rPr>
                <w:b w:val="0"/>
                <w:sz w:val="16"/>
                <w:szCs w:val="16"/>
              </w:rPr>
              <w:t>N/A</w:t>
            </w:r>
          </w:p>
        </w:tc>
      </w:tr>
      <w:tr w:rsidR="007A05D9" w:rsidTr="002D48EF">
        <w:trPr>
          <w:cantSplit/>
          <w:trHeight w:val="50"/>
        </w:trPr>
        <w:tc>
          <w:tcPr>
            <w:tcW w:w="908" w:type="dxa"/>
          </w:tcPr>
          <w:p w:rsidR="007A05D9" w:rsidRPr="00D65937" w:rsidRDefault="007A05D9" w:rsidP="007A2DEE">
            <w:pPr>
              <w:pStyle w:val="mhb1"/>
              <w:tabs>
                <w:tab w:val="clear" w:pos="567"/>
              </w:tabs>
              <w:spacing w:before="0"/>
              <w:jc w:val="center"/>
              <w:rPr>
                <w:sz w:val="16"/>
              </w:rPr>
            </w:pPr>
            <w:r w:rsidRPr="00D65937">
              <w:rPr>
                <w:sz w:val="16"/>
              </w:rPr>
              <w:t>17AD(c)</w:t>
            </w:r>
          </w:p>
        </w:tc>
        <w:tc>
          <w:tcPr>
            <w:tcW w:w="6520" w:type="dxa"/>
            <w:gridSpan w:val="4"/>
          </w:tcPr>
          <w:p w:rsidR="007A05D9" w:rsidRPr="00087F6B" w:rsidRDefault="007A05D9" w:rsidP="00D65937">
            <w:pPr>
              <w:pStyle w:val="mhb1"/>
              <w:tabs>
                <w:tab w:val="clear" w:pos="567"/>
              </w:tabs>
              <w:spacing w:before="0"/>
              <w:rPr>
                <w:sz w:val="20"/>
              </w:rPr>
            </w:pPr>
            <w:r>
              <w:rPr>
                <w:sz w:val="20"/>
              </w:rPr>
              <w:t>Report on the Performance of the entity</w:t>
            </w:r>
          </w:p>
        </w:tc>
      </w:tr>
      <w:tr w:rsidR="007A05D9" w:rsidTr="002D48EF">
        <w:trPr>
          <w:cantSplit/>
          <w:trHeight w:val="50"/>
        </w:trPr>
        <w:tc>
          <w:tcPr>
            <w:tcW w:w="908" w:type="dxa"/>
          </w:tcPr>
          <w:p w:rsidR="007A05D9" w:rsidRDefault="007A05D9" w:rsidP="007A2DEE">
            <w:pPr>
              <w:pStyle w:val="mhb1"/>
              <w:tabs>
                <w:tab w:val="clear" w:pos="567"/>
              </w:tabs>
              <w:spacing w:before="0"/>
              <w:jc w:val="center"/>
              <w:rPr>
                <w:b w:val="0"/>
                <w:sz w:val="16"/>
              </w:rPr>
            </w:pPr>
          </w:p>
        </w:tc>
        <w:tc>
          <w:tcPr>
            <w:tcW w:w="6520" w:type="dxa"/>
            <w:gridSpan w:val="4"/>
          </w:tcPr>
          <w:p w:rsidR="007A05D9" w:rsidRPr="007A05D9" w:rsidRDefault="007A05D9" w:rsidP="00D65937">
            <w:pPr>
              <w:pStyle w:val="mhb1"/>
              <w:tabs>
                <w:tab w:val="clear" w:pos="567"/>
              </w:tabs>
              <w:spacing w:before="0"/>
              <w:rPr>
                <w:i/>
                <w:sz w:val="20"/>
              </w:rPr>
            </w:pPr>
            <w:r>
              <w:rPr>
                <w:i/>
                <w:sz w:val="20"/>
              </w:rPr>
              <w:t>Annual Performance Statements</w:t>
            </w:r>
          </w:p>
        </w:tc>
      </w:tr>
      <w:tr w:rsidR="000C5713" w:rsidTr="002D48EF">
        <w:trPr>
          <w:cantSplit/>
          <w:trHeight w:val="50"/>
        </w:trPr>
        <w:tc>
          <w:tcPr>
            <w:tcW w:w="908" w:type="dxa"/>
          </w:tcPr>
          <w:p w:rsidR="000C5713" w:rsidRDefault="007A05D9" w:rsidP="007A2DEE">
            <w:pPr>
              <w:pStyle w:val="mhb1"/>
              <w:tabs>
                <w:tab w:val="clear" w:pos="567"/>
              </w:tabs>
              <w:spacing w:before="0"/>
              <w:jc w:val="center"/>
              <w:rPr>
                <w:b w:val="0"/>
                <w:sz w:val="16"/>
              </w:rPr>
            </w:pPr>
            <w:r>
              <w:rPr>
                <w:b w:val="0"/>
                <w:sz w:val="16"/>
              </w:rPr>
              <w:t>17AD(c)(i); 16F</w:t>
            </w:r>
          </w:p>
        </w:tc>
        <w:tc>
          <w:tcPr>
            <w:tcW w:w="760" w:type="dxa"/>
          </w:tcPr>
          <w:p w:rsidR="000C5713" w:rsidRDefault="000C5713" w:rsidP="007A2DEE">
            <w:pPr>
              <w:pStyle w:val="mhb1"/>
              <w:tabs>
                <w:tab w:val="clear" w:pos="567"/>
              </w:tabs>
              <w:spacing w:before="0"/>
              <w:rPr>
                <w:b w:val="0"/>
                <w:sz w:val="20"/>
              </w:rPr>
            </w:pPr>
          </w:p>
        </w:tc>
        <w:tc>
          <w:tcPr>
            <w:tcW w:w="3351" w:type="dxa"/>
          </w:tcPr>
          <w:p w:rsidR="000C5713" w:rsidRDefault="007A05D9" w:rsidP="007A2DEE">
            <w:pPr>
              <w:pStyle w:val="mhb1"/>
              <w:tabs>
                <w:tab w:val="clear" w:pos="567"/>
              </w:tabs>
              <w:spacing w:before="0"/>
              <w:rPr>
                <w:b w:val="0"/>
                <w:sz w:val="20"/>
              </w:rPr>
            </w:pPr>
            <w:r>
              <w:rPr>
                <w:b w:val="0"/>
                <w:sz w:val="20"/>
              </w:rPr>
              <w:t xml:space="preserve">Annual performance statement in accordance with paragraph 39(1)(b) of the </w:t>
            </w:r>
            <w:r w:rsidR="00256A92">
              <w:rPr>
                <w:b w:val="0"/>
                <w:sz w:val="20"/>
              </w:rPr>
              <w:t xml:space="preserve">PGPA </w:t>
            </w:r>
            <w:r>
              <w:rPr>
                <w:b w:val="0"/>
                <w:sz w:val="20"/>
              </w:rPr>
              <w:t xml:space="preserve">Act and section 16F of the </w:t>
            </w:r>
            <w:r w:rsidR="00256A92">
              <w:rPr>
                <w:b w:val="0"/>
                <w:sz w:val="20"/>
              </w:rPr>
              <w:t xml:space="preserve">PGPA </w:t>
            </w:r>
            <w:r>
              <w:rPr>
                <w:b w:val="0"/>
                <w:sz w:val="20"/>
              </w:rPr>
              <w:t>Rule.</w:t>
            </w:r>
          </w:p>
        </w:tc>
        <w:tc>
          <w:tcPr>
            <w:tcW w:w="1275" w:type="dxa"/>
          </w:tcPr>
          <w:p w:rsidR="000C5713" w:rsidRDefault="000C5713" w:rsidP="007A2DEE">
            <w:pPr>
              <w:pStyle w:val="mhb1"/>
              <w:tabs>
                <w:tab w:val="clear" w:pos="567"/>
              </w:tabs>
              <w:spacing w:before="0"/>
              <w:rPr>
                <w:b w:val="0"/>
                <w:sz w:val="20"/>
              </w:rPr>
            </w:pPr>
            <w:r>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Chapter 2</w:t>
            </w:r>
          </w:p>
        </w:tc>
      </w:tr>
      <w:tr w:rsidR="00D65937" w:rsidTr="002D48EF">
        <w:trPr>
          <w:cantSplit/>
          <w:trHeight w:val="50"/>
        </w:trPr>
        <w:tc>
          <w:tcPr>
            <w:tcW w:w="908" w:type="dxa"/>
          </w:tcPr>
          <w:p w:rsidR="00D65937" w:rsidRPr="00D65937" w:rsidRDefault="00D65937" w:rsidP="00D65937">
            <w:pPr>
              <w:pStyle w:val="mhb1"/>
              <w:tabs>
                <w:tab w:val="clear" w:pos="567"/>
              </w:tabs>
              <w:spacing w:before="0"/>
              <w:jc w:val="center"/>
              <w:rPr>
                <w:i/>
                <w:sz w:val="16"/>
              </w:rPr>
            </w:pPr>
            <w:r w:rsidRPr="00D65937">
              <w:rPr>
                <w:i/>
                <w:sz w:val="16"/>
              </w:rPr>
              <w:t>17AD(c)(ii)</w:t>
            </w:r>
          </w:p>
        </w:tc>
        <w:tc>
          <w:tcPr>
            <w:tcW w:w="6520" w:type="dxa"/>
            <w:gridSpan w:val="4"/>
          </w:tcPr>
          <w:p w:rsidR="00D65937" w:rsidRPr="007A05D9" w:rsidRDefault="00D65937" w:rsidP="00D65937">
            <w:pPr>
              <w:pStyle w:val="mhb1"/>
              <w:tabs>
                <w:tab w:val="clear" w:pos="567"/>
              </w:tabs>
              <w:spacing w:before="0"/>
              <w:rPr>
                <w:i/>
                <w:sz w:val="20"/>
              </w:rPr>
            </w:pPr>
            <w:r>
              <w:rPr>
                <w:i/>
                <w:sz w:val="20"/>
              </w:rPr>
              <w:t>Report on Financial Performance</w:t>
            </w:r>
          </w:p>
        </w:tc>
      </w:tr>
      <w:tr w:rsidR="000C5713" w:rsidTr="002D48EF">
        <w:trPr>
          <w:cantSplit/>
          <w:trHeight w:val="50"/>
        </w:trPr>
        <w:tc>
          <w:tcPr>
            <w:tcW w:w="908" w:type="dxa"/>
          </w:tcPr>
          <w:p w:rsidR="000C5713" w:rsidRDefault="00D65937" w:rsidP="007A2DEE">
            <w:pPr>
              <w:pStyle w:val="mhb1"/>
              <w:tabs>
                <w:tab w:val="clear" w:pos="567"/>
              </w:tabs>
              <w:spacing w:before="0"/>
              <w:jc w:val="center"/>
              <w:rPr>
                <w:b w:val="0"/>
                <w:sz w:val="16"/>
              </w:rPr>
            </w:pPr>
            <w:r>
              <w:rPr>
                <w:b w:val="0"/>
                <w:sz w:val="16"/>
              </w:rPr>
              <w:t>17AF(1)(a)</w:t>
            </w:r>
          </w:p>
        </w:tc>
        <w:tc>
          <w:tcPr>
            <w:tcW w:w="760" w:type="dxa"/>
          </w:tcPr>
          <w:p w:rsidR="000C5713" w:rsidRDefault="000C5713" w:rsidP="007A2DEE">
            <w:pPr>
              <w:pStyle w:val="mhb1"/>
              <w:tabs>
                <w:tab w:val="clear" w:pos="567"/>
              </w:tabs>
              <w:spacing w:before="0"/>
              <w:jc w:val="center"/>
              <w:rPr>
                <w:b w:val="0"/>
                <w:sz w:val="20"/>
              </w:rPr>
            </w:pPr>
          </w:p>
        </w:tc>
        <w:tc>
          <w:tcPr>
            <w:tcW w:w="3351" w:type="dxa"/>
          </w:tcPr>
          <w:p w:rsidR="000C5713" w:rsidRPr="00CB1118" w:rsidRDefault="00D65937" w:rsidP="007A2DEE">
            <w:pPr>
              <w:pStyle w:val="mhb1"/>
              <w:tabs>
                <w:tab w:val="clear" w:pos="567"/>
              </w:tabs>
              <w:spacing w:before="0"/>
              <w:rPr>
                <w:b w:val="0"/>
                <w:sz w:val="20"/>
              </w:rPr>
            </w:pPr>
            <w:r>
              <w:rPr>
                <w:b w:val="0"/>
                <w:sz w:val="20"/>
              </w:rPr>
              <w:t>A discussion and analysis of the entity’s financial performance.</w:t>
            </w:r>
          </w:p>
        </w:tc>
        <w:tc>
          <w:tcPr>
            <w:tcW w:w="1275" w:type="dxa"/>
          </w:tcPr>
          <w:p w:rsidR="000C5713" w:rsidRPr="00CB1118" w:rsidRDefault="000C5713" w:rsidP="007A2DEE">
            <w:pPr>
              <w:pStyle w:val="mhb1"/>
              <w:tabs>
                <w:tab w:val="clear" w:pos="567"/>
              </w:tabs>
              <w:spacing w:before="0"/>
              <w:rPr>
                <w:b w:val="0"/>
                <w:sz w:val="20"/>
              </w:rPr>
            </w:pPr>
            <w:r w:rsidRPr="00CB1118">
              <w:rPr>
                <w:b w:val="0"/>
                <w:sz w:val="20"/>
              </w:rPr>
              <w:t>Mandatory</w:t>
            </w:r>
          </w:p>
        </w:tc>
        <w:tc>
          <w:tcPr>
            <w:tcW w:w="1134" w:type="dxa"/>
          </w:tcPr>
          <w:p w:rsidR="000C5713" w:rsidRPr="00A76D1D" w:rsidRDefault="000C5713" w:rsidP="007A2DEE">
            <w:pPr>
              <w:pStyle w:val="mhb1"/>
              <w:tabs>
                <w:tab w:val="clear" w:pos="567"/>
              </w:tabs>
              <w:spacing w:before="0"/>
              <w:rPr>
                <w:b w:val="0"/>
                <w:sz w:val="16"/>
                <w:szCs w:val="16"/>
              </w:rPr>
            </w:pPr>
            <w:r w:rsidRPr="00A76D1D">
              <w:rPr>
                <w:b w:val="0"/>
                <w:sz w:val="16"/>
                <w:szCs w:val="16"/>
              </w:rPr>
              <w:t>Chapter 2</w:t>
            </w:r>
          </w:p>
        </w:tc>
      </w:tr>
      <w:tr w:rsidR="00D65937" w:rsidTr="002D48EF">
        <w:trPr>
          <w:cantSplit/>
          <w:trHeight w:val="50"/>
        </w:trPr>
        <w:tc>
          <w:tcPr>
            <w:tcW w:w="908" w:type="dxa"/>
          </w:tcPr>
          <w:p w:rsidR="00D65937" w:rsidRDefault="00D65937" w:rsidP="00D65937">
            <w:pPr>
              <w:pStyle w:val="mhb1"/>
              <w:tabs>
                <w:tab w:val="clear" w:pos="567"/>
              </w:tabs>
              <w:spacing w:before="0"/>
              <w:jc w:val="center"/>
              <w:rPr>
                <w:b w:val="0"/>
                <w:sz w:val="16"/>
              </w:rPr>
            </w:pPr>
            <w:r>
              <w:rPr>
                <w:b w:val="0"/>
                <w:sz w:val="16"/>
              </w:rPr>
              <w:t>17AF(1)(b)</w:t>
            </w:r>
          </w:p>
        </w:tc>
        <w:tc>
          <w:tcPr>
            <w:tcW w:w="760" w:type="dxa"/>
          </w:tcPr>
          <w:p w:rsidR="00D65937" w:rsidRDefault="00D65937" w:rsidP="007A2DEE">
            <w:pPr>
              <w:pStyle w:val="mhb1"/>
              <w:tabs>
                <w:tab w:val="clear" w:pos="567"/>
              </w:tabs>
              <w:spacing w:before="0"/>
              <w:jc w:val="center"/>
              <w:rPr>
                <w:b w:val="0"/>
                <w:sz w:val="20"/>
              </w:rPr>
            </w:pPr>
          </w:p>
        </w:tc>
        <w:tc>
          <w:tcPr>
            <w:tcW w:w="3351" w:type="dxa"/>
          </w:tcPr>
          <w:p w:rsidR="00D65937" w:rsidRPr="00CB1118" w:rsidRDefault="00D65937" w:rsidP="00D65937">
            <w:pPr>
              <w:pStyle w:val="mhb1"/>
              <w:tabs>
                <w:tab w:val="clear" w:pos="567"/>
              </w:tabs>
              <w:spacing w:before="0"/>
              <w:rPr>
                <w:b w:val="0"/>
                <w:sz w:val="20"/>
              </w:rPr>
            </w:pPr>
            <w:r>
              <w:rPr>
                <w:b w:val="0"/>
                <w:sz w:val="20"/>
              </w:rPr>
              <w:t>A table summarising the total</w:t>
            </w:r>
            <w:r w:rsidRPr="00CB1118">
              <w:rPr>
                <w:b w:val="0"/>
                <w:sz w:val="20"/>
              </w:rPr>
              <w:t xml:space="preserve"> resource</w:t>
            </w:r>
            <w:r>
              <w:rPr>
                <w:b w:val="0"/>
                <w:sz w:val="20"/>
              </w:rPr>
              <w:t xml:space="preserve">s </w:t>
            </w:r>
            <w:r w:rsidRPr="00CB1118">
              <w:rPr>
                <w:b w:val="0"/>
                <w:sz w:val="20"/>
              </w:rPr>
              <w:t xml:space="preserve">and </w:t>
            </w:r>
            <w:r>
              <w:rPr>
                <w:b w:val="0"/>
                <w:sz w:val="20"/>
              </w:rPr>
              <w:t>total payments of the entity.</w:t>
            </w:r>
          </w:p>
        </w:tc>
        <w:tc>
          <w:tcPr>
            <w:tcW w:w="1275" w:type="dxa"/>
          </w:tcPr>
          <w:p w:rsidR="00D65937" w:rsidRPr="00CB1118" w:rsidRDefault="00D65937" w:rsidP="007A2DEE">
            <w:pPr>
              <w:pStyle w:val="mhb1"/>
              <w:tabs>
                <w:tab w:val="clear" w:pos="567"/>
              </w:tabs>
              <w:spacing w:before="0"/>
              <w:rPr>
                <w:b w:val="0"/>
                <w:sz w:val="20"/>
              </w:rPr>
            </w:pPr>
            <w:r w:rsidRPr="00CB1118">
              <w:rPr>
                <w:b w:val="0"/>
                <w:sz w:val="20"/>
              </w:rPr>
              <w:t>Mandatory</w:t>
            </w:r>
          </w:p>
        </w:tc>
        <w:tc>
          <w:tcPr>
            <w:tcW w:w="1134" w:type="dxa"/>
          </w:tcPr>
          <w:p w:rsidR="00D65937" w:rsidRPr="00EE0730" w:rsidRDefault="00D65937" w:rsidP="00D65937">
            <w:pPr>
              <w:pStyle w:val="mhb1"/>
              <w:tabs>
                <w:tab w:val="clear" w:pos="567"/>
              </w:tabs>
              <w:spacing w:before="0"/>
              <w:rPr>
                <w:b w:val="0"/>
                <w:sz w:val="16"/>
                <w:szCs w:val="16"/>
              </w:rPr>
            </w:pPr>
            <w:r>
              <w:rPr>
                <w:b w:val="0"/>
                <w:sz w:val="16"/>
                <w:szCs w:val="16"/>
              </w:rPr>
              <w:t>Appendix A</w:t>
            </w:r>
          </w:p>
        </w:tc>
      </w:tr>
      <w:tr w:rsidR="00D65937" w:rsidTr="002D48EF">
        <w:trPr>
          <w:cantSplit/>
          <w:trHeight w:val="50"/>
        </w:trPr>
        <w:tc>
          <w:tcPr>
            <w:tcW w:w="908" w:type="dxa"/>
          </w:tcPr>
          <w:p w:rsidR="00D65937" w:rsidRDefault="00D65937" w:rsidP="00D65937">
            <w:pPr>
              <w:pStyle w:val="mhb1"/>
              <w:tabs>
                <w:tab w:val="clear" w:pos="567"/>
              </w:tabs>
              <w:spacing w:before="0"/>
              <w:jc w:val="center"/>
              <w:rPr>
                <w:b w:val="0"/>
                <w:sz w:val="16"/>
              </w:rPr>
            </w:pPr>
            <w:r>
              <w:rPr>
                <w:b w:val="0"/>
                <w:sz w:val="16"/>
              </w:rPr>
              <w:t>17AF(2)</w:t>
            </w:r>
          </w:p>
        </w:tc>
        <w:tc>
          <w:tcPr>
            <w:tcW w:w="760" w:type="dxa"/>
          </w:tcPr>
          <w:p w:rsidR="00D65937" w:rsidRDefault="00D65937" w:rsidP="007A2DEE">
            <w:pPr>
              <w:pStyle w:val="mhb1"/>
              <w:tabs>
                <w:tab w:val="clear" w:pos="567"/>
              </w:tabs>
              <w:spacing w:before="0"/>
              <w:jc w:val="center"/>
              <w:rPr>
                <w:b w:val="0"/>
                <w:sz w:val="20"/>
              </w:rPr>
            </w:pPr>
          </w:p>
        </w:tc>
        <w:tc>
          <w:tcPr>
            <w:tcW w:w="3351" w:type="dxa"/>
          </w:tcPr>
          <w:p w:rsidR="00D65937" w:rsidRPr="00CB1118" w:rsidRDefault="00D65937" w:rsidP="00D65937">
            <w:pPr>
              <w:pStyle w:val="mhb1"/>
              <w:tabs>
                <w:tab w:val="clear" w:pos="567"/>
              </w:tabs>
              <w:spacing w:before="0"/>
              <w:rPr>
                <w:b w:val="0"/>
                <w:sz w:val="20"/>
              </w:rPr>
            </w:pPr>
            <w:r>
              <w:rPr>
                <w:b w:val="0"/>
                <w:sz w:val="20"/>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275" w:type="dxa"/>
          </w:tcPr>
          <w:p w:rsidR="00D65937" w:rsidRPr="00CB1118" w:rsidRDefault="00B913CB" w:rsidP="007A2DEE">
            <w:pPr>
              <w:pStyle w:val="mhb1"/>
              <w:tabs>
                <w:tab w:val="clear" w:pos="567"/>
              </w:tabs>
              <w:spacing w:before="0"/>
              <w:rPr>
                <w:b w:val="0"/>
                <w:sz w:val="20"/>
              </w:rPr>
            </w:pPr>
            <w:r>
              <w:rPr>
                <w:b w:val="0"/>
                <w:sz w:val="20"/>
              </w:rPr>
              <w:t xml:space="preserve">If applicable, </w:t>
            </w:r>
            <w:r w:rsidR="00D65937" w:rsidRPr="00CB1118">
              <w:rPr>
                <w:b w:val="0"/>
                <w:sz w:val="20"/>
              </w:rPr>
              <w:t>Mandatory</w:t>
            </w:r>
          </w:p>
        </w:tc>
        <w:tc>
          <w:tcPr>
            <w:tcW w:w="1134" w:type="dxa"/>
          </w:tcPr>
          <w:p w:rsidR="00D65937" w:rsidRPr="00EE0730" w:rsidRDefault="00D65937" w:rsidP="007A2DEE">
            <w:pPr>
              <w:pStyle w:val="mhb1"/>
              <w:tabs>
                <w:tab w:val="clear" w:pos="567"/>
              </w:tabs>
              <w:spacing w:before="0"/>
              <w:rPr>
                <w:b w:val="0"/>
                <w:sz w:val="16"/>
                <w:szCs w:val="16"/>
              </w:rPr>
            </w:pPr>
            <w:r>
              <w:rPr>
                <w:b w:val="0"/>
                <w:sz w:val="16"/>
                <w:szCs w:val="16"/>
              </w:rPr>
              <w:t>Chapter 2</w:t>
            </w:r>
          </w:p>
        </w:tc>
      </w:tr>
      <w:tr w:rsidR="00B913CB" w:rsidTr="002D48EF">
        <w:trPr>
          <w:cantSplit/>
          <w:trHeight w:val="50"/>
        </w:trPr>
        <w:tc>
          <w:tcPr>
            <w:tcW w:w="908" w:type="dxa"/>
          </w:tcPr>
          <w:p w:rsidR="00B913CB" w:rsidRPr="00D65937" w:rsidRDefault="00B913CB" w:rsidP="00B913CB">
            <w:pPr>
              <w:pStyle w:val="mhb1"/>
              <w:tabs>
                <w:tab w:val="clear" w:pos="567"/>
              </w:tabs>
              <w:spacing w:before="0"/>
              <w:jc w:val="center"/>
              <w:rPr>
                <w:sz w:val="16"/>
              </w:rPr>
            </w:pPr>
            <w:r w:rsidRPr="00D65937">
              <w:rPr>
                <w:sz w:val="16"/>
              </w:rPr>
              <w:t>17AD(</w:t>
            </w:r>
            <w:r>
              <w:rPr>
                <w:sz w:val="16"/>
              </w:rPr>
              <w:t>d</w:t>
            </w:r>
            <w:r w:rsidRPr="00D65937">
              <w:rPr>
                <w:sz w:val="16"/>
              </w:rPr>
              <w:t>)</w:t>
            </w:r>
          </w:p>
        </w:tc>
        <w:tc>
          <w:tcPr>
            <w:tcW w:w="6520" w:type="dxa"/>
            <w:gridSpan w:val="4"/>
          </w:tcPr>
          <w:p w:rsidR="00B913CB" w:rsidRPr="00B913CB" w:rsidRDefault="00B913CB" w:rsidP="00B913CB">
            <w:pPr>
              <w:pStyle w:val="mhb1"/>
              <w:tabs>
                <w:tab w:val="clear" w:pos="567"/>
              </w:tabs>
              <w:spacing w:before="0"/>
              <w:rPr>
                <w:sz w:val="20"/>
              </w:rPr>
            </w:pPr>
            <w:r w:rsidRPr="007C1DFC">
              <w:rPr>
                <w:sz w:val="20"/>
              </w:rPr>
              <w:t>Management</w:t>
            </w:r>
            <w:r>
              <w:rPr>
                <w:sz w:val="20"/>
              </w:rPr>
              <w:t xml:space="preserve"> and</w:t>
            </w:r>
            <w:r w:rsidRPr="007C1DFC">
              <w:rPr>
                <w:sz w:val="20"/>
              </w:rPr>
              <w:t xml:space="preserve"> Accountability</w:t>
            </w:r>
          </w:p>
        </w:tc>
      </w:tr>
      <w:tr w:rsidR="00B913CB" w:rsidTr="002D48EF">
        <w:trPr>
          <w:cantSplit/>
          <w:trHeight w:val="50"/>
        </w:trPr>
        <w:tc>
          <w:tcPr>
            <w:tcW w:w="908" w:type="dxa"/>
          </w:tcPr>
          <w:p w:rsidR="00B913CB" w:rsidRDefault="00B913CB" w:rsidP="007A2DEE">
            <w:pPr>
              <w:pStyle w:val="mhb1"/>
              <w:tabs>
                <w:tab w:val="clear" w:pos="567"/>
              </w:tabs>
              <w:spacing w:before="0"/>
              <w:jc w:val="center"/>
              <w:rPr>
                <w:b w:val="0"/>
                <w:sz w:val="16"/>
              </w:rPr>
            </w:pPr>
          </w:p>
        </w:tc>
        <w:tc>
          <w:tcPr>
            <w:tcW w:w="6520" w:type="dxa"/>
            <w:gridSpan w:val="4"/>
          </w:tcPr>
          <w:p w:rsidR="00B913CB" w:rsidRPr="00EE0730" w:rsidRDefault="00B913CB" w:rsidP="007A2DEE">
            <w:pPr>
              <w:rPr>
                <w:sz w:val="16"/>
                <w:szCs w:val="16"/>
              </w:rPr>
            </w:pPr>
            <w:r w:rsidRPr="007C1DFC">
              <w:rPr>
                <w:b/>
                <w:i/>
                <w:sz w:val="20"/>
              </w:rPr>
              <w:t>Corporate Governance</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t>17AG(2)(a)</w:t>
            </w:r>
          </w:p>
        </w:tc>
        <w:tc>
          <w:tcPr>
            <w:tcW w:w="760" w:type="dxa"/>
          </w:tcPr>
          <w:p w:rsidR="00B913CB" w:rsidRDefault="00B913CB" w:rsidP="007A2DEE">
            <w:pPr>
              <w:pStyle w:val="mhb1"/>
              <w:tabs>
                <w:tab w:val="clear" w:pos="567"/>
              </w:tabs>
              <w:spacing w:before="0"/>
              <w:rPr>
                <w:b w:val="0"/>
                <w:sz w:val="20"/>
              </w:rPr>
            </w:pPr>
          </w:p>
        </w:tc>
        <w:tc>
          <w:tcPr>
            <w:tcW w:w="3351" w:type="dxa"/>
          </w:tcPr>
          <w:p w:rsidR="00B913CB" w:rsidRPr="00CB1118" w:rsidRDefault="00B913CB" w:rsidP="00BA3C59">
            <w:pPr>
              <w:pStyle w:val="mhb1"/>
              <w:tabs>
                <w:tab w:val="clear" w:pos="567"/>
              </w:tabs>
              <w:spacing w:before="0"/>
              <w:rPr>
                <w:b w:val="0"/>
                <w:sz w:val="20"/>
              </w:rPr>
            </w:pPr>
            <w:r>
              <w:rPr>
                <w:b w:val="0"/>
                <w:sz w:val="20"/>
              </w:rPr>
              <w:t>Information on compliance with section 10 (fraud systems).</w:t>
            </w:r>
          </w:p>
        </w:tc>
        <w:tc>
          <w:tcPr>
            <w:tcW w:w="1275" w:type="dxa"/>
          </w:tcPr>
          <w:p w:rsidR="00B913CB" w:rsidRPr="00CB1118" w:rsidRDefault="00B913CB" w:rsidP="007A2DEE">
            <w:pPr>
              <w:pStyle w:val="mhb1"/>
              <w:tabs>
                <w:tab w:val="clear" w:pos="567"/>
              </w:tabs>
              <w:spacing w:before="0"/>
              <w:rPr>
                <w:b w:val="0"/>
                <w:sz w:val="20"/>
              </w:rPr>
            </w:pPr>
            <w:r w:rsidRPr="00CB1118">
              <w:rPr>
                <w:b w:val="0"/>
                <w:sz w:val="20"/>
              </w:rPr>
              <w:t>Mandatory</w:t>
            </w:r>
          </w:p>
        </w:tc>
        <w:tc>
          <w:tcPr>
            <w:tcW w:w="1134" w:type="dxa"/>
          </w:tcPr>
          <w:p w:rsidR="00B913CB" w:rsidRPr="00EE0730" w:rsidRDefault="00B913CB" w:rsidP="007A2DEE">
            <w:pPr>
              <w:pStyle w:val="mhb1"/>
              <w:tabs>
                <w:tab w:val="clear" w:pos="567"/>
              </w:tabs>
              <w:spacing w:before="0"/>
              <w:rPr>
                <w:b w:val="0"/>
                <w:sz w:val="16"/>
                <w:szCs w:val="16"/>
              </w:rPr>
            </w:pPr>
            <w:r>
              <w:rPr>
                <w:b w:val="0"/>
                <w:sz w:val="16"/>
                <w:szCs w:val="16"/>
              </w:rPr>
              <w:t>Chapter 3</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t>17AG(2)(b)(i)</w:t>
            </w:r>
          </w:p>
        </w:tc>
        <w:tc>
          <w:tcPr>
            <w:tcW w:w="760" w:type="dxa"/>
          </w:tcPr>
          <w:p w:rsidR="00B913CB" w:rsidRPr="00B619F8" w:rsidRDefault="00B913CB" w:rsidP="007A2DEE">
            <w:pPr>
              <w:pStyle w:val="mhb1"/>
              <w:tabs>
                <w:tab w:val="clear" w:pos="567"/>
              </w:tabs>
              <w:spacing w:before="0"/>
              <w:rPr>
                <w:b w:val="0"/>
                <w:sz w:val="20"/>
              </w:rPr>
            </w:pPr>
          </w:p>
        </w:tc>
        <w:tc>
          <w:tcPr>
            <w:tcW w:w="3351" w:type="dxa"/>
          </w:tcPr>
          <w:p w:rsidR="00B913CB" w:rsidRPr="00CB1118" w:rsidRDefault="00B913CB" w:rsidP="007A2DEE">
            <w:pPr>
              <w:pStyle w:val="mhb1"/>
              <w:tabs>
                <w:tab w:val="clear" w:pos="567"/>
              </w:tabs>
              <w:spacing w:before="0"/>
              <w:rPr>
                <w:b w:val="0"/>
                <w:sz w:val="20"/>
              </w:rPr>
            </w:pPr>
            <w:r>
              <w:rPr>
                <w:b w:val="0"/>
                <w:sz w:val="20"/>
              </w:rPr>
              <w:t>A certification by accountable authority that fraud risk assessments and fraud control plans have been prepared.</w:t>
            </w:r>
          </w:p>
        </w:tc>
        <w:tc>
          <w:tcPr>
            <w:tcW w:w="1275" w:type="dxa"/>
          </w:tcPr>
          <w:p w:rsidR="00B913CB" w:rsidRPr="00CB1118" w:rsidRDefault="00B913CB" w:rsidP="008B7F83">
            <w:pPr>
              <w:pStyle w:val="mhb1"/>
              <w:tabs>
                <w:tab w:val="clear" w:pos="567"/>
              </w:tabs>
              <w:spacing w:before="0"/>
              <w:rPr>
                <w:b w:val="0"/>
                <w:sz w:val="20"/>
              </w:rPr>
            </w:pPr>
            <w:r w:rsidRPr="00CB1118">
              <w:rPr>
                <w:b w:val="0"/>
                <w:sz w:val="20"/>
              </w:rPr>
              <w:t>Mandatory</w:t>
            </w:r>
          </w:p>
        </w:tc>
        <w:tc>
          <w:tcPr>
            <w:tcW w:w="1134" w:type="dxa"/>
          </w:tcPr>
          <w:p w:rsidR="00B913CB" w:rsidRPr="00EE0730" w:rsidRDefault="00B913CB" w:rsidP="008B7F83">
            <w:pPr>
              <w:pStyle w:val="mhb1"/>
              <w:tabs>
                <w:tab w:val="clear" w:pos="567"/>
              </w:tabs>
              <w:spacing w:before="0"/>
              <w:rPr>
                <w:b w:val="0"/>
                <w:sz w:val="16"/>
                <w:szCs w:val="16"/>
              </w:rPr>
            </w:pPr>
            <w:r>
              <w:rPr>
                <w:b w:val="0"/>
                <w:sz w:val="16"/>
                <w:szCs w:val="16"/>
              </w:rPr>
              <w:t>Chapter 3</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t>17AG(2)(b)(ii)</w:t>
            </w:r>
          </w:p>
        </w:tc>
        <w:tc>
          <w:tcPr>
            <w:tcW w:w="760" w:type="dxa"/>
          </w:tcPr>
          <w:p w:rsidR="00B913CB" w:rsidRPr="00B619F8" w:rsidRDefault="00B913CB" w:rsidP="008B7F83">
            <w:pPr>
              <w:pStyle w:val="mhb1"/>
              <w:tabs>
                <w:tab w:val="clear" w:pos="567"/>
              </w:tabs>
              <w:spacing w:before="0"/>
              <w:rPr>
                <w:b w:val="0"/>
                <w:sz w:val="20"/>
              </w:rPr>
            </w:pPr>
          </w:p>
        </w:tc>
        <w:tc>
          <w:tcPr>
            <w:tcW w:w="3351" w:type="dxa"/>
          </w:tcPr>
          <w:p w:rsidR="00B913CB" w:rsidRPr="00CB1118" w:rsidRDefault="00B913CB" w:rsidP="00B913CB">
            <w:pPr>
              <w:pStyle w:val="mhb1"/>
              <w:tabs>
                <w:tab w:val="clear" w:pos="567"/>
              </w:tabs>
              <w:spacing w:before="0"/>
              <w:rPr>
                <w:b w:val="0"/>
                <w:sz w:val="20"/>
              </w:rPr>
            </w:pPr>
            <w:r>
              <w:rPr>
                <w:b w:val="0"/>
                <w:sz w:val="20"/>
              </w:rPr>
              <w:t>A certification by accountable authority that appropriate mechanisms for preventing, detecting incidents of, investigating or otherwise dealing with, and recording or reporting fraud that meet the specific needs of the entity are in place.</w:t>
            </w:r>
          </w:p>
        </w:tc>
        <w:tc>
          <w:tcPr>
            <w:tcW w:w="1275" w:type="dxa"/>
          </w:tcPr>
          <w:p w:rsidR="00B913CB" w:rsidRPr="00CB1118" w:rsidRDefault="00B913CB" w:rsidP="008B7F83">
            <w:pPr>
              <w:pStyle w:val="mhb1"/>
              <w:tabs>
                <w:tab w:val="clear" w:pos="567"/>
              </w:tabs>
              <w:spacing w:before="0"/>
              <w:rPr>
                <w:b w:val="0"/>
                <w:sz w:val="20"/>
              </w:rPr>
            </w:pPr>
            <w:r w:rsidRPr="00CB1118">
              <w:rPr>
                <w:b w:val="0"/>
                <w:sz w:val="20"/>
              </w:rPr>
              <w:t>Mandatory</w:t>
            </w:r>
          </w:p>
        </w:tc>
        <w:tc>
          <w:tcPr>
            <w:tcW w:w="1134" w:type="dxa"/>
          </w:tcPr>
          <w:p w:rsidR="00B913CB" w:rsidRPr="00EE0730" w:rsidRDefault="00B913CB" w:rsidP="008B7F83">
            <w:pPr>
              <w:pStyle w:val="mhb1"/>
              <w:tabs>
                <w:tab w:val="clear" w:pos="567"/>
              </w:tabs>
              <w:spacing w:before="0"/>
              <w:rPr>
                <w:b w:val="0"/>
                <w:sz w:val="16"/>
                <w:szCs w:val="16"/>
              </w:rPr>
            </w:pPr>
            <w:r>
              <w:rPr>
                <w:b w:val="0"/>
                <w:sz w:val="16"/>
                <w:szCs w:val="16"/>
              </w:rPr>
              <w:t>Chapter 3</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lastRenderedPageBreak/>
              <w:t>17AG(2)(b)(iii)</w:t>
            </w:r>
          </w:p>
        </w:tc>
        <w:tc>
          <w:tcPr>
            <w:tcW w:w="760" w:type="dxa"/>
          </w:tcPr>
          <w:p w:rsidR="00B913CB" w:rsidRPr="00B619F8" w:rsidRDefault="00B913CB" w:rsidP="008B7F83">
            <w:pPr>
              <w:pStyle w:val="mhb1"/>
              <w:tabs>
                <w:tab w:val="clear" w:pos="567"/>
              </w:tabs>
              <w:spacing w:before="0"/>
              <w:rPr>
                <w:b w:val="0"/>
                <w:sz w:val="20"/>
              </w:rPr>
            </w:pPr>
          </w:p>
        </w:tc>
        <w:tc>
          <w:tcPr>
            <w:tcW w:w="3351" w:type="dxa"/>
          </w:tcPr>
          <w:p w:rsidR="00B913CB" w:rsidRPr="00CB1118" w:rsidRDefault="00B913CB" w:rsidP="00B913CB">
            <w:pPr>
              <w:pStyle w:val="mhb1"/>
              <w:tabs>
                <w:tab w:val="clear" w:pos="567"/>
              </w:tabs>
              <w:spacing w:before="0"/>
              <w:rPr>
                <w:b w:val="0"/>
                <w:sz w:val="20"/>
              </w:rPr>
            </w:pPr>
            <w:r>
              <w:rPr>
                <w:b w:val="0"/>
                <w:sz w:val="20"/>
              </w:rPr>
              <w:t>A certification by accountable authority that all reasonable measures have been taken to deal appropriately with fraud relating to the entity.</w:t>
            </w:r>
          </w:p>
        </w:tc>
        <w:tc>
          <w:tcPr>
            <w:tcW w:w="1275" w:type="dxa"/>
          </w:tcPr>
          <w:p w:rsidR="00B913CB" w:rsidRPr="00CB1118" w:rsidRDefault="00B913CB" w:rsidP="008B7F83">
            <w:pPr>
              <w:pStyle w:val="mhb1"/>
              <w:tabs>
                <w:tab w:val="clear" w:pos="567"/>
              </w:tabs>
              <w:spacing w:before="0"/>
              <w:rPr>
                <w:b w:val="0"/>
                <w:sz w:val="20"/>
              </w:rPr>
            </w:pPr>
            <w:r w:rsidRPr="00CB1118">
              <w:rPr>
                <w:b w:val="0"/>
                <w:sz w:val="20"/>
              </w:rPr>
              <w:t>Mandatory</w:t>
            </w:r>
          </w:p>
        </w:tc>
        <w:tc>
          <w:tcPr>
            <w:tcW w:w="1134" w:type="dxa"/>
          </w:tcPr>
          <w:p w:rsidR="00B913CB" w:rsidRPr="00EE0730" w:rsidRDefault="00B913CB" w:rsidP="008B7F83">
            <w:pPr>
              <w:pStyle w:val="mhb1"/>
              <w:tabs>
                <w:tab w:val="clear" w:pos="567"/>
              </w:tabs>
              <w:spacing w:before="0"/>
              <w:rPr>
                <w:b w:val="0"/>
                <w:sz w:val="16"/>
                <w:szCs w:val="16"/>
              </w:rPr>
            </w:pPr>
            <w:r>
              <w:rPr>
                <w:b w:val="0"/>
                <w:sz w:val="16"/>
                <w:szCs w:val="16"/>
              </w:rPr>
              <w:t>Chapter 3</w:t>
            </w:r>
          </w:p>
        </w:tc>
      </w:tr>
      <w:tr w:rsidR="00B913CB" w:rsidTr="002D48EF">
        <w:trPr>
          <w:cantSplit/>
          <w:trHeight w:val="50"/>
        </w:trPr>
        <w:tc>
          <w:tcPr>
            <w:tcW w:w="908" w:type="dxa"/>
          </w:tcPr>
          <w:p w:rsidR="00B913CB" w:rsidRDefault="00B913CB" w:rsidP="008B7F83">
            <w:pPr>
              <w:pStyle w:val="mhb1"/>
              <w:tabs>
                <w:tab w:val="clear" w:pos="567"/>
              </w:tabs>
              <w:spacing w:before="0"/>
              <w:jc w:val="center"/>
              <w:rPr>
                <w:b w:val="0"/>
                <w:sz w:val="16"/>
              </w:rPr>
            </w:pPr>
            <w:r>
              <w:rPr>
                <w:b w:val="0"/>
                <w:sz w:val="16"/>
              </w:rPr>
              <w:t>17AG(2)(c)</w:t>
            </w:r>
          </w:p>
        </w:tc>
        <w:tc>
          <w:tcPr>
            <w:tcW w:w="760" w:type="dxa"/>
          </w:tcPr>
          <w:p w:rsidR="00B913CB" w:rsidRPr="00B619F8" w:rsidRDefault="00B913CB" w:rsidP="007A2DEE">
            <w:pPr>
              <w:pStyle w:val="mhb1"/>
              <w:tabs>
                <w:tab w:val="clear" w:pos="567"/>
              </w:tabs>
              <w:spacing w:before="0"/>
              <w:rPr>
                <w:b w:val="0"/>
                <w:sz w:val="20"/>
              </w:rPr>
            </w:pPr>
          </w:p>
        </w:tc>
        <w:tc>
          <w:tcPr>
            <w:tcW w:w="3351" w:type="dxa"/>
          </w:tcPr>
          <w:p w:rsidR="00B913CB" w:rsidRPr="00CB1118" w:rsidRDefault="00B913CB" w:rsidP="007A2DEE">
            <w:pPr>
              <w:pStyle w:val="mhb1"/>
              <w:tabs>
                <w:tab w:val="clear" w:pos="567"/>
              </w:tabs>
              <w:spacing w:before="0"/>
              <w:rPr>
                <w:b w:val="0"/>
                <w:sz w:val="20"/>
              </w:rPr>
            </w:pPr>
            <w:r>
              <w:rPr>
                <w:b w:val="0"/>
                <w:sz w:val="20"/>
              </w:rPr>
              <w:t>An outline of structures and processes in place for the entity to implement principles and objectives of</w:t>
            </w:r>
            <w:r w:rsidRPr="00CB1118">
              <w:rPr>
                <w:b w:val="0"/>
                <w:sz w:val="20"/>
              </w:rPr>
              <w:t xml:space="preserve"> corpora</w:t>
            </w:r>
            <w:r>
              <w:rPr>
                <w:b w:val="0"/>
                <w:sz w:val="20"/>
              </w:rPr>
              <w:t>te governance.</w:t>
            </w:r>
          </w:p>
        </w:tc>
        <w:tc>
          <w:tcPr>
            <w:tcW w:w="1275" w:type="dxa"/>
          </w:tcPr>
          <w:p w:rsidR="00B913CB" w:rsidRPr="00CB1118" w:rsidRDefault="00B913CB" w:rsidP="007A2DEE">
            <w:pPr>
              <w:rPr>
                <w:b/>
                <w:sz w:val="20"/>
                <w:szCs w:val="20"/>
              </w:rPr>
            </w:pPr>
            <w:r w:rsidRPr="00CB1118">
              <w:rPr>
                <w:sz w:val="20"/>
                <w:szCs w:val="20"/>
              </w:rPr>
              <w:t>Mandatory</w:t>
            </w:r>
          </w:p>
        </w:tc>
        <w:tc>
          <w:tcPr>
            <w:tcW w:w="1134" w:type="dxa"/>
          </w:tcPr>
          <w:p w:rsidR="00B913CB" w:rsidRPr="00F66CC5" w:rsidRDefault="00B913CB" w:rsidP="007A2DEE">
            <w:pPr>
              <w:rPr>
                <w:sz w:val="16"/>
                <w:szCs w:val="16"/>
              </w:rPr>
            </w:pPr>
            <w:r w:rsidRPr="00F66CC5">
              <w:rPr>
                <w:sz w:val="16"/>
                <w:szCs w:val="16"/>
              </w:rPr>
              <w:t>Chapter 3</w:t>
            </w:r>
          </w:p>
        </w:tc>
      </w:tr>
      <w:tr w:rsidR="00C41AF0" w:rsidTr="002D48EF">
        <w:trPr>
          <w:cantSplit/>
          <w:trHeight w:val="50"/>
        </w:trPr>
        <w:tc>
          <w:tcPr>
            <w:tcW w:w="908" w:type="dxa"/>
          </w:tcPr>
          <w:p w:rsidR="00C41AF0" w:rsidRDefault="00FD232C" w:rsidP="008B7F83">
            <w:pPr>
              <w:pStyle w:val="mhb1"/>
              <w:tabs>
                <w:tab w:val="clear" w:pos="567"/>
              </w:tabs>
              <w:spacing w:before="0"/>
              <w:jc w:val="center"/>
              <w:rPr>
                <w:b w:val="0"/>
                <w:sz w:val="16"/>
              </w:rPr>
            </w:pPr>
            <w:r>
              <w:rPr>
                <w:b w:val="0"/>
                <w:sz w:val="16"/>
              </w:rPr>
              <w:t>17AG(2)(d) and</w:t>
            </w:r>
            <w:r w:rsidR="00C41AF0">
              <w:rPr>
                <w:b w:val="0"/>
                <w:sz w:val="16"/>
              </w:rPr>
              <w:t xml:space="preserve"> (e)</w:t>
            </w:r>
          </w:p>
        </w:tc>
        <w:tc>
          <w:tcPr>
            <w:tcW w:w="760" w:type="dxa"/>
          </w:tcPr>
          <w:p w:rsidR="00C41AF0" w:rsidRDefault="00C41AF0" w:rsidP="007A2DEE">
            <w:pPr>
              <w:pStyle w:val="mhb1"/>
              <w:tabs>
                <w:tab w:val="clear" w:pos="567"/>
              </w:tabs>
              <w:spacing w:before="0"/>
              <w:rPr>
                <w:b w:val="0"/>
                <w:i/>
                <w:sz w:val="20"/>
              </w:rPr>
            </w:pPr>
          </w:p>
        </w:tc>
        <w:tc>
          <w:tcPr>
            <w:tcW w:w="3351" w:type="dxa"/>
          </w:tcPr>
          <w:p w:rsidR="00C41AF0" w:rsidRPr="00CB1118" w:rsidRDefault="00C41AF0" w:rsidP="007A2DEE">
            <w:pPr>
              <w:pStyle w:val="mhb1"/>
              <w:tabs>
                <w:tab w:val="clear" w:pos="567"/>
              </w:tabs>
              <w:spacing w:before="0"/>
              <w:rPr>
                <w:b w:val="0"/>
                <w:i/>
                <w:sz w:val="20"/>
              </w:rPr>
            </w:pPr>
            <w:r>
              <w:rPr>
                <w:b w:val="0"/>
                <w:sz w:val="20"/>
              </w:rPr>
              <w:t xml:space="preserve">A statement of significant issues reported to Minister under paragraph 19(1)(e) of the </w:t>
            </w:r>
            <w:r w:rsidR="003B1A26">
              <w:rPr>
                <w:b w:val="0"/>
                <w:sz w:val="20"/>
              </w:rPr>
              <w:t xml:space="preserve">PGPA </w:t>
            </w:r>
            <w:r>
              <w:rPr>
                <w:b w:val="0"/>
                <w:sz w:val="20"/>
              </w:rPr>
              <w:t>Act that relates to non-compliance with Finance law and action taken to remedy non-compliance</w:t>
            </w:r>
            <w:r w:rsidR="00FD232C">
              <w:rPr>
                <w:b w:val="0"/>
                <w:sz w:val="20"/>
              </w:rPr>
              <w:t>.</w:t>
            </w:r>
          </w:p>
        </w:tc>
        <w:tc>
          <w:tcPr>
            <w:tcW w:w="1275" w:type="dxa"/>
          </w:tcPr>
          <w:p w:rsidR="00C41AF0" w:rsidRPr="00CB1118" w:rsidRDefault="00C41AF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C41AF0" w:rsidRPr="00EE0730" w:rsidRDefault="00814442" w:rsidP="007A2DEE">
            <w:pPr>
              <w:pStyle w:val="mhb1"/>
              <w:tabs>
                <w:tab w:val="clear" w:pos="567"/>
              </w:tabs>
              <w:spacing w:before="0"/>
              <w:rPr>
                <w:b w:val="0"/>
                <w:sz w:val="16"/>
                <w:szCs w:val="16"/>
              </w:rPr>
            </w:pPr>
            <w:r>
              <w:rPr>
                <w:b w:val="0"/>
                <w:sz w:val="16"/>
                <w:szCs w:val="16"/>
              </w:rPr>
              <w:t>N/A</w:t>
            </w:r>
          </w:p>
        </w:tc>
      </w:tr>
      <w:tr w:rsidR="00C41AF0" w:rsidTr="002D48EF">
        <w:trPr>
          <w:cantSplit/>
          <w:trHeight w:val="50"/>
        </w:trPr>
        <w:tc>
          <w:tcPr>
            <w:tcW w:w="908" w:type="dxa"/>
          </w:tcPr>
          <w:p w:rsidR="00C41AF0" w:rsidRDefault="00C41AF0" w:rsidP="007A2DEE">
            <w:pPr>
              <w:pStyle w:val="mhb1"/>
              <w:tabs>
                <w:tab w:val="clear" w:pos="567"/>
              </w:tabs>
              <w:spacing w:before="0"/>
              <w:jc w:val="center"/>
              <w:rPr>
                <w:b w:val="0"/>
                <w:sz w:val="16"/>
              </w:rPr>
            </w:pPr>
          </w:p>
        </w:tc>
        <w:tc>
          <w:tcPr>
            <w:tcW w:w="6520" w:type="dxa"/>
            <w:gridSpan w:val="4"/>
          </w:tcPr>
          <w:p w:rsidR="00C41AF0" w:rsidRPr="00C41AF0" w:rsidRDefault="00C41AF0" w:rsidP="007A2DEE">
            <w:pPr>
              <w:pStyle w:val="mhb1"/>
              <w:tabs>
                <w:tab w:val="clear" w:pos="567"/>
              </w:tabs>
              <w:spacing w:before="0"/>
              <w:rPr>
                <w:sz w:val="16"/>
                <w:szCs w:val="16"/>
              </w:rPr>
            </w:pPr>
            <w:r w:rsidRPr="00C41AF0">
              <w:rPr>
                <w:i/>
                <w:sz w:val="20"/>
              </w:rPr>
              <w:t>External Scrutiny</w:t>
            </w:r>
          </w:p>
        </w:tc>
      </w:tr>
      <w:tr w:rsidR="000C5713" w:rsidTr="002D48EF">
        <w:trPr>
          <w:cantSplit/>
          <w:trHeight w:val="50"/>
        </w:trPr>
        <w:tc>
          <w:tcPr>
            <w:tcW w:w="908" w:type="dxa"/>
          </w:tcPr>
          <w:p w:rsidR="000C5713" w:rsidRDefault="00C41AF0" w:rsidP="007A2DEE">
            <w:pPr>
              <w:pStyle w:val="mhb1"/>
              <w:tabs>
                <w:tab w:val="clear" w:pos="567"/>
              </w:tabs>
              <w:spacing w:before="0"/>
              <w:jc w:val="center"/>
              <w:rPr>
                <w:b w:val="0"/>
                <w:sz w:val="16"/>
              </w:rPr>
            </w:pPr>
            <w:r>
              <w:rPr>
                <w:b w:val="0"/>
                <w:sz w:val="16"/>
              </w:rPr>
              <w:t>17AG(3)</w:t>
            </w:r>
          </w:p>
        </w:tc>
        <w:tc>
          <w:tcPr>
            <w:tcW w:w="760" w:type="dxa"/>
          </w:tcPr>
          <w:p w:rsidR="000C5713" w:rsidRPr="00B619F8" w:rsidRDefault="000C5713" w:rsidP="007A2DEE">
            <w:pPr>
              <w:pStyle w:val="mhb1"/>
              <w:tabs>
                <w:tab w:val="clear" w:pos="567"/>
              </w:tabs>
              <w:spacing w:before="0"/>
              <w:rPr>
                <w:b w:val="0"/>
                <w:sz w:val="20"/>
              </w:rPr>
            </w:pPr>
          </w:p>
        </w:tc>
        <w:tc>
          <w:tcPr>
            <w:tcW w:w="3351" w:type="dxa"/>
          </w:tcPr>
          <w:p w:rsidR="000C5713" w:rsidRPr="00CB1118" w:rsidRDefault="00C41AF0" w:rsidP="00C41AF0">
            <w:pPr>
              <w:pStyle w:val="mhb1"/>
              <w:tabs>
                <w:tab w:val="clear" w:pos="567"/>
              </w:tabs>
              <w:spacing w:before="0"/>
              <w:rPr>
                <w:b w:val="0"/>
                <w:sz w:val="20"/>
              </w:rPr>
            </w:pPr>
            <w:r>
              <w:rPr>
                <w:b w:val="0"/>
                <w:sz w:val="20"/>
              </w:rPr>
              <w:t>Information on the most s</w:t>
            </w:r>
            <w:r w:rsidR="000C5713" w:rsidRPr="00CB1118">
              <w:rPr>
                <w:b w:val="0"/>
                <w:sz w:val="20"/>
              </w:rPr>
              <w:t>ignificant developments in external scrutiny</w:t>
            </w:r>
            <w:r>
              <w:rPr>
                <w:b w:val="0"/>
                <w:sz w:val="20"/>
              </w:rPr>
              <w:t xml:space="preserve"> and the entity’s response to the scrutiny.</w:t>
            </w:r>
          </w:p>
        </w:tc>
        <w:tc>
          <w:tcPr>
            <w:tcW w:w="1275" w:type="dxa"/>
          </w:tcPr>
          <w:p w:rsidR="000C5713" w:rsidRPr="00CB1118" w:rsidRDefault="000C5713" w:rsidP="007A2DEE">
            <w:pPr>
              <w:pStyle w:val="mhb1"/>
              <w:tabs>
                <w:tab w:val="clear" w:pos="567"/>
              </w:tabs>
              <w:spacing w:before="0"/>
              <w:rPr>
                <w:b w:val="0"/>
                <w:sz w:val="20"/>
              </w:rPr>
            </w:pPr>
            <w:r w:rsidRPr="00CB1118">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Chapter 3</w:t>
            </w:r>
          </w:p>
        </w:tc>
      </w:tr>
      <w:tr w:rsidR="00C41AF0" w:rsidTr="002D48EF">
        <w:trPr>
          <w:cantSplit/>
          <w:trHeight w:val="50"/>
        </w:trPr>
        <w:tc>
          <w:tcPr>
            <w:tcW w:w="908" w:type="dxa"/>
          </w:tcPr>
          <w:p w:rsidR="00C41AF0" w:rsidRDefault="00C41AF0" w:rsidP="008B7F83">
            <w:pPr>
              <w:pStyle w:val="mhb1"/>
              <w:tabs>
                <w:tab w:val="clear" w:pos="567"/>
              </w:tabs>
              <w:spacing w:before="0"/>
              <w:jc w:val="center"/>
              <w:rPr>
                <w:b w:val="0"/>
                <w:sz w:val="16"/>
              </w:rPr>
            </w:pPr>
            <w:r>
              <w:rPr>
                <w:b w:val="0"/>
                <w:sz w:val="16"/>
              </w:rPr>
              <w:t>17AG(3)(a)</w:t>
            </w:r>
          </w:p>
        </w:tc>
        <w:tc>
          <w:tcPr>
            <w:tcW w:w="760" w:type="dxa"/>
          </w:tcPr>
          <w:p w:rsidR="00C41AF0" w:rsidRDefault="00C41AF0" w:rsidP="007A2DEE">
            <w:pPr>
              <w:pStyle w:val="mhb1"/>
              <w:tabs>
                <w:tab w:val="clear" w:pos="567"/>
              </w:tabs>
              <w:spacing w:before="0"/>
              <w:rPr>
                <w:b w:val="0"/>
                <w:i/>
                <w:sz w:val="20"/>
              </w:rPr>
            </w:pPr>
          </w:p>
        </w:tc>
        <w:tc>
          <w:tcPr>
            <w:tcW w:w="3351" w:type="dxa"/>
          </w:tcPr>
          <w:p w:rsidR="00C41AF0" w:rsidRPr="00CB1118" w:rsidRDefault="00C41AF0" w:rsidP="00C41AF0">
            <w:pPr>
              <w:pStyle w:val="mhb1"/>
              <w:tabs>
                <w:tab w:val="clear" w:pos="567"/>
              </w:tabs>
              <w:spacing w:before="0"/>
              <w:rPr>
                <w:b w:val="0"/>
                <w:sz w:val="20"/>
              </w:rPr>
            </w:pPr>
            <w:r>
              <w:rPr>
                <w:b w:val="0"/>
                <w:sz w:val="20"/>
              </w:rPr>
              <w:t>Information on j</w:t>
            </w:r>
            <w:r w:rsidRPr="00CB1118">
              <w:rPr>
                <w:b w:val="0"/>
                <w:sz w:val="20"/>
              </w:rPr>
              <w:t>udicial decisions and decisions of administrative tribunals</w:t>
            </w:r>
            <w:r>
              <w:rPr>
                <w:b w:val="0"/>
                <w:sz w:val="20"/>
              </w:rPr>
              <w:t xml:space="preserve"> and by the Australian Information Commissioner that may have a significant effect on the operations of the entity.</w:t>
            </w:r>
          </w:p>
        </w:tc>
        <w:tc>
          <w:tcPr>
            <w:tcW w:w="1275" w:type="dxa"/>
          </w:tcPr>
          <w:p w:rsidR="00C41AF0" w:rsidRPr="00CB1118" w:rsidRDefault="00C41AF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C41AF0" w:rsidRPr="00EE0730" w:rsidRDefault="00814442" w:rsidP="007A2DEE">
            <w:pPr>
              <w:pStyle w:val="mhb1"/>
              <w:tabs>
                <w:tab w:val="clear" w:pos="567"/>
              </w:tabs>
              <w:spacing w:before="0"/>
              <w:rPr>
                <w:b w:val="0"/>
                <w:sz w:val="16"/>
                <w:szCs w:val="16"/>
              </w:rPr>
            </w:pPr>
            <w:r>
              <w:rPr>
                <w:b w:val="0"/>
                <w:sz w:val="16"/>
                <w:szCs w:val="16"/>
              </w:rPr>
              <w:t>N/A</w:t>
            </w:r>
          </w:p>
        </w:tc>
      </w:tr>
      <w:tr w:rsidR="00C41AF0" w:rsidTr="002D48EF">
        <w:trPr>
          <w:cantSplit/>
          <w:trHeight w:val="50"/>
        </w:trPr>
        <w:tc>
          <w:tcPr>
            <w:tcW w:w="908" w:type="dxa"/>
          </w:tcPr>
          <w:p w:rsidR="00C41AF0" w:rsidRDefault="00C41AF0" w:rsidP="008B7F83">
            <w:pPr>
              <w:pStyle w:val="mhb1"/>
              <w:tabs>
                <w:tab w:val="clear" w:pos="567"/>
              </w:tabs>
              <w:spacing w:before="0"/>
              <w:jc w:val="center"/>
              <w:rPr>
                <w:b w:val="0"/>
                <w:sz w:val="16"/>
              </w:rPr>
            </w:pPr>
            <w:r>
              <w:rPr>
                <w:b w:val="0"/>
                <w:sz w:val="16"/>
              </w:rPr>
              <w:t>17AG(3)(b)</w:t>
            </w:r>
          </w:p>
        </w:tc>
        <w:tc>
          <w:tcPr>
            <w:tcW w:w="760" w:type="dxa"/>
          </w:tcPr>
          <w:p w:rsidR="00C41AF0" w:rsidRDefault="00C41AF0" w:rsidP="007A2DEE">
            <w:pPr>
              <w:pStyle w:val="mhb1"/>
              <w:tabs>
                <w:tab w:val="clear" w:pos="567"/>
              </w:tabs>
              <w:spacing w:before="0"/>
              <w:rPr>
                <w:b w:val="0"/>
                <w:i/>
                <w:sz w:val="20"/>
              </w:rPr>
            </w:pPr>
          </w:p>
        </w:tc>
        <w:tc>
          <w:tcPr>
            <w:tcW w:w="3351" w:type="dxa"/>
          </w:tcPr>
          <w:p w:rsidR="00C41AF0" w:rsidRPr="00CB1118" w:rsidRDefault="00C41AF0" w:rsidP="00C41AF0">
            <w:pPr>
              <w:pStyle w:val="mhb1"/>
              <w:tabs>
                <w:tab w:val="clear" w:pos="567"/>
              </w:tabs>
              <w:spacing w:before="0"/>
              <w:rPr>
                <w:b w:val="0"/>
                <w:sz w:val="20"/>
              </w:rPr>
            </w:pPr>
            <w:r>
              <w:rPr>
                <w:b w:val="0"/>
                <w:sz w:val="20"/>
              </w:rPr>
              <w:t>Information on any r</w:t>
            </w:r>
            <w:r w:rsidRPr="00CB1118">
              <w:rPr>
                <w:b w:val="0"/>
                <w:sz w:val="20"/>
              </w:rPr>
              <w:t xml:space="preserve">eports </w:t>
            </w:r>
            <w:r>
              <w:rPr>
                <w:b w:val="0"/>
                <w:sz w:val="20"/>
              </w:rPr>
              <w:t xml:space="preserve">on operations of the entity by </w:t>
            </w:r>
            <w:r w:rsidRPr="00CB1118">
              <w:rPr>
                <w:b w:val="0"/>
                <w:sz w:val="20"/>
              </w:rPr>
              <w:t>the Auditor-General</w:t>
            </w:r>
            <w:r>
              <w:rPr>
                <w:b w:val="0"/>
                <w:sz w:val="20"/>
              </w:rPr>
              <w:t xml:space="preserve"> (other than report under section 43 of the </w:t>
            </w:r>
            <w:r w:rsidR="003B1A26">
              <w:rPr>
                <w:b w:val="0"/>
                <w:sz w:val="20"/>
              </w:rPr>
              <w:t xml:space="preserve">PGPA </w:t>
            </w:r>
            <w:r>
              <w:rPr>
                <w:b w:val="0"/>
                <w:sz w:val="20"/>
              </w:rPr>
              <w:t>Act)</w:t>
            </w:r>
            <w:r w:rsidRPr="00CB1118">
              <w:rPr>
                <w:b w:val="0"/>
                <w:sz w:val="20"/>
              </w:rPr>
              <w:t>, a Parliamentary Committee</w:t>
            </w:r>
            <w:r>
              <w:rPr>
                <w:b w:val="0"/>
                <w:sz w:val="20"/>
              </w:rPr>
              <w:t>,</w:t>
            </w:r>
            <w:r w:rsidRPr="00CB1118">
              <w:rPr>
                <w:b w:val="0"/>
                <w:sz w:val="20"/>
              </w:rPr>
              <w:t xml:space="preserve"> </w:t>
            </w:r>
            <w:r>
              <w:rPr>
                <w:b w:val="0"/>
                <w:sz w:val="20"/>
              </w:rPr>
              <w:t xml:space="preserve">or </w:t>
            </w:r>
            <w:r w:rsidRPr="00CB1118">
              <w:rPr>
                <w:b w:val="0"/>
                <w:sz w:val="20"/>
              </w:rPr>
              <w:t>the Commonwealth Ombudsman</w:t>
            </w:r>
            <w:r>
              <w:rPr>
                <w:b w:val="0"/>
                <w:sz w:val="20"/>
              </w:rPr>
              <w:t>.</w:t>
            </w:r>
          </w:p>
        </w:tc>
        <w:tc>
          <w:tcPr>
            <w:tcW w:w="1275" w:type="dxa"/>
          </w:tcPr>
          <w:p w:rsidR="00C41AF0" w:rsidRPr="00CB1118" w:rsidRDefault="00C41AF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C41AF0" w:rsidRPr="00EE0730" w:rsidRDefault="00814442" w:rsidP="007A2DEE">
            <w:pPr>
              <w:pStyle w:val="mhb1"/>
              <w:tabs>
                <w:tab w:val="clear" w:pos="567"/>
              </w:tabs>
              <w:spacing w:before="0"/>
              <w:rPr>
                <w:b w:val="0"/>
                <w:sz w:val="16"/>
                <w:szCs w:val="16"/>
              </w:rPr>
            </w:pPr>
            <w:r>
              <w:rPr>
                <w:b w:val="0"/>
                <w:sz w:val="16"/>
                <w:szCs w:val="16"/>
              </w:rPr>
              <w:t>N/A</w:t>
            </w:r>
          </w:p>
        </w:tc>
      </w:tr>
      <w:tr w:rsidR="00C41AF0" w:rsidTr="002D48EF">
        <w:trPr>
          <w:cantSplit/>
          <w:trHeight w:val="50"/>
        </w:trPr>
        <w:tc>
          <w:tcPr>
            <w:tcW w:w="908" w:type="dxa"/>
          </w:tcPr>
          <w:p w:rsidR="00C41AF0" w:rsidRDefault="00C41AF0" w:rsidP="00C41AF0">
            <w:pPr>
              <w:pStyle w:val="mhb1"/>
              <w:tabs>
                <w:tab w:val="clear" w:pos="567"/>
              </w:tabs>
              <w:spacing w:before="0"/>
              <w:jc w:val="center"/>
              <w:rPr>
                <w:b w:val="0"/>
                <w:sz w:val="16"/>
              </w:rPr>
            </w:pPr>
            <w:r>
              <w:rPr>
                <w:b w:val="0"/>
                <w:sz w:val="16"/>
              </w:rPr>
              <w:t>17AG(3)(c)</w:t>
            </w:r>
          </w:p>
        </w:tc>
        <w:tc>
          <w:tcPr>
            <w:tcW w:w="760" w:type="dxa"/>
          </w:tcPr>
          <w:p w:rsidR="00C41AF0" w:rsidRDefault="00C41AF0" w:rsidP="008B7F83">
            <w:pPr>
              <w:pStyle w:val="mhb1"/>
              <w:tabs>
                <w:tab w:val="clear" w:pos="567"/>
              </w:tabs>
              <w:spacing w:before="0"/>
              <w:rPr>
                <w:b w:val="0"/>
                <w:i/>
                <w:sz w:val="20"/>
              </w:rPr>
            </w:pPr>
          </w:p>
        </w:tc>
        <w:tc>
          <w:tcPr>
            <w:tcW w:w="3351" w:type="dxa"/>
          </w:tcPr>
          <w:p w:rsidR="00C41AF0" w:rsidRPr="00CB1118" w:rsidRDefault="00C41AF0" w:rsidP="00C41AF0">
            <w:pPr>
              <w:pStyle w:val="mhb1"/>
              <w:tabs>
                <w:tab w:val="clear" w:pos="567"/>
              </w:tabs>
              <w:spacing w:before="0"/>
              <w:rPr>
                <w:b w:val="0"/>
                <w:sz w:val="20"/>
              </w:rPr>
            </w:pPr>
            <w:r>
              <w:rPr>
                <w:b w:val="0"/>
                <w:sz w:val="20"/>
              </w:rPr>
              <w:t>Information on any capability reviews</w:t>
            </w:r>
            <w:r w:rsidRPr="00CB1118">
              <w:rPr>
                <w:b w:val="0"/>
                <w:sz w:val="20"/>
              </w:rPr>
              <w:t xml:space="preserve"> </w:t>
            </w:r>
            <w:r>
              <w:rPr>
                <w:b w:val="0"/>
                <w:sz w:val="20"/>
              </w:rPr>
              <w:t>on the entity that were released during the period.</w:t>
            </w:r>
          </w:p>
        </w:tc>
        <w:tc>
          <w:tcPr>
            <w:tcW w:w="1275" w:type="dxa"/>
          </w:tcPr>
          <w:p w:rsidR="00C41AF0" w:rsidRPr="00CB1118" w:rsidRDefault="00C41AF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C41AF0" w:rsidRPr="00EE0730" w:rsidRDefault="00814442" w:rsidP="008B7F83">
            <w:pPr>
              <w:pStyle w:val="mhb1"/>
              <w:tabs>
                <w:tab w:val="clear" w:pos="567"/>
              </w:tabs>
              <w:spacing w:before="0"/>
              <w:rPr>
                <w:b w:val="0"/>
                <w:sz w:val="16"/>
                <w:szCs w:val="16"/>
              </w:rPr>
            </w:pPr>
            <w:r>
              <w:rPr>
                <w:b w:val="0"/>
                <w:sz w:val="16"/>
                <w:szCs w:val="16"/>
              </w:rPr>
              <w:t>N/A</w:t>
            </w:r>
          </w:p>
        </w:tc>
      </w:tr>
      <w:tr w:rsidR="00C41AF0" w:rsidTr="002D48EF">
        <w:trPr>
          <w:cantSplit/>
          <w:trHeight w:val="50"/>
        </w:trPr>
        <w:tc>
          <w:tcPr>
            <w:tcW w:w="908" w:type="dxa"/>
          </w:tcPr>
          <w:p w:rsidR="00C41AF0" w:rsidRDefault="00C41AF0" w:rsidP="007A2DEE">
            <w:pPr>
              <w:pStyle w:val="mhb1"/>
              <w:tabs>
                <w:tab w:val="clear" w:pos="567"/>
              </w:tabs>
              <w:spacing w:before="0"/>
              <w:jc w:val="center"/>
              <w:rPr>
                <w:b w:val="0"/>
                <w:sz w:val="16"/>
              </w:rPr>
            </w:pPr>
          </w:p>
        </w:tc>
        <w:tc>
          <w:tcPr>
            <w:tcW w:w="6520" w:type="dxa"/>
            <w:gridSpan w:val="4"/>
          </w:tcPr>
          <w:p w:rsidR="00C41AF0" w:rsidRPr="00C41AF0" w:rsidRDefault="00C41AF0" w:rsidP="007A2DEE">
            <w:pPr>
              <w:pStyle w:val="mhb1"/>
              <w:tabs>
                <w:tab w:val="clear" w:pos="567"/>
              </w:tabs>
              <w:spacing w:before="0"/>
              <w:rPr>
                <w:sz w:val="16"/>
                <w:szCs w:val="16"/>
              </w:rPr>
            </w:pPr>
            <w:r w:rsidRPr="00C41AF0">
              <w:rPr>
                <w:i/>
                <w:sz w:val="20"/>
              </w:rPr>
              <w:t>Management of Human Resources</w:t>
            </w:r>
          </w:p>
        </w:tc>
      </w:tr>
      <w:tr w:rsidR="00C41AF0" w:rsidTr="002D48EF">
        <w:trPr>
          <w:cantSplit/>
          <w:trHeight w:val="50"/>
        </w:trPr>
        <w:tc>
          <w:tcPr>
            <w:tcW w:w="908" w:type="dxa"/>
          </w:tcPr>
          <w:p w:rsidR="00C41AF0" w:rsidRDefault="00C41AF0" w:rsidP="008B7F83">
            <w:pPr>
              <w:pStyle w:val="mhb1"/>
              <w:tabs>
                <w:tab w:val="clear" w:pos="567"/>
              </w:tabs>
              <w:spacing w:before="0"/>
              <w:jc w:val="center"/>
              <w:rPr>
                <w:b w:val="0"/>
                <w:sz w:val="16"/>
              </w:rPr>
            </w:pPr>
            <w:r>
              <w:rPr>
                <w:b w:val="0"/>
                <w:sz w:val="16"/>
              </w:rPr>
              <w:t>17AG(4)(a)</w:t>
            </w:r>
          </w:p>
        </w:tc>
        <w:tc>
          <w:tcPr>
            <w:tcW w:w="760" w:type="dxa"/>
          </w:tcPr>
          <w:p w:rsidR="00C41AF0" w:rsidRPr="00B619F8" w:rsidRDefault="00C41AF0" w:rsidP="007A2DEE">
            <w:pPr>
              <w:pStyle w:val="mhb1"/>
              <w:tabs>
                <w:tab w:val="clear" w:pos="567"/>
              </w:tabs>
              <w:spacing w:before="0"/>
              <w:rPr>
                <w:b w:val="0"/>
                <w:sz w:val="20"/>
              </w:rPr>
            </w:pPr>
          </w:p>
        </w:tc>
        <w:tc>
          <w:tcPr>
            <w:tcW w:w="3351" w:type="dxa"/>
          </w:tcPr>
          <w:p w:rsidR="00C41AF0" w:rsidRPr="00CB1118" w:rsidRDefault="00C41AF0" w:rsidP="00EF4FB7">
            <w:pPr>
              <w:pStyle w:val="mhb1"/>
              <w:tabs>
                <w:tab w:val="clear" w:pos="567"/>
              </w:tabs>
              <w:spacing w:before="0"/>
              <w:rPr>
                <w:b w:val="0"/>
                <w:sz w:val="20"/>
              </w:rPr>
            </w:pPr>
            <w:r>
              <w:rPr>
                <w:b w:val="0"/>
                <w:sz w:val="20"/>
              </w:rPr>
              <w:t>An a</w:t>
            </w:r>
            <w:r w:rsidRPr="00CB1118">
              <w:rPr>
                <w:b w:val="0"/>
                <w:sz w:val="20"/>
              </w:rPr>
              <w:t xml:space="preserve">ssessment of </w:t>
            </w:r>
            <w:r>
              <w:rPr>
                <w:b w:val="0"/>
                <w:sz w:val="20"/>
              </w:rPr>
              <w:t xml:space="preserve">the entity’s </w:t>
            </w:r>
            <w:r w:rsidRPr="00CB1118">
              <w:rPr>
                <w:b w:val="0"/>
                <w:sz w:val="20"/>
              </w:rPr>
              <w:t xml:space="preserve">effectiveness in managing and developing </w:t>
            </w:r>
            <w:r w:rsidR="00EF4FB7">
              <w:rPr>
                <w:b w:val="0"/>
                <w:sz w:val="20"/>
              </w:rPr>
              <w:t>employees to achieve entity</w:t>
            </w:r>
            <w:r w:rsidRPr="00CB1118">
              <w:rPr>
                <w:b w:val="0"/>
                <w:sz w:val="20"/>
              </w:rPr>
              <w:t xml:space="preserve"> objectives</w:t>
            </w:r>
            <w:r w:rsidR="00EF4FB7">
              <w:rPr>
                <w:b w:val="0"/>
                <w:sz w:val="20"/>
              </w:rPr>
              <w:t>.</w:t>
            </w:r>
          </w:p>
        </w:tc>
        <w:tc>
          <w:tcPr>
            <w:tcW w:w="1275" w:type="dxa"/>
          </w:tcPr>
          <w:p w:rsidR="00C41AF0" w:rsidRPr="00CB1118" w:rsidRDefault="00C41AF0" w:rsidP="007A2DEE">
            <w:pPr>
              <w:pStyle w:val="mhb1"/>
              <w:tabs>
                <w:tab w:val="clear" w:pos="567"/>
              </w:tabs>
              <w:spacing w:before="0"/>
              <w:rPr>
                <w:b w:val="0"/>
                <w:sz w:val="20"/>
              </w:rPr>
            </w:pPr>
            <w:r w:rsidRPr="00CB1118">
              <w:rPr>
                <w:b w:val="0"/>
                <w:sz w:val="20"/>
              </w:rPr>
              <w:t>Mandatory</w:t>
            </w:r>
          </w:p>
        </w:tc>
        <w:tc>
          <w:tcPr>
            <w:tcW w:w="1134" w:type="dxa"/>
          </w:tcPr>
          <w:p w:rsidR="00C41AF0" w:rsidRPr="00EE0730" w:rsidRDefault="00C41AF0" w:rsidP="007A2DEE">
            <w:pPr>
              <w:pStyle w:val="mhb1"/>
              <w:tabs>
                <w:tab w:val="clear" w:pos="567"/>
              </w:tabs>
              <w:spacing w:before="0"/>
              <w:rPr>
                <w:b w:val="0"/>
                <w:sz w:val="16"/>
                <w:szCs w:val="16"/>
              </w:rPr>
            </w:pPr>
            <w:r>
              <w:rPr>
                <w:b w:val="0"/>
                <w:sz w:val="16"/>
                <w:szCs w:val="16"/>
              </w:rPr>
              <w:t>Chapter 4</w:t>
            </w:r>
          </w:p>
        </w:tc>
      </w:tr>
      <w:tr w:rsidR="00EF4FB7" w:rsidTr="002D48EF">
        <w:trPr>
          <w:cantSplit/>
          <w:trHeight w:val="50"/>
        </w:trPr>
        <w:tc>
          <w:tcPr>
            <w:tcW w:w="908" w:type="dxa"/>
          </w:tcPr>
          <w:p w:rsidR="00EF4FB7" w:rsidRDefault="00EF4FB7" w:rsidP="008B7F83">
            <w:pPr>
              <w:pStyle w:val="mhb1"/>
              <w:tabs>
                <w:tab w:val="clear" w:pos="567"/>
              </w:tabs>
              <w:spacing w:before="0"/>
              <w:jc w:val="center"/>
              <w:rPr>
                <w:b w:val="0"/>
                <w:sz w:val="16"/>
              </w:rPr>
            </w:pPr>
            <w:r>
              <w:rPr>
                <w:b w:val="0"/>
                <w:sz w:val="16"/>
              </w:rPr>
              <w:lastRenderedPageBreak/>
              <w:t>17AG(4)(b)</w:t>
            </w:r>
          </w:p>
        </w:tc>
        <w:tc>
          <w:tcPr>
            <w:tcW w:w="760" w:type="dxa"/>
          </w:tcPr>
          <w:p w:rsidR="00EF4FB7" w:rsidRDefault="00EF4FB7" w:rsidP="007A2DEE">
            <w:pPr>
              <w:pStyle w:val="mhb1"/>
              <w:tabs>
                <w:tab w:val="clear" w:pos="567"/>
              </w:tabs>
              <w:spacing w:before="0"/>
              <w:rPr>
                <w:b w:val="0"/>
                <w:i/>
                <w:sz w:val="20"/>
              </w:rPr>
            </w:pPr>
          </w:p>
        </w:tc>
        <w:tc>
          <w:tcPr>
            <w:tcW w:w="3351" w:type="dxa"/>
          </w:tcPr>
          <w:p w:rsidR="00EF4FB7" w:rsidRDefault="00EF4FB7" w:rsidP="00EF4FB7">
            <w:pPr>
              <w:pStyle w:val="mhb1"/>
              <w:tabs>
                <w:tab w:val="clear" w:pos="567"/>
              </w:tabs>
              <w:spacing w:before="0"/>
              <w:rPr>
                <w:b w:val="0"/>
                <w:sz w:val="20"/>
              </w:rPr>
            </w:pPr>
            <w:r w:rsidRPr="00CB1118">
              <w:rPr>
                <w:b w:val="0"/>
                <w:sz w:val="20"/>
              </w:rPr>
              <w:t xml:space="preserve">Statistics on </w:t>
            </w:r>
            <w:r>
              <w:rPr>
                <w:b w:val="0"/>
                <w:sz w:val="20"/>
              </w:rPr>
              <w:t>the entity’s APS employees on an ongoing and non-ongoing basis; including the following:</w:t>
            </w:r>
          </w:p>
          <w:p w:rsidR="00EF4FB7" w:rsidRDefault="00EF4FB7" w:rsidP="00EF4FB7">
            <w:pPr>
              <w:pStyle w:val="mhb1"/>
              <w:numPr>
                <w:ilvl w:val="0"/>
                <w:numId w:val="32"/>
              </w:numPr>
              <w:tabs>
                <w:tab w:val="clear" w:pos="567"/>
              </w:tabs>
              <w:spacing w:before="0"/>
              <w:rPr>
                <w:b w:val="0"/>
                <w:sz w:val="20"/>
              </w:rPr>
            </w:pPr>
            <w:r>
              <w:rPr>
                <w:b w:val="0"/>
                <w:sz w:val="20"/>
              </w:rPr>
              <w:t>statistics on staffing classification level;</w:t>
            </w:r>
          </w:p>
          <w:p w:rsidR="00EF4FB7" w:rsidRDefault="00EF4FB7" w:rsidP="00EF4FB7">
            <w:pPr>
              <w:pStyle w:val="mhb1"/>
              <w:numPr>
                <w:ilvl w:val="0"/>
                <w:numId w:val="32"/>
              </w:numPr>
              <w:tabs>
                <w:tab w:val="clear" w:pos="567"/>
              </w:tabs>
              <w:spacing w:before="0"/>
              <w:rPr>
                <w:b w:val="0"/>
                <w:sz w:val="20"/>
              </w:rPr>
            </w:pPr>
            <w:r>
              <w:rPr>
                <w:b w:val="0"/>
                <w:sz w:val="20"/>
              </w:rPr>
              <w:t>statistics on full-time employees;</w:t>
            </w:r>
          </w:p>
          <w:p w:rsidR="00EF4FB7" w:rsidRDefault="00EF4FB7" w:rsidP="00EF4FB7">
            <w:pPr>
              <w:pStyle w:val="mhb1"/>
              <w:numPr>
                <w:ilvl w:val="0"/>
                <w:numId w:val="32"/>
              </w:numPr>
              <w:tabs>
                <w:tab w:val="clear" w:pos="567"/>
              </w:tabs>
              <w:spacing w:before="0"/>
              <w:rPr>
                <w:b w:val="0"/>
                <w:sz w:val="20"/>
              </w:rPr>
            </w:pPr>
            <w:r>
              <w:rPr>
                <w:b w:val="0"/>
                <w:sz w:val="20"/>
              </w:rPr>
              <w:t>statistics on part-time employees;</w:t>
            </w:r>
          </w:p>
          <w:p w:rsidR="00EF4FB7" w:rsidRDefault="00EF4FB7" w:rsidP="00EF4FB7">
            <w:pPr>
              <w:pStyle w:val="mhb1"/>
              <w:numPr>
                <w:ilvl w:val="0"/>
                <w:numId w:val="32"/>
              </w:numPr>
              <w:tabs>
                <w:tab w:val="clear" w:pos="567"/>
              </w:tabs>
              <w:spacing w:before="0"/>
              <w:rPr>
                <w:b w:val="0"/>
                <w:sz w:val="20"/>
              </w:rPr>
            </w:pPr>
            <w:r>
              <w:rPr>
                <w:b w:val="0"/>
                <w:sz w:val="20"/>
              </w:rPr>
              <w:t>statistics on gender;</w:t>
            </w:r>
          </w:p>
          <w:p w:rsidR="00EF4FB7" w:rsidRDefault="00EF4FB7" w:rsidP="00EF4FB7">
            <w:pPr>
              <w:pStyle w:val="mhb1"/>
              <w:numPr>
                <w:ilvl w:val="0"/>
                <w:numId w:val="32"/>
              </w:numPr>
              <w:tabs>
                <w:tab w:val="clear" w:pos="567"/>
              </w:tabs>
              <w:spacing w:before="0"/>
              <w:rPr>
                <w:b w:val="0"/>
                <w:sz w:val="20"/>
              </w:rPr>
            </w:pPr>
            <w:r>
              <w:rPr>
                <w:b w:val="0"/>
                <w:sz w:val="20"/>
              </w:rPr>
              <w:t>statistics on staff location;</w:t>
            </w:r>
          </w:p>
          <w:p w:rsidR="00EF4FB7" w:rsidRPr="00CB1118" w:rsidRDefault="00EF4FB7" w:rsidP="00EF4FB7">
            <w:pPr>
              <w:pStyle w:val="mhb1"/>
              <w:numPr>
                <w:ilvl w:val="0"/>
                <w:numId w:val="32"/>
              </w:numPr>
              <w:tabs>
                <w:tab w:val="clear" w:pos="567"/>
              </w:tabs>
              <w:spacing w:before="0"/>
              <w:rPr>
                <w:b w:val="0"/>
                <w:sz w:val="20"/>
              </w:rPr>
            </w:pPr>
            <w:r>
              <w:rPr>
                <w:b w:val="0"/>
                <w:sz w:val="20"/>
              </w:rPr>
              <w:t>statistics on employees who identify as Indigenous.</w:t>
            </w:r>
          </w:p>
        </w:tc>
        <w:tc>
          <w:tcPr>
            <w:tcW w:w="1275" w:type="dxa"/>
          </w:tcPr>
          <w:p w:rsidR="00EF4FB7" w:rsidRPr="00CB1118" w:rsidRDefault="00EF4FB7" w:rsidP="008B7F83">
            <w:pPr>
              <w:pStyle w:val="mhb1"/>
              <w:tabs>
                <w:tab w:val="clear" w:pos="567"/>
              </w:tabs>
              <w:spacing w:before="0"/>
              <w:rPr>
                <w:b w:val="0"/>
                <w:sz w:val="20"/>
              </w:rPr>
            </w:pPr>
            <w:r w:rsidRPr="00CB1118">
              <w:rPr>
                <w:b w:val="0"/>
                <w:sz w:val="20"/>
              </w:rPr>
              <w:t>Mandatory</w:t>
            </w:r>
          </w:p>
        </w:tc>
        <w:tc>
          <w:tcPr>
            <w:tcW w:w="1134" w:type="dxa"/>
          </w:tcPr>
          <w:p w:rsidR="00EF4FB7" w:rsidRPr="00EE0730" w:rsidRDefault="00EF4FB7" w:rsidP="008B7F83">
            <w:pPr>
              <w:pStyle w:val="mhb1"/>
              <w:tabs>
                <w:tab w:val="clear" w:pos="567"/>
              </w:tabs>
              <w:spacing w:before="0"/>
              <w:rPr>
                <w:b w:val="0"/>
                <w:sz w:val="16"/>
                <w:szCs w:val="16"/>
              </w:rPr>
            </w:pPr>
            <w:r>
              <w:rPr>
                <w:b w:val="0"/>
                <w:sz w:val="16"/>
                <w:szCs w:val="16"/>
              </w:rPr>
              <w:t>Chapter 4 Appendix B</w:t>
            </w:r>
          </w:p>
        </w:tc>
      </w:tr>
      <w:tr w:rsidR="00EF4FB7" w:rsidTr="00290F08">
        <w:trPr>
          <w:trHeight w:val="50"/>
        </w:trPr>
        <w:tc>
          <w:tcPr>
            <w:tcW w:w="908" w:type="dxa"/>
          </w:tcPr>
          <w:p w:rsidR="00EF4FB7" w:rsidRDefault="00EF4FB7" w:rsidP="008B7F83">
            <w:pPr>
              <w:pStyle w:val="mhb1"/>
              <w:tabs>
                <w:tab w:val="clear" w:pos="567"/>
              </w:tabs>
              <w:spacing w:before="0"/>
              <w:jc w:val="center"/>
              <w:rPr>
                <w:b w:val="0"/>
                <w:sz w:val="16"/>
              </w:rPr>
            </w:pPr>
            <w:r>
              <w:rPr>
                <w:b w:val="0"/>
                <w:sz w:val="16"/>
              </w:rPr>
              <w:t>17AG(4)(c)</w:t>
            </w:r>
          </w:p>
        </w:tc>
        <w:tc>
          <w:tcPr>
            <w:tcW w:w="760" w:type="dxa"/>
          </w:tcPr>
          <w:p w:rsidR="00EF4FB7" w:rsidRDefault="00EF4FB7" w:rsidP="008B7F83">
            <w:pPr>
              <w:pStyle w:val="mhb1"/>
              <w:tabs>
                <w:tab w:val="clear" w:pos="567"/>
              </w:tabs>
              <w:spacing w:before="0"/>
              <w:rPr>
                <w:b w:val="0"/>
                <w:i/>
                <w:sz w:val="20"/>
              </w:rPr>
            </w:pPr>
          </w:p>
        </w:tc>
        <w:tc>
          <w:tcPr>
            <w:tcW w:w="3351" w:type="dxa"/>
          </w:tcPr>
          <w:p w:rsidR="00EF4FB7" w:rsidRPr="00EF4FB7" w:rsidRDefault="00EF4FB7" w:rsidP="00EF4FB7">
            <w:pPr>
              <w:pStyle w:val="mhb1"/>
              <w:tabs>
                <w:tab w:val="clear" w:pos="567"/>
              </w:tabs>
              <w:spacing w:before="0"/>
              <w:rPr>
                <w:b w:val="0"/>
                <w:sz w:val="20"/>
              </w:rPr>
            </w:pPr>
            <w:r>
              <w:rPr>
                <w:b w:val="0"/>
                <w:sz w:val="20"/>
              </w:rPr>
              <w:t>Information on any e</w:t>
            </w:r>
            <w:r w:rsidRPr="00CB1118">
              <w:rPr>
                <w:b w:val="0"/>
                <w:sz w:val="20"/>
              </w:rPr>
              <w:t xml:space="preserve">nterprise </w:t>
            </w:r>
            <w:r>
              <w:rPr>
                <w:b w:val="0"/>
                <w:sz w:val="20"/>
              </w:rPr>
              <w:t xml:space="preserve">agreements, individual flexibility arrangements, Australian workplace agreements, </w:t>
            </w:r>
            <w:r w:rsidRPr="00CB1118">
              <w:rPr>
                <w:b w:val="0"/>
                <w:sz w:val="20"/>
              </w:rPr>
              <w:t xml:space="preserve">common law contracts and </w:t>
            </w:r>
            <w:r>
              <w:rPr>
                <w:b w:val="0"/>
                <w:sz w:val="20"/>
              </w:rPr>
              <w:t xml:space="preserve">determinations under subsection 24(1) of the </w:t>
            </w:r>
            <w:r>
              <w:rPr>
                <w:b w:val="0"/>
                <w:i/>
                <w:sz w:val="20"/>
              </w:rPr>
              <w:t>Public Service Act 1999</w:t>
            </w:r>
            <w:r>
              <w:rPr>
                <w:b w:val="0"/>
                <w:sz w:val="20"/>
              </w:rPr>
              <w:t>.</w:t>
            </w:r>
          </w:p>
        </w:tc>
        <w:tc>
          <w:tcPr>
            <w:tcW w:w="1275" w:type="dxa"/>
          </w:tcPr>
          <w:p w:rsidR="00EF4FB7" w:rsidRPr="00CB1118" w:rsidRDefault="00EF4FB7" w:rsidP="008B7F83">
            <w:pPr>
              <w:pStyle w:val="mhb1"/>
              <w:tabs>
                <w:tab w:val="clear" w:pos="567"/>
              </w:tabs>
              <w:spacing w:before="0"/>
              <w:rPr>
                <w:b w:val="0"/>
                <w:sz w:val="20"/>
              </w:rPr>
            </w:pPr>
            <w:r w:rsidRPr="00CB1118">
              <w:rPr>
                <w:b w:val="0"/>
                <w:sz w:val="20"/>
              </w:rPr>
              <w:t>Mandatory</w:t>
            </w:r>
          </w:p>
        </w:tc>
        <w:tc>
          <w:tcPr>
            <w:tcW w:w="1134" w:type="dxa"/>
          </w:tcPr>
          <w:p w:rsidR="00EF4FB7" w:rsidRPr="00EE0730" w:rsidRDefault="00EF4FB7" w:rsidP="008B7F83">
            <w:pPr>
              <w:pStyle w:val="mhb1"/>
              <w:tabs>
                <w:tab w:val="clear" w:pos="567"/>
              </w:tabs>
              <w:spacing w:before="0"/>
              <w:rPr>
                <w:b w:val="0"/>
                <w:sz w:val="16"/>
                <w:szCs w:val="16"/>
              </w:rPr>
            </w:pPr>
            <w:r>
              <w:rPr>
                <w:b w:val="0"/>
                <w:sz w:val="16"/>
                <w:szCs w:val="16"/>
              </w:rPr>
              <w:t>Chapter 4 Appendix B</w:t>
            </w:r>
          </w:p>
        </w:tc>
      </w:tr>
      <w:tr w:rsidR="00993484" w:rsidTr="002D48EF">
        <w:trPr>
          <w:cantSplit/>
          <w:trHeight w:val="50"/>
        </w:trPr>
        <w:tc>
          <w:tcPr>
            <w:tcW w:w="908" w:type="dxa"/>
          </w:tcPr>
          <w:p w:rsidR="00993484" w:rsidRDefault="00993484" w:rsidP="008B7F83">
            <w:pPr>
              <w:pStyle w:val="mhb1"/>
              <w:tabs>
                <w:tab w:val="clear" w:pos="567"/>
              </w:tabs>
              <w:spacing w:before="0"/>
              <w:jc w:val="center"/>
              <w:rPr>
                <w:b w:val="0"/>
                <w:sz w:val="16"/>
              </w:rPr>
            </w:pPr>
            <w:r>
              <w:rPr>
                <w:b w:val="0"/>
                <w:sz w:val="16"/>
              </w:rPr>
              <w:t>17AG(4)(c)(i)</w:t>
            </w:r>
          </w:p>
        </w:tc>
        <w:tc>
          <w:tcPr>
            <w:tcW w:w="760" w:type="dxa"/>
          </w:tcPr>
          <w:p w:rsidR="00993484" w:rsidRDefault="00993484" w:rsidP="007A2DEE">
            <w:pPr>
              <w:pStyle w:val="mhb1"/>
              <w:tabs>
                <w:tab w:val="clear" w:pos="567"/>
              </w:tabs>
              <w:spacing w:before="0"/>
              <w:rPr>
                <w:b w:val="0"/>
                <w:i/>
                <w:sz w:val="20"/>
              </w:rPr>
            </w:pPr>
          </w:p>
        </w:tc>
        <w:tc>
          <w:tcPr>
            <w:tcW w:w="3351" w:type="dxa"/>
          </w:tcPr>
          <w:p w:rsidR="00993484" w:rsidRPr="00CB1118" w:rsidRDefault="00993484" w:rsidP="00F24971">
            <w:pPr>
              <w:pStyle w:val="mhb1"/>
              <w:tabs>
                <w:tab w:val="clear" w:pos="567"/>
              </w:tabs>
              <w:spacing w:before="0"/>
              <w:rPr>
                <w:b w:val="0"/>
                <w:sz w:val="20"/>
              </w:rPr>
            </w:pPr>
            <w:r>
              <w:rPr>
                <w:b w:val="0"/>
                <w:sz w:val="20"/>
              </w:rPr>
              <w:t>Information on the number of SES and non-SES employees covered by agreements e</w:t>
            </w:r>
            <w:r w:rsidR="003B1A26">
              <w:rPr>
                <w:b w:val="0"/>
                <w:sz w:val="20"/>
              </w:rPr>
              <w:t>tc. identified in paragraph 17AG</w:t>
            </w:r>
            <w:r>
              <w:rPr>
                <w:b w:val="0"/>
                <w:sz w:val="20"/>
              </w:rPr>
              <w:t>(4)(c).</w:t>
            </w:r>
          </w:p>
        </w:tc>
        <w:tc>
          <w:tcPr>
            <w:tcW w:w="1275" w:type="dxa"/>
          </w:tcPr>
          <w:p w:rsidR="00993484" w:rsidRPr="00CB1118" w:rsidRDefault="00993484" w:rsidP="008B7F83">
            <w:pPr>
              <w:pStyle w:val="mhb1"/>
              <w:tabs>
                <w:tab w:val="clear" w:pos="567"/>
              </w:tabs>
              <w:spacing w:before="0"/>
              <w:rPr>
                <w:b w:val="0"/>
                <w:sz w:val="20"/>
              </w:rPr>
            </w:pPr>
            <w:r w:rsidRPr="00CB1118">
              <w:rPr>
                <w:b w:val="0"/>
                <w:sz w:val="20"/>
              </w:rPr>
              <w:t>Mandatory</w:t>
            </w:r>
          </w:p>
        </w:tc>
        <w:tc>
          <w:tcPr>
            <w:tcW w:w="1134" w:type="dxa"/>
          </w:tcPr>
          <w:p w:rsidR="00993484" w:rsidRPr="00EE0730" w:rsidRDefault="00993484" w:rsidP="008B7F83">
            <w:pPr>
              <w:pStyle w:val="mhb1"/>
              <w:tabs>
                <w:tab w:val="clear" w:pos="567"/>
              </w:tabs>
              <w:spacing w:before="0"/>
              <w:rPr>
                <w:b w:val="0"/>
                <w:sz w:val="16"/>
                <w:szCs w:val="16"/>
              </w:rPr>
            </w:pPr>
            <w:r>
              <w:rPr>
                <w:b w:val="0"/>
                <w:sz w:val="16"/>
                <w:szCs w:val="16"/>
              </w:rPr>
              <w:t>Chapter 4 Appendix B</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17AG(4)(c)(ii)</w:t>
            </w:r>
          </w:p>
        </w:tc>
        <w:tc>
          <w:tcPr>
            <w:tcW w:w="760" w:type="dxa"/>
          </w:tcPr>
          <w:p w:rsidR="00971000" w:rsidRDefault="00971000" w:rsidP="007A2DEE">
            <w:pPr>
              <w:pStyle w:val="mhb1"/>
              <w:tabs>
                <w:tab w:val="clear" w:pos="567"/>
              </w:tabs>
              <w:spacing w:before="0"/>
              <w:rPr>
                <w:b w:val="0"/>
                <w:i/>
                <w:sz w:val="20"/>
              </w:rPr>
            </w:pPr>
          </w:p>
        </w:tc>
        <w:tc>
          <w:tcPr>
            <w:tcW w:w="3351" w:type="dxa"/>
          </w:tcPr>
          <w:p w:rsidR="00971000" w:rsidRPr="00CB1118" w:rsidRDefault="00971000" w:rsidP="003C39D9">
            <w:pPr>
              <w:pStyle w:val="mhb1"/>
              <w:tabs>
                <w:tab w:val="clear" w:pos="567"/>
              </w:tabs>
              <w:spacing w:before="0"/>
              <w:rPr>
                <w:b w:val="0"/>
                <w:i/>
                <w:sz w:val="20"/>
              </w:rPr>
            </w:pPr>
            <w:r>
              <w:rPr>
                <w:b w:val="0"/>
                <w:sz w:val="20"/>
              </w:rPr>
              <w:t>The salary ranges available for APS employees by classification level.</w:t>
            </w:r>
          </w:p>
        </w:tc>
        <w:tc>
          <w:tcPr>
            <w:tcW w:w="1275" w:type="dxa"/>
          </w:tcPr>
          <w:p w:rsidR="00971000" w:rsidRPr="00CB1118" w:rsidRDefault="00971000" w:rsidP="008B7F83">
            <w:pPr>
              <w:pStyle w:val="mhb1"/>
              <w:tabs>
                <w:tab w:val="clear" w:pos="567"/>
              </w:tabs>
              <w:spacing w:before="0"/>
              <w:rPr>
                <w:b w:val="0"/>
                <w:sz w:val="20"/>
              </w:rPr>
            </w:pPr>
            <w:r w:rsidRPr="00CB1118">
              <w:rPr>
                <w:b w:val="0"/>
                <w:sz w:val="20"/>
              </w:rPr>
              <w:t>Mandatory</w:t>
            </w:r>
          </w:p>
        </w:tc>
        <w:tc>
          <w:tcPr>
            <w:tcW w:w="1134" w:type="dxa"/>
          </w:tcPr>
          <w:p w:rsidR="00971000" w:rsidRDefault="00971000" w:rsidP="008B7F83">
            <w:pPr>
              <w:pStyle w:val="mhb1"/>
              <w:tabs>
                <w:tab w:val="clear" w:pos="567"/>
              </w:tabs>
              <w:spacing w:before="0"/>
              <w:rPr>
                <w:b w:val="0"/>
                <w:sz w:val="16"/>
                <w:szCs w:val="16"/>
              </w:rPr>
            </w:pPr>
            <w:r>
              <w:rPr>
                <w:b w:val="0"/>
                <w:sz w:val="16"/>
                <w:szCs w:val="16"/>
              </w:rPr>
              <w:t>Appendix B</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17AG(4)(c)(iii)</w:t>
            </w:r>
          </w:p>
        </w:tc>
        <w:tc>
          <w:tcPr>
            <w:tcW w:w="760" w:type="dxa"/>
          </w:tcPr>
          <w:p w:rsidR="00971000" w:rsidRDefault="00971000" w:rsidP="008B7F83">
            <w:pPr>
              <w:pStyle w:val="mhb1"/>
              <w:tabs>
                <w:tab w:val="clear" w:pos="567"/>
              </w:tabs>
              <w:spacing w:before="0"/>
              <w:rPr>
                <w:b w:val="0"/>
                <w:i/>
                <w:sz w:val="20"/>
              </w:rPr>
            </w:pPr>
          </w:p>
        </w:tc>
        <w:tc>
          <w:tcPr>
            <w:tcW w:w="3351" w:type="dxa"/>
          </w:tcPr>
          <w:p w:rsidR="00971000" w:rsidRPr="00CB1118" w:rsidRDefault="00971000" w:rsidP="008B7F83">
            <w:pPr>
              <w:pStyle w:val="mhb1"/>
              <w:tabs>
                <w:tab w:val="clear" w:pos="567"/>
              </w:tabs>
              <w:spacing w:before="0"/>
              <w:rPr>
                <w:b w:val="0"/>
                <w:sz w:val="20"/>
              </w:rPr>
            </w:pPr>
            <w:r>
              <w:rPr>
                <w:b w:val="0"/>
                <w:sz w:val="20"/>
              </w:rPr>
              <w:t>A description of non-salary benefits provided to employees.</w:t>
            </w:r>
          </w:p>
        </w:tc>
        <w:tc>
          <w:tcPr>
            <w:tcW w:w="1275" w:type="dxa"/>
          </w:tcPr>
          <w:p w:rsidR="00971000" w:rsidRPr="00CB1118" w:rsidRDefault="00971000" w:rsidP="008B7F83">
            <w:pPr>
              <w:pStyle w:val="mhb1"/>
              <w:tabs>
                <w:tab w:val="clear" w:pos="567"/>
              </w:tabs>
              <w:spacing w:before="0"/>
              <w:rPr>
                <w:b w:val="0"/>
                <w:sz w:val="20"/>
              </w:rPr>
            </w:pPr>
            <w:r w:rsidRPr="00CB1118">
              <w:rPr>
                <w:b w:val="0"/>
                <w:sz w:val="20"/>
              </w:rPr>
              <w:t>Mandatory</w:t>
            </w:r>
          </w:p>
        </w:tc>
        <w:tc>
          <w:tcPr>
            <w:tcW w:w="1134" w:type="dxa"/>
          </w:tcPr>
          <w:p w:rsidR="00971000" w:rsidRPr="00EE0730" w:rsidRDefault="00971000" w:rsidP="008B7F83">
            <w:pPr>
              <w:pStyle w:val="mhb1"/>
              <w:tabs>
                <w:tab w:val="clear" w:pos="567"/>
              </w:tabs>
              <w:spacing w:before="0"/>
              <w:rPr>
                <w:b w:val="0"/>
                <w:sz w:val="16"/>
                <w:szCs w:val="16"/>
              </w:rPr>
            </w:pPr>
            <w:r>
              <w:rPr>
                <w:b w:val="0"/>
                <w:sz w:val="16"/>
                <w:szCs w:val="16"/>
              </w:rPr>
              <w:t>Chapter 4</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17AG(4)(d)(i)</w:t>
            </w:r>
          </w:p>
        </w:tc>
        <w:tc>
          <w:tcPr>
            <w:tcW w:w="760" w:type="dxa"/>
          </w:tcPr>
          <w:p w:rsidR="00971000" w:rsidRDefault="00971000" w:rsidP="007A2DEE">
            <w:pPr>
              <w:pStyle w:val="mhb1"/>
              <w:tabs>
                <w:tab w:val="clear" w:pos="567"/>
              </w:tabs>
              <w:spacing w:before="0"/>
              <w:jc w:val="center"/>
              <w:rPr>
                <w:b w:val="0"/>
                <w:sz w:val="20"/>
              </w:rPr>
            </w:pPr>
          </w:p>
        </w:tc>
        <w:tc>
          <w:tcPr>
            <w:tcW w:w="3351" w:type="dxa"/>
          </w:tcPr>
          <w:p w:rsidR="00971000" w:rsidRPr="00CB1118" w:rsidRDefault="00971000" w:rsidP="00971000">
            <w:pPr>
              <w:pStyle w:val="mhb1"/>
              <w:tabs>
                <w:tab w:val="clear" w:pos="567"/>
              </w:tabs>
              <w:spacing w:before="0"/>
              <w:rPr>
                <w:b w:val="0"/>
                <w:sz w:val="20"/>
              </w:rPr>
            </w:pPr>
            <w:r>
              <w:rPr>
                <w:b w:val="0"/>
                <w:sz w:val="20"/>
              </w:rPr>
              <w:t>Information on the number of employees at each classification level who received p</w:t>
            </w:r>
            <w:r w:rsidRPr="00CB1118">
              <w:rPr>
                <w:b w:val="0"/>
                <w:sz w:val="20"/>
              </w:rPr>
              <w:t>erformance pay</w:t>
            </w:r>
            <w:r>
              <w:rPr>
                <w:b w:val="0"/>
                <w:sz w:val="20"/>
              </w:rPr>
              <w:t>.</w:t>
            </w:r>
          </w:p>
        </w:tc>
        <w:tc>
          <w:tcPr>
            <w:tcW w:w="1275" w:type="dxa"/>
          </w:tcPr>
          <w:p w:rsidR="00971000" w:rsidRPr="00CB1118" w:rsidRDefault="0097100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971000" w:rsidRPr="00EE0730" w:rsidRDefault="00814442" w:rsidP="007A2DEE">
            <w:pPr>
              <w:pStyle w:val="mhb1"/>
              <w:tabs>
                <w:tab w:val="clear" w:pos="567"/>
              </w:tabs>
              <w:spacing w:before="0"/>
              <w:rPr>
                <w:b w:val="0"/>
                <w:sz w:val="16"/>
                <w:szCs w:val="16"/>
              </w:rPr>
            </w:pPr>
            <w:r>
              <w:rPr>
                <w:b w:val="0"/>
                <w:sz w:val="16"/>
                <w:szCs w:val="16"/>
              </w:rPr>
              <w:t>N/A</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17AG(4)(d)(ii)</w:t>
            </w:r>
          </w:p>
        </w:tc>
        <w:tc>
          <w:tcPr>
            <w:tcW w:w="760" w:type="dxa"/>
          </w:tcPr>
          <w:p w:rsidR="00971000" w:rsidRDefault="00971000" w:rsidP="007A2DEE">
            <w:pPr>
              <w:pStyle w:val="mhb1"/>
              <w:tabs>
                <w:tab w:val="clear" w:pos="567"/>
              </w:tabs>
              <w:spacing w:before="0"/>
              <w:rPr>
                <w:b w:val="0"/>
                <w:i/>
                <w:sz w:val="20"/>
              </w:rPr>
            </w:pPr>
          </w:p>
        </w:tc>
        <w:tc>
          <w:tcPr>
            <w:tcW w:w="3351" w:type="dxa"/>
          </w:tcPr>
          <w:p w:rsidR="00971000" w:rsidRPr="00CB1118" w:rsidRDefault="00971000" w:rsidP="00971000">
            <w:pPr>
              <w:pStyle w:val="mhb1"/>
              <w:tabs>
                <w:tab w:val="clear" w:pos="567"/>
              </w:tabs>
              <w:spacing w:before="0"/>
              <w:rPr>
                <w:b w:val="0"/>
                <w:sz w:val="20"/>
              </w:rPr>
            </w:pPr>
            <w:r>
              <w:rPr>
                <w:b w:val="0"/>
                <w:sz w:val="20"/>
              </w:rPr>
              <w:t>Information on aggregate amounts of performance pay at each classification level.</w:t>
            </w:r>
          </w:p>
        </w:tc>
        <w:tc>
          <w:tcPr>
            <w:tcW w:w="1275" w:type="dxa"/>
          </w:tcPr>
          <w:p w:rsidR="00971000" w:rsidRPr="00CB1118" w:rsidRDefault="0097100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971000" w:rsidRPr="00EE0730" w:rsidRDefault="00814442" w:rsidP="007A2DEE">
            <w:pPr>
              <w:pStyle w:val="mhb1"/>
              <w:tabs>
                <w:tab w:val="clear" w:pos="567"/>
              </w:tabs>
              <w:spacing w:before="0"/>
              <w:rPr>
                <w:b w:val="0"/>
                <w:sz w:val="16"/>
                <w:szCs w:val="16"/>
              </w:rPr>
            </w:pPr>
            <w:r>
              <w:rPr>
                <w:b w:val="0"/>
                <w:sz w:val="16"/>
                <w:szCs w:val="16"/>
              </w:rPr>
              <w:t>N/A</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17AG(4)(d)(iii)</w:t>
            </w:r>
          </w:p>
        </w:tc>
        <w:tc>
          <w:tcPr>
            <w:tcW w:w="760" w:type="dxa"/>
          </w:tcPr>
          <w:p w:rsidR="00971000" w:rsidRDefault="00971000" w:rsidP="007A2DEE">
            <w:pPr>
              <w:pStyle w:val="mhb1"/>
              <w:tabs>
                <w:tab w:val="clear" w:pos="567"/>
              </w:tabs>
              <w:spacing w:before="0"/>
              <w:rPr>
                <w:b w:val="0"/>
                <w:i/>
                <w:sz w:val="20"/>
              </w:rPr>
            </w:pPr>
          </w:p>
        </w:tc>
        <w:tc>
          <w:tcPr>
            <w:tcW w:w="3351" w:type="dxa"/>
          </w:tcPr>
          <w:p w:rsidR="00971000" w:rsidRPr="00CB1118" w:rsidRDefault="00971000" w:rsidP="00971000">
            <w:pPr>
              <w:pStyle w:val="mhb1"/>
              <w:tabs>
                <w:tab w:val="clear" w:pos="567"/>
              </w:tabs>
              <w:spacing w:before="0"/>
              <w:rPr>
                <w:b w:val="0"/>
                <w:sz w:val="20"/>
              </w:rPr>
            </w:pPr>
            <w:r>
              <w:rPr>
                <w:b w:val="0"/>
                <w:sz w:val="20"/>
              </w:rPr>
              <w:t>Information on the average amount of performance payment, and range of such payments, at each classification level.</w:t>
            </w:r>
          </w:p>
        </w:tc>
        <w:tc>
          <w:tcPr>
            <w:tcW w:w="1275" w:type="dxa"/>
          </w:tcPr>
          <w:p w:rsidR="00971000" w:rsidRPr="00CB1118" w:rsidRDefault="0097100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971000" w:rsidRPr="00EE0730" w:rsidRDefault="00814442" w:rsidP="007A2DEE">
            <w:pPr>
              <w:pStyle w:val="mhb1"/>
              <w:tabs>
                <w:tab w:val="clear" w:pos="567"/>
              </w:tabs>
              <w:spacing w:before="0"/>
              <w:rPr>
                <w:b w:val="0"/>
                <w:sz w:val="16"/>
                <w:szCs w:val="16"/>
              </w:rPr>
            </w:pPr>
            <w:r>
              <w:rPr>
                <w:b w:val="0"/>
                <w:sz w:val="16"/>
                <w:szCs w:val="16"/>
              </w:rPr>
              <w:t>N/A</w:t>
            </w:r>
          </w:p>
        </w:tc>
      </w:tr>
      <w:tr w:rsidR="00971000" w:rsidTr="002D48EF">
        <w:trPr>
          <w:cantSplit/>
          <w:trHeight w:val="50"/>
        </w:trPr>
        <w:tc>
          <w:tcPr>
            <w:tcW w:w="908" w:type="dxa"/>
          </w:tcPr>
          <w:p w:rsidR="00971000" w:rsidRDefault="00971000" w:rsidP="008B7F83">
            <w:pPr>
              <w:pStyle w:val="mhb1"/>
              <w:tabs>
                <w:tab w:val="clear" w:pos="567"/>
              </w:tabs>
              <w:spacing w:before="0"/>
              <w:jc w:val="center"/>
              <w:rPr>
                <w:b w:val="0"/>
                <w:sz w:val="16"/>
              </w:rPr>
            </w:pPr>
            <w:r>
              <w:rPr>
                <w:b w:val="0"/>
                <w:sz w:val="16"/>
              </w:rPr>
              <w:t>17AG(4)(d)(iv)</w:t>
            </w:r>
          </w:p>
        </w:tc>
        <w:tc>
          <w:tcPr>
            <w:tcW w:w="760" w:type="dxa"/>
          </w:tcPr>
          <w:p w:rsidR="00971000" w:rsidRDefault="00971000" w:rsidP="007A2DEE">
            <w:pPr>
              <w:pStyle w:val="mhb1"/>
              <w:tabs>
                <w:tab w:val="clear" w:pos="567"/>
              </w:tabs>
              <w:spacing w:before="0"/>
              <w:rPr>
                <w:b w:val="0"/>
                <w:i/>
                <w:sz w:val="20"/>
              </w:rPr>
            </w:pPr>
          </w:p>
        </w:tc>
        <w:tc>
          <w:tcPr>
            <w:tcW w:w="3351" w:type="dxa"/>
          </w:tcPr>
          <w:p w:rsidR="00971000" w:rsidRPr="00CB1118" w:rsidRDefault="00971000" w:rsidP="008B7F83">
            <w:pPr>
              <w:pStyle w:val="mhb1"/>
              <w:tabs>
                <w:tab w:val="clear" w:pos="567"/>
              </w:tabs>
              <w:spacing w:before="0"/>
              <w:rPr>
                <w:b w:val="0"/>
                <w:sz w:val="20"/>
              </w:rPr>
            </w:pPr>
            <w:r>
              <w:rPr>
                <w:b w:val="0"/>
                <w:sz w:val="20"/>
              </w:rPr>
              <w:t>Information on aggregate amount of performance payments.</w:t>
            </w:r>
          </w:p>
        </w:tc>
        <w:tc>
          <w:tcPr>
            <w:tcW w:w="1275" w:type="dxa"/>
          </w:tcPr>
          <w:p w:rsidR="00971000" w:rsidRPr="00CB1118" w:rsidRDefault="00971000" w:rsidP="008B7F83">
            <w:pPr>
              <w:pStyle w:val="mhb1"/>
              <w:tabs>
                <w:tab w:val="clear" w:pos="567"/>
              </w:tabs>
              <w:spacing w:before="0"/>
              <w:rPr>
                <w:b w:val="0"/>
                <w:sz w:val="20"/>
              </w:rPr>
            </w:pPr>
            <w:r>
              <w:rPr>
                <w:b w:val="0"/>
                <w:sz w:val="20"/>
              </w:rPr>
              <w:t xml:space="preserve">If applicable, </w:t>
            </w:r>
            <w:r w:rsidRPr="00CB1118">
              <w:rPr>
                <w:b w:val="0"/>
                <w:sz w:val="20"/>
              </w:rPr>
              <w:t>Mandatory</w:t>
            </w:r>
          </w:p>
        </w:tc>
        <w:tc>
          <w:tcPr>
            <w:tcW w:w="1134" w:type="dxa"/>
          </w:tcPr>
          <w:p w:rsidR="00971000" w:rsidRPr="00EE0730" w:rsidRDefault="00814442" w:rsidP="007A2DEE">
            <w:pPr>
              <w:pStyle w:val="mhb1"/>
              <w:tabs>
                <w:tab w:val="clear" w:pos="567"/>
              </w:tabs>
              <w:spacing w:before="0"/>
              <w:rPr>
                <w:b w:val="0"/>
                <w:sz w:val="16"/>
                <w:szCs w:val="16"/>
              </w:rPr>
            </w:pPr>
            <w:r>
              <w:rPr>
                <w:b w:val="0"/>
                <w:sz w:val="16"/>
                <w:szCs w:val="16"/>
              </w:rPr>
              <w:t>N/A</w:t>
            </w:r>
          </w:p>
        </w:tc>
      </w:tr>
      <w:tr w:rsidR="000C5713" w:rsidTr="002D48EF">
        <w:trPr>
          <w:cantSplit/>
          <w:trHeight w:val="50"/>
        </w:trPr>
        <w:tc>
          <w:tcPr>
            <w:tcW w:w="908" w:type="dxa"/>
          </w:tcPr>
          <w:p w:rsidR="000C5713" w:rsidRDefault="000C5713" w:rsidP="007A2DEE">
            <w:pPr>
              <w:pStyle w:val="mhb1"/>
              <w:tabs>
                <w:tab w:val="clear" w:pos="567"/>
              </w:tabs>
              <w:spacing w:before="0"/>
              <w:jc w:val="center"/>
              <w:rPr>
                <w:b w:val="0"/>
                <w:sz w:val="16"/>
              </w:rPr>
            </w:pPr>
          </w:p>
        </w:tc>
        <w:tc>
          <w:tcPr>
            <w:tcW w:w="6520" w:type="dxa"/>
            <w:gridSpan w:val="4"/>
          </w:tcPr>
          <w:p w:rsidR="000C5713" w:rsidRPr="00814442" w:rsidRDefault="00814442" w:rsidP="007A2DEE">
            <w:pPr>
              <w:pStyle w:val="mhb1"/>
              <w:tabs>
                <w:tab w:val="clear" w:pos="567"/>
              </w:tabs>
              <w:spacing w:before="0"/>
              <w:rPr>
                <w:i/>
                <w:sz w:val="20"/>
              </w:rPr>
            </w:pPr>
            <w:r>
              <w:rPr>
                <w:i/>
                <w:sz w:val="20"/>
              </w:rPr>
              <w:t>Assets M</w:t>
            </w:r>
            <w:r w:rsidR="000C5713" w:rsidRPr="00814442">
              <w:rPr>
                <w:i/>
                <w:sz w:val="20"/>
              </w:rPr>
              <w:t>anagement</w:t>
            </w:r>
          </w:p>
        </w:tc>
      </w:tr>
      <w:tr w:rsidR="000C5713" w:rsidTr="002D48EF">
        <w:trPr>
          <w:cantSplit/>
          <w:trHeight w:val="50"/>
        </w:trPr>
        <w:tc>
          <w:tcPr>
            <w:tcW w:w="908" w:type="dxa"/>
          </w:tcPr>
          <w:p w:rsidR="000C5713" w:rsidRDefault="00814442" w:rsidP="00DC2406">
            <w:pPr>
              <w:pStyle w:val="mhb1"/>
              <w:tabs>
                <w:tab w:val="clear" w:pos="567"/>
              </w:tabs>
              <w:spacing w:before="0"/>
              <w:jc w:val="center"/>
              <w:rPr>
                <w:b w:val="0"/>
                <w:sz w:val="16"/>
              </w:rPr>
            </w:pPr>
            <w:r>
              <w:rPr>
                <w:b w:val="0"/>
                <w:sz w:val="16"/>
              </w:rPr>
              <w:t>17AG(5)</w:t>
            </w:r>
          </w:p>
        </w:tc>
        <w:tc>
          <w:tcPr>
            <w:tcW w:w="760" w:type="dxa"/>
          </w:tcPr>
          <w:p w:rsidR="000C5713" w:rsidRPr="00B619F8" w:rsidRDefault="000C5713" w:rsidP="007A2DEE">
            <w:pPr>
              <w:pStyle w:val="mhb1"/>
              <w:tabs>
                <w:tab w:val="clear" w:pos="567"/>
              </w:tabs>
              <w:spacing w:before="0"/>
              <w:rPr>
                <w:b w:val="0"/>
                <w:sz w:val="20"/>
              </w:rPr>
            </w:pPr>
          </w:p>
        </w:tc>
        <w:tc>
          <w:tcPr>
            <w:tcW w:w="3351" w:type="dxa"/>
          </w:tcPr>
          <w:p w:rsidR="000C5713" w:rsidRPr="00CB1118" w:rsidRDefault="00814442" w:rsidP="00814442">
            <w:pPr>
              <w:pStyle w:val="mhb1"/>
              <w:tabs>
                <w:tab w:val="clear" w:pos="567"/>
              </w:tabs>
              <w:spacing w:before="0"/>
              <w:rPr>
                <w:b w:val="0"/>
                <w:sz w:val="20"/>
              </w:rPr>
            </w:pPr>
            <w:r>
              <w:rPr>
                <w:b w:val="0"/>
                <w:sz w:val="20"/>
              </w:rPr>
              <w:t>An a</w:t>
            </w:r>
            <w:r w:rsidR="000C5713" w:rsidRPr="00CB1118">
              <w:rPr>
                <w:b w:val="0"/>
                <w:sz w:val="20"/>
              </w:rPr>
              <w:t>ssessment of effectiveness of assets management</w:t>
            </w:r>
            <w:r>
              <w:rPr>
                <w:b w:val="0"/>
                <w:sz w:val="20"/>
              </w:rPr>
              <w:t xml:space="preserve"> where asset management is a significant part of the entity’s activities.</w:t>
            </w:r>
            <w:r w:rsidR="000C5713" w:rsidRPr="00CB1118">
              <w:rPr>
                <w:b w:val="0"/>
                <w:sz w:val="20"/>
              </w:rPr>
              <w:t xml:space="preserve"> </w:t>
            </w:r>
          </w:p>
        </w:tc>
        <w:tc>
          <w:tcPr>
            <w:tcW w:w="1275" w:type="dxa"/>
          </w:tcPr>
          <w:p w:rsidR="000C5713" w:rsidRPr="00CB1118" w:rsidRDefault="00F402F1" w:rsidP="007A2DEE">
            <w:pPr>
              <w:pStyle w:val="mhb1"/>
              <w:tabs>
                <w:tab w:val="clear" w:pos="567"/>
              </w:tabs>
              <w:spacing w:before="0"/>
              <w:rPr>
                <w:b w:val="0"/>
                <w:sz w:val="20"/>
              </w:rPr>
            </w:pPr>
            <w:r>
              <w:rPr>
                <w:b w:val="0"/>
                <w:sz w:val="20"/>
              </w:rPr>
              <w:t>If applicable, M</w:t>
            </w:r>
            <w:r w:rsidR="000C5713" w:rsidRPr="00CB1118">
              <w:rPr>
                <w:b w:val="0"/>
                <w:sz w:val="20"/>
              </w:rPr>
              <w:t>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N/A</w:t>
            </w:r>
          </w:p>
        </w:tc>
      </w:tr>
      <w:tr w:rsidR="000C5713" w:rsidTr="002D48EF">
        <w:trPr>
          <w:cantSplit/>
          <w:trHeight w:val="50"/>
        </w:trPr>
        <w:tc>
          <w:tcPr>
            <w:tcW w:w="908" w:type="dxa"/>
          </w:tcPr>
          <w:p w:rsidR="000C5713" w:rsidRDefault="000C5713" w:rsidP="007A2DEE">
            <w:pPr>
              <w:pStyle w:val="mhb1"/>
              <w:tabs>
                <w:tab w:val="clear" w:pos="567"/>
              </w:tabs>
              <w:spacing w:before="0"/>
              <w:jc w:val="center"/>
              <w:rPr>
                <w:b w:val="0"/>
                <w:sz w:val="16"/>
              </w:rPr>
            </w:pPr>
          </w:p>
        </w:tc>
        <w:tc>
          <w:tcPr>
            <w:tcW w:w="6520" w:type="dxa"/>
            <w:gridSpan w:val="4"/>
          </w:tcPr>
          <w:p w:rsidR="000C5713" w:rsidRPr="00814442" w:rsidRDefault="000C5713" w:rsidP="007A2DEE">
            <w:pPr>
              <w:pStyle w:val="mhb1"/>
              <w:tabs>
                <w:tab w:val="clear" w:pos="567"/>
              </w:tabs>
              <w:spacing w:before="0"/>
              <w:rPr>
                <w:i/>
                <w:sz w:val="20"/>
              </w:rPr>
            </w:pPr>
            <w:r w:rsidRPr="00814442">
              <w:rPr>
                <w:i/>
                <w:sz w:val="20"/>
              </w:rPr>
              <w:t>Purchasing</w:t>
            </w:r>
          </w:p>
        </w:tc>
      </w:tr>
      <w:tr w:rsidR="00814442" w:rsidTr="002D48EF">
        <w:trPr>
          <w:cantSplit/>
          <w:trHeight w:val="50"/>
        </w:trPr>
        <w:tc>
          <w:tcPr>
            <w:tcW w:w="908" w:type="dxa"/>
          </w:tcPr>
          <w:p w:rsidR="00814442" w:rsidRDefault="00814442" w:rsidP="008B7F83">
            <w:pPr>
              <w:pStyle w:val="mhb1"/>
              <w:tabs>
                <w:tab w:val="clear" w:pos="567"/>
              </w:tabs>
              <w:spacing w:before="0"/>
              <w:jc w:val="center"/>
              <w:rPr>
                <w:b w:val="0"/>
                <w:sz w:val="16"/>
              </w:rPr>
            </w:pPr>
            <w:r>
              <w:rPr>
                <w:b w:val="0"/>
                <w:sz w:val="16"/>
              </w:rPr>
              <w:lastRenderedPageBreak/>
              <w:t>17AG(6)</w:t>
            </w:r>
          </w:p>
        </w:tc>
        <w:tc>
          <w:tcPr>
            <w:tcW w:w="760" w:type="dxa"/>
          </w:tcPr>
          <w:p w:rsidR="00814442" w:rsidRPr="00B619F8" w:rsidRDefault="00814442" w:rsidP="007A2DEE">
            <w:pPr>
              <w:pStyle w:val="mhb1"/>
              <w:tabs>
                <w:tab w:val="clear" w:pos="567"/>
              </w:tabs>
              <w:spacing w:before="0"/>
              <w:rPr>
                <w:b w:val="0"/>
                <w:sz w:val="20"/>
              </w:rPr>
            </w:pPr>
          </w:p>
        </w:tc>
        <w:tc>
          <w:tcPr>
            <w:tcW w:w="3351" w:type="dxa"/>
          </w:tcPr>
          <w:p w:rsidR="00814442" w:rsidRPr="00814442" w:rsidRDefault="00814442" w:rsidP="00814442">
            <w:pPr>
              <w:pStyle w:val="mhb1"/>
              <w:tabs>
                <w:tab w:val="clear" w:pos="567"/>
              </w:tabs>
              <w:spacing w:before="0"/>
              <w:rPr>
                <w:b w:val="0"/>
                <w:sz w:val="20"/>
              </w:rPr>
            </w:pPr>
            <w:r>
              <w:rPr>
                <w:b w:val="0"/>
                <w:sz w:val="20"/>
              </w:rPr>
              <w:t>An a</w:t>
            </w:r>
            <w:r w:rsidRPr="00CB1118">
              <w:rPr>
                <w:b w:val="0"/>
                <w:sz w:val="20"/>
              </w:rPr>
              <w:t xml:space="preserve">ssessment of </w:t>
            </w:r>
            <w:r>
              <w:rPr>
                <w:b w:val="0"/>
                <w:sz w:val="20"/>
              </w:rPr>
              <w:t xml:space="preserve">entity performance against the </w:t>
            </w:r>
            <w:r>
              <w:rPr>
                <w:b w:val="0"/>
                <w:i/>
                <w:sz w:val="20"/>
              </w:rPr>
              <w:t>Commonwealth Procurement Rules</w:t>
            </w:r>
            <w:r>
              <w:rPr>
                <w:b w:val="0"/>
                <w:sz w:val="20"/>
              </w:rPr>
              <w:t>.</w:t>
            </w:r>
          </w:p>
        </w:tc>
        <w:tc>
          <w:tcPr>
            <w:tcW w:w="1275" w:type="dxa"/>
          </w:tcPr>
          <w:p w:rsidR="00814442" w:rsidRPr="00CB1118" w:rsidRDefault="00814442" w:rsidP="007A2DEE">
            <w:pPr>
              <w:pStyle w:val="mhb1"/>
              <w:tabs>
                <w:tab w:val="clear" w:pos="567"/>
              </w:tabs>
              <w:spacing w:before="0"/>
              <w:rPr>
                <w:b w:val="0"/>
                <w:sz w:val="20"/>
              </w:rPr>
            </w:pPr>
            <w:r w:rsidRPr="00CB1118">
              <w:rPr>
                <w:b w:val="0"/>
                <w:sz w:val="20"/>
              </w:rPr>
              <w:t>Mandatory</w:t>
            </w:r>
          </w:p>
        </w:tc>
        <w:tc>
          <w:tcPr>
            <w:tcW w:w="1134" w:type="dxa"/>
          </w:tcPr>
          <w:p w:rsidR="00814442" w:rsidRPr="00EE0730" w:rsidRDefault="00814442" w:rsidP="007A2DEE">
            <w:pPr>
              <w:pStyle w:val="mhb1"/>
              <w:tabs>
                <w:tab w:val="clear" w:pos="567"/>
              </w:tabs>
              <w:spacing w:before="0"/>
              <w:rPr>
                <w:b w:val="0"/>
                <w:sz w:val="16"/>
                <w:szCs w:val="16"/>
              </w:rPr>
            </w:pPr>
            <w:r>
              <w:rPr>
                <w:b w:val="0"/>
                <w:sz w:val="16"/>
                <w:szCs w:val="16"/>
              </w:rPr>
              <w:t>Chapter 5</w:t>
            </w:r>
          </w:p>
        </w:tc>
      </w:tr>
      <w:tr w:rsidR="000C5713" w:rsidTr="002D48EF">
        <w:trPr>
          <w:cantSplit/>
          <w:trHeight w:val="50"/>
        </w:trPr>
        <w:tc>
          <w:tcPr>
            <w:tcW w:w="908" w:type="dxa"/>
          </w:tcPr>
          <w:p w:rsidR="000C5713" w:rsidRDefault="000C5713" w:rsidP="007A2DEE">
            <w:pPr>
              <w:pStyle w:val="mhb1"/>
              <w:tabs>
                <w:tab w:val="clear" w:pos="567"/>
              </w:tabs>
              <w:spacing w:before="0"/>
              <w:jc w:val="center"/>
              <w:rPr>
                <w:b w:val="0"/>
                <w:sz w:val="16"/>
              </w:rPr>
            </w:pPr>
          </w:p>
        </w:tc>
        <w:tc>
          <w:tcPr>
            <w:tcW w:w="6520" w:type="dxa"/>
            <w:gridSpan w:val="4"/>
          </w:tcPr>
          <w:p w:rsidR="000C5713" w:rsidRPr="00814442" w:rsidRDefault="000C5713" w:rsidP="00814442">
            <w:pPr>
              <w:pStyle w:val="mhb1"/>
              <w:tabs>
                <w:tab w:val="clear" w:pos="567"/>
              </w:tabs>
              <w:spacing w:before="0"/>
              <w:rPr>
                <w:i/>
                <w:sz w:val="20"/>
              </w:rPr>
            </w:pPr>
            <w:r w:rsidRPr="00814442">
              <w:rPr>
                <w:i/>
                <w:sz w:val="20"/>
              </w:rPr>
              <w:t xml:space="preserve">Consultants </w:t>
            </w:r>
          </w:p>
        </w:tc>
      </w:tr>
      <w:tr w:rsidR="000C5713" w:rsidTr="00290F08">
        <w:trPr>
          <w:trHeight w:val="50"/>
        </w:trPr>
        <w:tc>
          <w:tcPr>
            <w:tcW w:w="908" w:type="dxa"/>
          </w:tcPr>
          <w:p w:rsidR="000C5713" w:rsidRDefault="00814442" w:rsidP="00DC2406">
            <w:pPr>
              <w:pStyle w:val="mhb1"/>
              <w:tabs>
                <w:tab w:val="clear" w:pos="567"/>
              </w:tabs>
              <w:spacing w:before="0"/>
              <w:jc w:val="center"/>
              <w:rPr>
                <w:b w:val="0"/>
                <w:sz w:val="16"/>
              </w:rPr>
            </w:pPr>
            <w:r>
              <w:rPr>
                <w:b w:val="0"/>
                <w:sz w:val="16"/>
              </w:rPr>
              <w:t>17AG(7)(a)</w:t>
            </w:r>
          </w:p>
        </w:tc>
        <w:tc>
          <w:tcPr>
            <w:tcW w:w="760" w:type="dxa"/>
          </w:tcPr>
          <w:p w:rsidR="000C5713" w:rsidRPr="00B619F8" w:rsidRDefault="000C5713" w:rsidP="007A2DEE">
            <w:pPr>
              <w:pStyle w:val="mhb1"/>
              <w:tabs>
                <w:tab w:val="clear" w:pos="567"/>
              </w:tabs>
              <w:spacing w:before="0"/>
              <w:rPr>
                <w:b w:val="0"/>
                <w:sz w:val="20"/>
              </w:rPr>
            </w:pPr>
          </w:p>
        </w:tc>
        <w:tc>
          <w:tcPr>
            <w:tcW w:w="3351" w:type="dxa"/>
          </w:tcPr>
          <w:p w:rsidR="000C5713" w:rsidRPr="002F4DFE" w:rsidRDefault="00814442" w:rsidP="00814442">
            <w:pPr>
              <w:rPr>
                <w:b/>
                <w:sz w:val="20"/>
                <w:szCs w:val="20"/>
              </w:rPr>
            </w:pPr>
            <w:r>
              <w:rPr>
                <w:sz w:val="20"/>
                <w:szCs w:val="20"/>
              </w:rPr>
              <w:t>A summ</w:t>
            </w:r>
            <w:r w:rsidR="000C5713" w:rsidRPr="00CB1118">
              <w:rPr>
                <w:sz w:val="20"/>
                <w:szCs w:val="20"/>
              </w:rPr>
              <w:t xml:space="preserve">ary statement detailing the number of new </w:t>
            </w:r>
            <w:r>
              <w:rPr>
                <w:sz w:val="20"/>
                <w:szCs w:val="20"/>
              </w:rPr>
              <w:t>contracts engaging consultants entered into</w:t>
            </w:r>
            <w:r w:rsidR="000C5713" w:rsidRPr="00CB1118">
              <w:rPr>
                <w:sz w:val="20"/>
                <w:szCs w:val="20"/>
              </w:rPr>
              <w:t xml:space="preserve"> during the </w:t>
            </w:r>
            <w:r>
              <w:rPr>
                <w:sz w:val="20"/>
                <w:szCs w:val="20"/>
              </w:rPr>
              <w:t>period</w:t>
            </w:r>
            <w:r w:rsidR="000C5713" w:rsidRPr="00CB1118">
              <w:rPr>
                <w:sz w:val="20"/>
                <w:szCs w:val="20"/>
              </w:rPr>
              <w:t xml:space="preserve">; the total actual expenditure on all new consultancy contracts </w:t>
            </w:r>
            <w:r>
              <w:rPr>
                <w:sz w:val="20"/>
                <w:szCs w:val="20"/>
              </w:rPr>
              <w:t>entered into</w:t>
            </w:r>
            <w:r w:rsidR="000C5713" w:rsidRPr="00CB1118">
              <w:rPr>
                <w:sz w:val="20"/>
                <w:szCs w:val="20"/>
              </w:rPr>
              <w:t xml:space="preserve"> during the </w:t>
            </w:r>
            <w:r>
              <w:rPr>
                <w:sz w:val="20"/>
                <w:szCs w:val="20"/>
              </w:rPr>
              <w:t>period</w:t>
            </w:r>
            <w:r w:rsidR="000C5713" w:rsidRPr="00CB1118">
              <w:rPr>
                <w:sz w:val="20"/>
                <w:szCs w:val="20"/>
              </w:rPr>
              <w:t xml:space="preserve"> (inclusive of GST); the number of ongoing consultancy contracts that were </w:t>
            </w:r>
            <w:r>
              <w:rPr>
                <w:sz w:val="20"/>
                <w:szCs w:val="20"/>
              </w:rPr>
              <w:t>entered into during a previous</w:t>
            </w:r>
            <w:r w:rsidR="000C5713" w:rsidRPr="00CB1118">
              <w:rPr>
                <w:sz w:val="20"/>
                <w:szCs w:val="20"/>
              </w:rPr>
              <w:t xml:space="preserve"> reporting </w:t>
            </w:r>
            <w:r>
              <w:rPr>
                <w:sz w:val="20"/>
                <w:szCs w:val="20"/>
              </w:rPr>
              <w:t>period</w:t>
            </w:r>
            <w:r w:rsidR="000C5713" w:rsidRPr="00CB1118">
              <w:rPr>
                <w:sz w:val="20"/>
                <w:szCs w:val="20"/>
              </w:rPr>
              <w:t>; and the total actual expenditure in the reporting year on the ongoing consultancy contracts (inclusive of GST).</w:t>
            </w:r>
          </w:p>
        </w:tc>
        <w:tc>
          <w:tcPr>
            <w:tcW w:w="1275" w:type="dxa"/>
          </w:tcPr>
          <w:p w:rsidR="000C5713" w:rsidRPr="00CB1118" w:rsidRDefault="000C5713" w:rsidP="007A2DEE">
            <w:pPr>
              <w:pStyle w:val="mhb1"/>
              <w:tabs>
                <w:tab w:val="clear" w:pos="567"/>
              </w:tabs>
              <w:spacing w:before="0"/>
              <w:rPr>
                <w:b w:val="0"/>
                <w:i/>
                <w:sz w:val="20"/>
              </w:rPr>
            </w:pPr>
            <w:r w:rsidRPr="00CB1118">
              <w:rPr>
                <w:b w:val="0"/>
                <w:sz w:val="20"/>
              </w:rPr>
              <w:t>Mandatory</w:t>
            </w:r>
          </w:p>
        </w:tc>
        <w:tc>
          <w:tcPr>
            <w:tcW w:w="1134" w:type="dxa"/>
          </w:tcPr>
          <w:p w:rsidR="000C5713" w:rsidRPr="00EE0730" w:rsidRDefault="000C5713" w:rsidP="007A2DEE">
            <w:pPr>
              <w:pStyle w:val="mhb1"/>
              <w:tabs>
                <w:tab w:val="clear" w:pos="567"/>
              </w:tabs>
              <w:spacing w:before="0"/>
              <w:rPr>
                <w:b w:val="0"/>
                <w:sz w:val="16"/>
                <w:szCs w:val="16"/>
              </w:rPr>
            </w:pPr>
            <w:r>
              <w:rPr>
                <w:b w:val="0"/>
                <w:sz w:val="16"/>
                <w:szCs w:val="16"/>
              </w:rPr>
              <w:t>Chapter 5</w:t>
            </w:r>
          </w:p>
        </w:tc>
      </w:tr>
      <w:tr w:rsidR="00F402F1" w:rsidTr="002D48EF">
        <w:trPr>
          <w:cantSplit/>
          <w:trHeight w:val="50"/>
        </w:trPr>
        <w:tc>
          <w:tcPr>
            <w:tcW w:w="908" w:type="dxa"/>
          </w:tcPr>
          <w:p w:rsidR="00F402F1" w:rsidRDefault="00F402F1" w:rsidP="00DC2406">
            <w:pPr>
              <w:pStyle w:val="mhb1"/>
              <w:tabs>
                <w:tab w:val="clear" w:pos="567"/>
              </w:tabs>
              <w:spacing w:before="0"/>
              <w:jc w:val="center"/>
              <w:rPr>
                <w:b w:val="0"/>
                <w:sz w:val="16"/>
              </w:rPr>
            </w:pPr>
            <w:r>
              <w:rPr>
                <w:b w:val="0"/>
                <w:sz w:val="16"/>
              </w:rPr>
              <w:t>17AG(7)(b)</w:t>
            </w:r>
          </w:p>
        </w:tc>
        <w:tc>
          <w:tcPr>
            <w:tcW w:w="760" w:type="dxa"/>
          </w:tcPr>
          <w:p w:rsidR="00F402F1" w:rsidRPr="00B619F8" w:rsidRDefault="00F402F1" w:rsidP="007A2DEE">
            <w:pPr>
              <w:pStyle w:val="mhb1"/>
              <w:tabs>
                <w:tab w:val="clear" w:pos="567"/>
              </w:tabs>
              <w:spacing w:before="0"/>
              <w:rPr>
                <w:b w:val="0"/>
                <w:sz w:val="20"/>
              </w:rPr>
            </w:pPr>
          </w:p>
        </w:tc>
        <w:tc>
          <w:tcPr>
            <w:tcW w:w="3351" w:type="dxa"/>
          </w:tcPr>
          <w:p w:rsidR="00F402F1" w:rsidRPr="00F402F1" w:rsidRDefault="00F402F1" w:rsidP="00814442">
            <w:pPr>
              <w:rPr>
                <w:sz w:val="20"/>
                <w:szCs w:val="20"/>
              </w:rPr>
            </w:pPr>
            <w:r>
              <w:rPr>
                <w:sz w:val="20"/>
                <w:szCs w:val="20"/>
              </w:rPr>
              <w:t xml:space="preserve">A statement that </w:t>
            </w:r>
            <w:r>
              <w:rPr>
                <w:i/>
                <w:sz w:val="20"/>
                <w:szCs w:val="20"/>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p>
        </w:tc>
        <w:tc>
          <w:tcPr>
            <w:tcW w:w="1275" w:type="dxa"/>
          </w:tcPr>
          <w:p w:rsidR="00F402F1" w:rsidRPr="00CB1118" w:rsidRDefault="00F402F1" w:rsidP="008B7F83">
            <w:pPr>
              <w:pStyle w:val="mhb1"/>
              <w:tabs>
                <w:tab w:val="clear" w:pos="567"/>
              </w:tabs>
              <w:spacing w:before="0"/>
              <w:rPr>
                <w:b w:val="0"/>
                <w:i/>
                <w:sz w:val="20"/>
              </w:rPr>
            </w:pPr>
            <w:r w:rsidRPr="00CB1118">
              <w:rPr>
                <w:b w:val="0"/>
                <w:sz w:val="20"/>
              </w:rPr>
              <w:t>Mandatory</w:t>
            </w:r>
          </w:p>
        </w:tc>
        <w:tc>
          <w:tcPr>
            <w:tcW w:w="1134" w:type="dxa"/>
          </w:tcPr>
          <w:p w:rsidR="00F402F1" w:rsidRPr="00EE0730" w:rsidRDefault="00F402F1" w:rsidP="008B7F83">
            <w:pPr>
              <w:pStyle w:val="mhb1"/>
              <w:tabs>
                <w:tab w:val="clear" w:pos="567"/>
              </w:tabs>
              <w:spacing w:before="0"/>
              <w:rPr>
                <w:b w:val="0"/>
                <w:sz w:val="16"/>
                <w:szCs w:val="16"/>
              </w:rPr>
            </w:pPr>
            <w:r>
              <w:rPr>
                <w:b w:val="0"/>
                <w:sz w:val="16"/>
                <w:szCs w:val="16"/>
              </w:rPr>
              <w:t>Chapter 5</w:t>
            </w:r>
          </w:p>
        </w:tc>
      </w:tr>
      <w:tr w:rsidR="00F402F1" w:rsidTr="002D48EF">
        <w:trPr>
          <w:cantSplit/>
          <w:trHeight w:val="50"/>
        </w:trPr>
        <w:tc>
          <w:tcPr>
            <w:tcW w:w="908" w:type="dxa"/>
          </w:tcPr>
          <w:p w:rsidR="00F402F1" w:rsidRDefault="00F402F1" w:rsidP="008B7F83">
            <w:pPr>
              <w:pStyle w:val="mhb1"/>
              <w:tabs>
                <w:tab w:val="clear" w:pos="567"/>
              </w:tabs>
              <w:spacing w:before="0"/>
              <w:jc w:val="center"/>
              <w:rPr>
                <w:b w:val="0"/>
                <w:sz w:val="16"/>
              </w:rPr>
            </w:pPr>
            <w:r>
              <w:rPr>
                <w:b w:val="0"/>
                <w:sz w:val="16"/>
              </w:rPr>
              <w:t>17AG(7)(c)</w:t>
            </w:r>
          </w:p>
        </w:tc>
        <w:tc>
          <w:tcPr>
            <w:tcW w:w="760" w:type="dxa"/>
          </w:tcPr>
          <w:p w:rsidR="00F402F1" w:rsidRPr="00B619F8" w:rsidRDefault="00F402F1" w:rsidP="007A2DEE">
            <w:pPr>
              <w:pStyle w:val="mhb1"/>
              <w:tabs>
                <w:tab w:val="clear" w:pos="567"/>
              </w:tabs>
              <w:spacing w:before="0"/>
              <w:rPr>
                <w:b w:val="0"/>
                <w:sz w:val="20"/>
              </w:rPr>
            </w:pPr>
          </w:p>
        </w:tc>
        <w:tc>
          <w:tcPr>
            <w:tcW w:w="3351" w:type="dxa"/>
          </w:tcPr>
          <w:p w:rsidR="00F402F1" w:rsidRDefault="00F402F1" w:rsidP="00814442">
            <w:pPr>
              <w:rPr>
                <w:sz w:val="20"/>
                <w:szCs w:val="20"/>
              </w:rPr>
            </w:pPr>
            <w:r>
              <w:rPr>
                <w:sz w:val="20"/>
                <w:szCs w:val="20"/>
              </w:rPr>
              <w:t>A summary of the policies and procedures for selecting and engaging consultants and the main categories of purposes for which consultants were selected and engaged.</w:t>
            </w:r>
          </w:p>
        </w:tc>
        <w:tc>
          <w:tcPr>
            <w:tcW w:w="1275" w:type="dxa"/>
          </w:tcPr>
          <w:p w:rsidR="00F402F1" w:rsidRPr="00CB1118" w:rsidRDefault="00F402F1" w:rsidP="008B7F83">
            <w:pPr>
              <w:pStyle w:val="mhb1"/>
              <w:tabs>
                <w:tab w:val="clear" w:pos="567"/>
              </w:tabs>
              <w:spacing w:before="0"/>
              <w:rPr>
                <w:b w:val="0"/>
                <w:i/>
                <w:sz w:val="20"/>
              </w:rPr>
            </w:pPr>
            <w:r w:rsidRPr="00CB1118">
              <w:rPr>
                <w:b w:val="0"/>
                <w:sz w:val="20"/>
              </w:rPr>
              <w:t>Mandatory</w:t>
            </w:r>
          </w:p>
        </w:tc>
        <w:tc>
          <w:tcPr>
            <w:tcW w:w="1134" w:type="dxa"/>
          </w:tcPr>
          <w:p w:rsidR="00F402F1" w:rsidRPr="00EE0730" w:rsidRDefault="00F402F1" w:rsidP="008B7F83">
            <w:pPr>
              <w:pStyle w:val="mhb1"/>
              <w:tabs>
                <w:tab w:val="clear" w:pos="567"/>
              </w:tabs>
              <w:spacing w:before="0"/>
              <w:rPr>
                <w:b w:val="0"/>
                <w:sz w:val="16"/>
                <w:szCs w:val="16"/>
              </w:rPr>
            </w:pPr>
            <w:r>
              <w:rPr>
                <w:b w:val="0"/>
                <w:sz w:val="16"/>
                <w:szCs w:val="16"/>
              </w:rPr>
              <w:t>Chapter 5</w:t>
            </w:r>
          </w:p>
        </w:tc>
      </w:tr>
      <w:tr w:rsidR="00F402F1" w:rsidTr="002D48EF">
        <w:trPr>
          <w:cantSplit/>
          <w:trHeight w:val="50"/>
        </w:trPr>
        <w:tc>
          <w:tcPr>
            <w:tcW w:w="908" w:type="dxa"/>
          </w:tcPr>
          <w:p w:rsidR="00F402F1" w:rsidRDefault="00F402F1" w:rsidP="008B7F83">
            <w:pPr>
              <w:pStyle w:val="mhb1"/>
              <w:tabs>
                <w:tab w:val="clear" w:pos="567"/>
              </w:tabs>
              <w:spacing w:before="0"/>
              <w:jc w:val="center"/>
              <w:rPr>
                <w:b w:val="0"/>
                <w:sz w:val="16"/>
              </w:rPr>
            </w:pPr>
            <w:r>
              <w:rPr>
                <w:b w:val="0"/>
                <w:sz w:val="16"/>
              </w:rPr>
              <w:t>17AG(7)(d)</w:t>
            </w:r>
          </w:p>
        </w:tc>
        <w:tc>
          <w:tcPr>
            <w:tcW w:w="760" w:type="dxa"/>
          </w:tcPr>
          <w:p w:rsidR="00F402F1" w:rsidRPr="00B619F8" w:rsidRDefault="00F402F1" w:rsidP="007A2DEE">
            <w:pPr>
              <w:pStyle w:val="mhb1"/>
              <w:tabs>
                <w:tab w:val="clear" w:pos="567"/>
              </w:tabs>
              <w:spacing w:before="0"/>
              <w:rPr>
                <w:b w:val="0"/>
                <w:sz w:val="20"/>
              </w:rPr>
            </w:pPr>
          </w:p>
        </w:tc>
        <w:tc>
          <w:tcPr>
            <w:tcW w:w="3351" w:type="dxa"/>
          </w:tcPr>
          <w:p w:rsidR="00F402F1" w:rsidRPr="00F402F1" w:rsidRDefault="00F402F1" w:rsidP="00814442">
            <w:pPr>
              <w:rPr>
                <w:i/>
                <w:sz w:val="20"/>
                <w:szCs w:val="20"/>
              </w:rPr>
            </w:pPr>
            <w:r>
              <w:rPr>
                <w:sz w:val="20"/>
                <w:szCs w:val="20"/>
              </w:rPr>
              <w:t xml:space="preserve">A statement that </w:t>
            </w:r>
            <w:r>
              <w:rPr>
                <w:i/>
                <w:sz w:val="20"/>
                <w:szCs w:val="20"/>
              </w:rPr>
              <w:t>“Annual reports contain information about actual expenditure on contracts for consultancies. Information on the value of contracts and consultancies is available on the AusTender website.”</w:t>
            </w:r>
          </w:p>
        </w:tc>
        <w:tc>
          <w:tcPr>
            <w:tcW w:w="1275" w:type="dxa"/>
          </w:tcPr>
          <w:p w:rsidR="00F402F1" w:rsidRPr="00CB1118" w:rsidRDefault="00F402F1" w:rsidP="008B7F83">
            <w:pPr>
              <w:pStyle w:val="mhb1"/>
              <w:tabs>
                <w:tab w:val="clear" w:pos="567"/>
              </w:tabs>
              <w:spacing w:before="0"/>
              <w:rPr>
                <w:b w:val="0"/>
                <w:i/>
                <w:sz w:val="20"/>
              </w:rPr>
            </w:pPr>
            <w:r w:rsidRPr="00CB1118">
              <w:rPr>
                <w:b w:val="0"/>
                <w:sz w:val="20"/>
              </w:rPr>
              <w:t>Mandatory</w:t>
            </w:r>
          </w:p>
        </w:tc>
        <w:tc>
          <w:tcPr>
            <w:tcW w:w="1134" w:type="dxa"/>
          </w:tcPr>
          <w:p w:rsidR="00F402F1" w:rsidRDefault="00F402F1" w:rsidP="008B7F83">
            <w:pPr>
              <w:pStyle w:val="mhb1"/>
              <w:tabs>
                <w:tab w:val="clear" w:pos="567"/>
              </w:tabs>
              <w:spacing w:before="0"/>
              <w:rPr>
                <w:b w:val="0"/>
                <w:sz w:val="16"/>
                <w:szCs w:val="16"/>
              </w:rPr>
            </w:pPr>
            <w:r>
              <w:rPr>
                <w:b w:val="0"/>
                <w:sz w:val="16"/>
                <w:szCs w:val="16"/>
              </w:rPr>
              <w:t>Chapter 5</w:t>
            </w:r>
          </w:p>
        </w:tc>
      </w:tr>
      <w:tr w:rsidR="00F402F1" w:rsidTr="002D48EF">
        <w:trPr>
          <w:cantSplit/>
          <w:trHeight w:val="50"/>
        </w:trPr>
        <w:tc>
          <w:tcPr>
            <w:tcW w:w="908" w:type="dxa"/>
          </w:tcPr>
          <w:p w:rsidR="00F402F1" w:rsidRDefault="00F402F1" w:rsidP="007A2DEE">
            <w:pPr>
              <w:pStyle w:val="mhb1"/>
              <w:tabs>
                <w:tab w:val="clear" w:pos="567"/>
              </w:tabs>
              <w:spacing w:before="0"/>
              <w:jc w:val="center"/>
              <w:rPr>
                <w:b w:val="0"/>
                <w:sz w:val="16"/>
              </w:rPr>
            </w:pPr>
          </w:p>
        </w:tc>
        <w:tc>
          <w:tcPr>
            <w:tcW w:w="6520" w:type="dxa"/>
            <w:gridSpan w:val="4"/>
          </w:tcPr>
          <w:p w:rsidR="00F402F1" w:rsidRPr="00F402F1" w:rsidRDefault="00F402F1" w:rsidP="007A2DEE">
            <w:pPr>
              <w:pStyle w:val="mhb1"/>
              <w:tabs>
                <w:tab w:val="clear" w:pos="567"/>
              </w:tabs>
              <w:spacing w:before="0"/>
              <w:rPr>
                <w:i/>
                <w:sz w:val="20"/>
              </w:rPr>
            </w:pPr>
            <w:r w:rsidRPr="00F402F1">
              <w:rPr>
                <w:i/>
                <w:sz w:val="20"/>
              </w:rPr>
              <w:t>Australian National Audit Office Access Clauses</w:t>
            </w:r>
          </w:p>
        </w:tc>
      </w:tr>
      <w:tr w:rsidR="00F402F1" w:rsidTr="002D48EF">
        <w:trPr>
          <w:cantSplit/>
          <w:trHeight w:val="50"/>
        </w:trPr>
        <w:tc>
          <w:tcPr>
            <w:tcW w:w="908" w:type="dxa"/>
          </w:tcPr>
          <w:p w:rsidR="00F402F1" w:rsidRDefault="00F402F1" w:rsidP="00F402F1">
            <w:pPr>
              <w:pStyle w:val="mhb1"/>
              <w:tabs>
                <w:tab w:val="clear" w:pos="567"/>
              </w:tabs>
              <w:spacing w:before="0"/>
              <w:jc w:val="center"/>
              <w:rPr>
                <w:b w:val="0"/>
                <w:sz w:val="16"/>
              </w:rPr>
            </w:pPr>
            <w:r>
              <w:rPr>
                <w:b w:val="0"/>
                <w:sz w:val="16"/>
              </w:rPr>
              <w:lastRenderedPageBreak/>
              <w:t>17AG(8)</w:t>
            </w:r>
          </w:p>
        </w:tc>
        <w:tc>
          <w:tcPr>
            <w:tcW w:w="760" w:type="dxa"/>
          </w:tcPr>
          <w:p w:rsidR="00F402F1" w:rsidRDefault="00F402F1" w:rsidP="007A2DEE">
            <w:pPr>
              <w:pStyle w:val="mhb1"/>
              <w:tabs>
                <w:tab w:val="clear" w:pos="567"/>
              </w:tabs>
              <w:spacing w:before="0"/>
              <w:rPr>
                <w:b w:val="0"/>
                <w:i/>
                <w:sz w:val="20"/>
              </w:rPr>
            </w:pPr>
          </w:p>
        </w:tc>
        <w:tc>
          <w:tcPr>
            <w:tcW w:w="3351" w:type="dxa"/>
          </w:tcPr>
          <w:p w:rsidR="00F402F1" w:rsidRPr="00CB1118" w:rsidRDefault="00F402F1" w:rsidP="007A2DEE">
            <w:pPr>
              <w:pStyle w:val="mhb1"/>
              <w:tabs>
                <w:tab w:val="clear" w:pos="567"/>
              </w:tabs>
              <w:spacing w:before="0"/>
              <w:rPr>
                <w:b w:val="0"/>
                <w:sz w:val="20"/>
              </w:rPr>
            </w:pPr>
            <w:r>
              <w:rPr>
                <w:b w:val="0"/>
                <w:sz w:val="20"/>
              </w:rPr>
              <w:t>If an entity entered into a contract with a value of more than $100,000 (inclusive of GST) and the contract did not provide the Auditor-General with access to the contractor’s premises, the report must include the name of the contractor, purpose and value of the contract, and the reason why a clause allowing access was not included in the contract.</w:t>
            </w:r>
          </w:p>
        </w:tc>
        <w:tc>
          <w:tcPr>
            <w:tcW w:w="1275" w:type="dxa"/>
          </w:tcPr>
          <w:p w:rsidR="00F402F1" w:rsidRPr="00CB1118" w:rsidRDefault="00F402F1"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Pr>
          <w:p w:rsidR="00F402F1" w:rsidRPr="00EE0730" w:rsidRDefault="00F402F1" w:rsidP="007A2DEE">
            <w:pPr>
              <w:pStyle w:val="mhb1"/>
              <w:tabs>
                <w:tab w:val="clear" w:pos="567"/>
              </w:tabs>
              <w:spacing w:before="0"/>
              <w:rPr>
                <w:b w:val="0"/>
                <w:sz w:val="16"/>
                <w:szCs w:val="16"/>
              </w:rPr>
            </w:pPr>
            <w:r>
              <w:rPr>
                <w:b w:val="0"/>
                <w:sz w:val="16"/>
                <w:szCs w:val="16"/>
              </w:rPr>
              <w:t>N/A</w:t>
            </w:r>
          </w:p>
        </w:tc>
      </w:tr>
      <w:tr w:rsidR="00F402F1" w:rsidRPr="00A3579C" w:rsidTr="002D4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F402F1" w:rsidRPr="00A3579C" w:rsidRDefault="00F402F1" w:rsidP="007A2DEE">
            <w:pPr>
              <w:pStyle w:val="mhb1"/>
              <w:tabs>
                <w:tab w:val="clear" w:pos="567"/>
              </w:tabs>
              <w:spacing w:before="0"/>
              <w:jc w:val="center"/>
              <w:rPr>
                <w:b w:val="0"/>
                <w:sz w:val="16"/>
              </w:rPr>
            </w:pPr>
          </w:p>
        </w:tc>
        <w:tc>
          <w:tcPr>
            <w:tcW w:w="6520" w:type="dxa"/>
            <w:gridSpan w:val="4"/>
            <w:tcBorders>
              <w:top w:val="single" w:sz="6" w:space="0" w:color="auto"/>
              <w:left w:val="single" w:sz="6" w:space="0" w:color="auto"/>
              <w:bottom w:val="single" w:sz="6" w:space="0" w:color="auto"/>
              <w:right w:val="single" w:sz="6" w:space="0" w:color="auto"/>
            </w:tcBorders>
          </w:tcPr>
          <w:p w:rsidR="00F402F1" w:rsidRPr="003103CF" w:rsidRDefault="00F402F1" w:rsidP="007A2DEE">
            <w:pPr>
              <w:pStyle w:val="mhb1"/>
              <w:tabs>
                <w:tab w:val="clear" w:pos="567"/>
              </w:tabs>
              <w:spacing w:before="0"/>
              <w:rPr>
                <w:i/>
                <w:sz w:val="20"/>
              </w:rPr>
            </w:pPr>
            <w:r w:rsidRPr="003103CF">
              <w:rPr>
                <w:i/>
                <w:sz w:val="20"/>
              </w:rPr>
              <w:t>Exempt contracts</w:t>
            </w:r>
          </w:p>
        </w:tc>
      </w:tr>
      <w:tr w:rsidR="003103CF" w:rsidRPr="00A3579C" w:rsidTr="00290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3103CF" w:rsidRDefault="003103CF" w:rsidP="008B7F83">
            <w:pPr>
              <w:pStyle w:val="mhb1"/>
              <w:tabs>
                <w:tab w:val="clear" w:pos="567"/>
              </w:tabs>
              <w:spacing w:before="0"/>
              <w:jc w:val="center"/>
              <w:rPr>
                <w:b w:val="0"/>
                <w:sz w:val="16"/>
              </w:rPr>
            </w:pPr>
            <w:r>
              <w:rPr>
                <w:b w:val="0"/>
                <w:sz w:val="16"/>
              </w:rPr>
              <w:t>17AG(9)</w:t>
            </w:r>
          </w:p>
        </w:tc>
        <w:tc>
          <w:tcPr>
            <w:tcW w:w="760" w:type="dxa"/>
            <w:tcBorders>
              <w:top w:val="single" w:sz="6" w:space="0" w:color="auto"/>
              <w:left w:val="single" w:sz="6" w:space="0" w:color="auto"/>
              <w:bottom w:val="single" w:sz="6" w:space="0" w:color="auto"/>
              <w:right w:val="single" w:sz="6" w:space="0" w:color="auto"/>
            </w:tcBorders>
          </w:tcPr>
          <w:p w:rsidR="003103CF" w:rsidRPr="00B619F8" w:rsidRDefault="003103CF" w:rsidP="002274D1">
            <w:pPr>
              <w:pStyle w:val="mhb1"/>
              <w:tabs>
                <w:tab w:val="clear" w:pos="567"/>
              </w:tabs>
              <w:spacing w:before="0"/>
              <w:rPr>
                <w:b w:val="0"/>
                <w:sz w:val="20"/>
              </w:rPr>
            </w:pPr>
          </w:p>
        </w:tc>
        <w:tc>
          <w:tcPr>
            <w:tcW w:w="3351" w:type="dxa"/>
            <w:tcBorders>
              <w:top w:val="single" w:sz="6" w:space="0" w:color="auto"/>
              <w:left w:val="single" w:sz="6" w:space="0" w:color="auto"/>
              <w:bottom w:val="single" w:sz="6" w:space="0" w:color="auto"/>
              <w:right w:val="single" w:sz="6" w:space="0" w:color="auto"/>
            </w:tcBorders>
          </w:tcPr>
          <w:p w:rsidR="003103CF" w:rsidRPr="00CB1118" w:rsidRDefault="003103CF" w:rsidP="003103CF">
            <w:pPr>
              <w:pStyle w:val="mhb1"/>
              <w:tabs>
                <w:tab w:val="clear" w:pos="567"/>
              </w:tabs>
              <w:spacing w:before="0"/>
              <w:rPr>
                <w:b w:val="0"/>
                <w:sz w:val="20"/>
              </w:rPr>
            </w:pPr>
            <w:r>
              <w:rPr>
                <w:b w:val="0"/>
                <w:sz w:val="20"/>
              </w:rPr>
              <w:t>If an entity entered into a contract or there is a standing offer with a value greater than $10,000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275" w:type="dxa"/>
            <w:tcBorders>
              <w:top w:val="single" w:sz="6" w:space="0" w:color="auto"/>
              <w:left w:val="single" w:sz="6" w:space="0" w:color="auto"/>
              <w:bottom w:val="single" w:sz="6" w:space="0" w:color="auto"/>
              <w:right w:val="single" w:sz="6" w:space="0" w:color="auto"/>
            </w:tcBorders>
          </w:tcPr>
          <w:p w:rsidR="003103CF" w:rsidRPr="00CB1118" w:rsidRDefault="003103CF"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Borders>
              <w:top w:val="single" w:sz="6" w:space="0" w:color="auto"/>
              <w:left w:val="single" w:sz="6" w:space="0" w:color="auto"/>
              <w:bottom w:val="single" w:sz="6" w:space="0" w:color="auto"/>
              <w:right w:val="single" w:sz="6" w:space="0" w:color="auto"/>
            </w:tcBorders>
          </w:tcPr>
          <w:p w:rsidR="003103CF" w:rsidRPr="00EE0730" w:rsidRDefault="003103CF" w:rsidP="008B746B">
            <w:pPr>
              <w:pStyle w:val="mhb1"/>
              <w:tabs>
                <w:tab w:val="clear" w:pos="567"/>
              </w:tabs>
              <w:spacing w:before="0"/>
              <w:rPr>
                <w:b w:val="0"/>
                <w:sz w:val="16"/>
                <w:szCs w:val="16"/>
              </w:rPr>
            </w:pPr>
            <w:r>
              <w:rPr>
                <w:b w:val="0"/>
                <w:sz w:val="16"/>
                <w:szCs w:val="16"/>
              </w:rPr>
              <w:t>N/A</w:t>
            </w:r>
          </w:p>
        </w:tc>
      </w:tr>
      <w:tr w:rsidR="00290F08" w:rsidRPr="00A3579C" w:rsidTr="00290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tcBorders>
          </w:tcPr>
          <w:p w:rsidR="00290F08" w:rsidRDefault="00290F08" w:rsidP="002274D1">
            <w:pPr>
              <w:pStyle w:val="mhb1"/>
              <w:tabs>
                <w:tab w:val="clear" w:pos="567"/>
              </w:tabs>
              <w:spacing w:before="0"/>
              <w:jc w:val="center"/>
              <w:rPr>
                <w:b w:val="0"/>
                <w:sz w:val="16"/>
              </w:rPr>
            </w:pPr>
          </w:p>
        </w:tc>
        <w:tc>
          <w:tcPr>
            <w:tcW w:w="6520" w:type="dxa"/>
            <w:gridSpan w:val="4"/>
            <w:tcBorders>
              <w:top w:val="single" w:sz="6" w:space="0" w:color="auto"/>
            </w:tcBorders>
          </w:tcPr>
          <w:p w:rsidR="00290F08" w:rsidRPr="003103CF" w:rsidRDefault="00290F08" w:rsidP="00290F08">
            <w:pPr>
              <w:pStyle w:val="mhb1"/>
              <w:keepNext/>
              <w:tabs>
                <w:tab w:val="clear" w:pos="567"/>
              </w:tabs>
              <w:spacing w:before="0"/>
              <w:rPr>
                <w:i/>
                <w:sz w:val="20"/>
              </w:rPr>
            </w:pPr>
          </w:p>
        </w:tc>
      </w:tr>
      <w:tr w:rsidR="00F402F1" w:rsidRPr="00A3579C" w:rsidTr="00290F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left w:val="single" w:sz="6" w:space="0" w:color="auto"/>
              <w:bottom w:val="single" w:sz="6" w:space="0" w:color="auto"/>
              <w:right w:val="single" w:sz="6" w:space="0" w:color="auto"/>
            </w:tcBorders>
          </w:tcPr>
          <w:p w:rsidR="00F402F1" w:rsidRDefault="00F402F1" w:rsidP="002274D1">
            <w:pPr>
              <w:pStyle w:val="mhb1"/>
              <w:tabs>
                <w:tab w:val="clear" w:pos="567"/>
              </w:tabs>
              <w:spacing w:before="0"/>
              <w:jc w:val="center"/>
              <w:rPr>
                <w:b w:val="0"/>
                <w:sz w:val="16"/>
              </w:rPr>
            </w:pPr>
          </w:p>
        </w:tc>
        <w:tc>
          <w:tcPr>
            <w:tcW w:w="6520" w:type="dxa"/>
            <w:gridSpan w:val="4"/>
            <w:tcBorders>
              <w:left w:val="single" w:sz="6" w:space="0" w:color="auto"/>
              <w:bottom w:val="single" w:sz="6" w:space="0" w:color="auto"/>
              <w:right w:val="single" w:sz="6" w:space="0" w:color="auto"/>
            </w:tcBorders>
          </w:tcPr>
          <w:p w:rsidR="00F402F1" w:rsidRPr="003103CF" w:rsidRDefault="00F402F1" w:rsidP="00290F08">
            <w:pPr>
              <w:pStyle w:val="mhb1"/>
              <w:keepNext/>
              <w:tabs>
                <w:tab w:val="clear" w:pos="567"/>
              </w:tabs>
              <w:spacing w:before="0"/>
              <w:rPr>
                <w:i/>
                <w:sz w:val="20"/>
              </w:rPr>
            </w:pPr>
            <w:r w:rsidRPr="003103CF">
              <w:rPr>
                <w:i/>
                <w:sz w:val="20"/>
              </w:rPr>
              <w:t>Small Business</w:t>
            </w:r>
          </w:p>
        </w:tc>
      </w:tr>
      <w:tr w:rsidR="00F402F1" w:rsidRPr="00A3579C" w:rsidTr="002D4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F402F1" w:rsidRDefault="003103CF" w:rsidP="002274D1">
            <w:pPr>
              <w:pStyle w:val="mhb1"/>
              <w:tabs>
                <w:tab w:val="clear" w:pos="567"/>
              </w:tabs>
              <w:spacing w:before="0"/>
              <w:jc w:val="center"/>
              <w:rPr>
                <w:b w:val="0"/>
                <w:sz w:val="16"/>
              </w:rPr>
            </w:pPr>
            <w:r>
              <w:rPr>
                <w:b w:val="0"/>
                <w:sz w:val="16"/>
              </w:rPr>
              <w:t>17AG(10)</w:t>
            </w:r>
          </w:p>
          <w:p w:rsidR="003103CF" w:rsidRPr="00A3579C" w:rsidRDefault="003103CF" w:rsidP="002274D1">
            <w:pPr>
              <w:pStyle w:val="mhb1"/>
              <w:tabs>
                <w:tab w:val="clear" w:pos="567"/>
              </w:tabs>
              <w:spacing w:before="0"/>
              <w:jc w:val="center"/>
              <w:rPr>
                <w:b w:val="0"/>
                <w:sz w:val="16"/>
              </w:rPr>
            </w:pPr>
            <w:r>
              <w:rPr>
                <w:b w:val="0"/>
                <w:sz w:val="16"/>
              </w:rPr>
              <w:t>(a)</w:t>
            </w:r>
          </w:p>
        </w:tc>
        <w:tc>
          <w:tcPr>
            <w:tcW w:w="760" w:type="dxa"/>
            <w:tcBorders>
              <w:top w:val="single" w:sz="6" w:space="0" w:color="auto"/>
              <w:left w:val="single" w:sz="6" w:space="0" w:color="auto"/>
              <w:bottom w:val="single" w:sz="6" w:space="0" w:color="auto"/>
              <w:right w:val="single" w:sz="6" w:space="0" w:color="auto"/>
            </w:tcBorders>
          </w:tcPr>
          <w:p w:rsidR="00F402F1" w:rsidRPr="00B619F8" w:rsidRDefault="00F402F1" w:rsidP="002274D1">
            <w:pPr>
              <w:pStyle w:val="mhb1"/>
              <w:tabs>
                <w:tab w:val="clear" w:pos="567"/>
              </w:tabs>
              <w:spacing w:before="0"/>
              <w:rPr>
                <w:b w:val="0"/>
                <w:sz w:val="20"/>
              </w:rPr>
            </w:pPr>
          </w:p>
        </w:tc>
        <w:tc>
          <w:tcPr>
            <w:tcW w:w="3351" w:type="dxa"/>
            <w:tcBorders>
              <w:top w:val="single" w:sz="6" w:space="0" w:color="auto"/>
              <w:left w:val="single" w:sz="6" w:space="0" w:color="auto"/>
              <w:bottom w:val="single" w:sz="6" w:space="0" w:color="auto"/>
              <w:right w:val="single" w:sz="6" w:space="0" w:color="auto"/>
            </w:tcBorders>
          </w:tcPr>
          <w:p w:rsidR="00F402F1" w:rsidRPr="003103CF" w:rsidRDefault="003103CF" w:rsidP="002274D1">
            <w:pPr>
              <w:pStyle w:val="mhb1"/>
              <w:tabs>
                <w:tab w:val="clear" w:pos="567"/>
              </w:tabs>
              <w:spacing w:before="0"/>
              <w:rPr>
                <w:b w:val="0"/>
                <w:i/>
                <w:sz w:val="20"/>
              </w:rPr>
            </w:pPr>
            <w:r>
              <w:rPr>
                <w:b w:val="0"/>
                <w:sz w:val="20"/>
              </w:rPr>
              <w:t xml:space="preserve">A statement that </w:t>
            </w:r>
            <w:r>
              <w:rPr>
                <w:b w:val="0"/>
                <w:i/>
                <w:sz w:val="20"/>
              </w:rPr>
              <w:t>“[Name of entity] supports small business participation in the Commonwealth Government procurement market. Small and Medium Enterprises (SME) and Small Enterprise participation statistics are available on the Department of Finance’s website.”</w:t>
            </w:r>
          </w:p>
        </w:tc>
        <w:tc>
          <w:tcPr>
            <w:tcW w:w="1275" w:type="dxa"/>
            <w:tcBorders>
              <w:top w:val="single" w:sz="6" w:space="0" w:color="auto"/>
              <w:left w:val="single" w:sz="6" w:space="0" w:color="auto"/>
              <w:bottom w:val="single" w:sz="6" w:space="0" w:color="auto"/>
              <w:right w:val="single" w:sz="6" w:space="0" w:color="auto"/>
            </w:tcBorders>
          </w:tcPr>
          <w:p w:rsidR="00F402F1" w:rsidRPr="00CB1118" w:rsidRDefault="00F402F1" w:rsidP="002274D1">
            <w:pPr>
              <w:pStyle w:val="mhb1"/>
              <w:tabs>
                <w:tab w:val="clear" w:pos="567"/>
              </w:tabs>
              <w:spacing w:before="0"/>
              <w:rPr>
                <w:b w:val="0"/>
                <w:sz w:val="20"/>
              </w:rPr>
            </w:pPr>
            <w:r>
              <w:rPr>
                <w:b w:val="0"/>
                <w:sz w:val="20"/>
              </w:rPr>
              <w:t>Mandatory</w:t>
            </w:r>
          </w:p>
        </w:tc>
        <w:tc>
          <w:tcPr>
            <w:tcW w:w="1134" w:type="dxa"/>
            <w:tcBorders>
              <w:top w:val="single" w:sz="6" w:space="0" w:color="auto"/>
              <w:left w:val="single" w:sz="6" w:space="0" w:color="auto"/>
              <w:bottom w:val="single" w:sz="6" w:space="0" w:color="auto"/>
              <w:right w:val="single" w:sz="6" w:space="0" w:color="auto"/>
            </w:tcBorders>
          </w:tcPr>
          <w:p w:rsidR="00F402F1" w:rsidRPr="00EE0730" w:rsidRDefault="00F402F1" w:rsidP="002274D1">
            <w:pPr>
              <w:pStyle w:val="mhb1"/>
              <w:tabs>
                <w:tab w:val="clear" w:pos="567"/>
              </w:tabs>
              <w:spacing w:before="0"/>
              <w:rPr>
                <w:b w:val="0"/>
                <w:sz w:val="16"/>
                <w:szCs w:val="16"/>
              </w:rPr>
            </w:pPr>
            <w:r>
              <w:rPr>
                <w:b w:val="0"/>
                <w:sz w:val="16"/>
                <w:szCs w:val="16"/>
              </w:rPr>
              <w:t>Chapter 5</w:t>
            </w:r>
          </w:p>
        </w:tc>
      </w:tr>
      <w:tr w:rsidR="003103CF" w:rsidRPr="00A3579C" w:rsidTr="002D4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3103CF" w:rsidRDefault="003103CF" w:rsidP="008B7F83">
            <w:pPr>
              <w:pStyle w:val="mhb1"/>
              <w:tabs>
                <w:tab w:val="clear" w:pos="567"/>
              </w:tabs>
              <w:spacing w:before="0"/>
              <w:jc w:val="center"/>
              <w:rPr>
                <w:b w:val="0"/>
                <w:sz w:val="16"/>
              </w:rPr>
            </w:pPr>
            <w:r>
              <w:rPr>
                <w:b w:val="0"/>
                <w:sz w:val="16"/>
              </w:rPr>
              <w:t>17AG(10)</w:t>
            </w:r>
          </w:p>
          <w:p w:rsidR="003103CF" w:rsidRPr="00A3579C" w:rsidRDefault="003103CF" w:rsidP="003103CF">
            <w:pPr>
              <w:pStyle w:val="mhb1"/>
              <w:tabs>
                <w:tab w:val="clear" w:pos="567"/>
              </w:tabs>
              <w:spacing w:before="0"/>
              <w:jc w:val="center"/>
              <w:rPr>
                <w:b w:val="0"/>
                <w:sz w:val="16"/>
              </w:rPr>
            </w:pPr>
            <w:r>
              <w:rPr>
                <w:b w:val="0"/>
                <w:sz w:val="16"/>
              </w:rPr>
              <w:t>(b)</w:t>
            </w:r>
          </w:p>
        </w:tc>
        <w:tc>
          <w:tcPr>
            <w:tcW w:w="760" w:type="dxa"/>
            <w:tcBorders>
              <w:top w:val="single" w:sz="6" w:space="0" w:color="auto"/>
              <w:left w:val="single" w:sz="6" w:space="0" w:color="auto"/>
              <w:bottom w:val="single" w:sz="6" w:space="0" w:color="auto"/>
              <w:right w:val="single" w:sz="6" w:space="0" w:color="auto"/>
            </w:tcBorders>
          </w:tcPr>
          <w:p w:rsidR="003103CF" w:rsidRPr="00B619F8" w:rsidRDefault="003103CF" w:rsidP="002274D1">
            <w:pPr>
              <w:pStyle w:val="mhb1"/>
              <w:tabs>
                <w:tab w:val="clear" w:pos="567"/>
              </w:tabs>
              <w:spacing w:before="0"/>
              <w:rPr>
                <w:b w:val="0"/>
                <w:sz w:val="20"/>
              </w:rPr>
            </w:pPr>
          </w:p>
        </w:tc>
        <w:tc>
          <w:tcPr>
            <w:tcW w:w="3351" w:type="dxa"/>
            <w:tcBorders>
              <w:top w:val="single" w:sz="6" w:space="0" w:color="auto"/>
              <w:left w:val="single" w:sz="6" w:space="0" w:color="auto"/>
              <w:bottom w:val="single" w:sz="6" w:space="0" w:color="auto"/>
              <w:right w:val="single" w:sz="6" w:space="0" w:color="auto"/>
            </w:tcBorders>
          </w:tcPr>
          <w:p w:rsidR="003103CF" w:rsidRDefault="003103CF" w:rsidP="002274D1">
            <w:pPr>
              <w:pStyle w:val="mhb1"/>
              <w:tabs>
                <w:tab w:val="clear" w:pos="567"/>
              </w:tabs>
              <w:spacing w:before="0"/>
              <w:rPr>
                <w:b w:val="0"/>
                <w:sz w:val="20"/>
              </w:rPr>
            </w:pPr>
            <w:r>
              <w:rPr>
                <w:b w:val="0"/>
                <w:sz w:val="20"/>
              </w:rPr>
              <w:t>An outline of the ways in which the procurement practices of the entity support small and medium enterprises.</w:t>
            </w:r>
          </w:p>
        </w:tc>
        <w:tc>
          <w:tcPr>
            <w:tcW w:w="1275" w:type="dxa"/>
            <w:tcBorders>
              <w:top w:val="single" w:sz="6" w:space="0" w:color="auto"/>
              <w:left w:val="single" w:sz="6" w:space="0" w:color="auto"/>
              <w:bottom w:val="single" w:sz="6" w:space="0" w:color="auto"/>
              <w:right w:val="single" w:sz="6" w:space="0" w:color="auto"/>
            </w:tcBorders>
          </w:tcPr>
          <w:p w:rsidR="003103CF" w:rsidRPr="00CB1118" w:rsidRDefault="003103CF" w:rsidP="008B7F83">
            <w:pPr>
              <w:pStyle w:val="mhb1"/>
              <w:tabs>
                <w:tab w:val="clear" w:pos="567"/>
              </w:tabs>
              <w:spacing w:before="0"/>
              <w:rPr>
                <w:b w:val="0"/>
                <w:sz w:val="20"/>
              </w:rPr>
            </w:pPr>
            <w:r>
              <w:rPr>
                <w:b w:val="0"/>
                <w:sz w:val="20"/>
              </w:rPr>
              <w:t>Mandatory</w:t>
            </w:r>
          </w:p>
        </w:tc>
        <w:tc>
          <w:tcPr>
            <w:tcW w:w="1134" w:type="dxa"/>
            <w:tcBorders>
              <w:top w:val="single" w:sz="6" w:space="0" w:color="auto"/>
              <w:left w:val="single" w:sz="6" w:space="0" w:color="auto"/>
              <w:bottom w:val="single" w:sz="6" w:space="0" w:color="auto"/>
              <w:right w:val="single" w:sz="6" w:space="0" w:color="auto"/>
            </w:tcBorders>
          </w:tcPr>
          <w:p w:rsidR="003103CF" w:rsidRPr="00EE0730" w:rsidRDefault="003103CF" w:rsidP="008B7F83">
            <w:pPr>
              <w:pStyle w:val="mhb1"/>
              <w:tabs>
                <w:tab w:val="clear" w:pos="567"/>
              </w:tabs>
              <w:spacing w:before="0"/>
              <w:rPr>
                <w:b w:val="0"/>
                <w:sz w:val="16"/>
                <w:szCs w:val="16"/>
              </w:rPr>
            </w:pPr>
            <w:r>
              <w:rPr>
                <w:b w:val="0"/>
                <w:sz w:val="16"/>
                <w:szCs w:val="16"/>
              </w:rPr>
              <w:t>Chapter 5</w:t>
            </w:r>
          </w:p>
        </w:tc>
      </w:tr>
      <w:tr w:rsidR="00F43761" w:rsidRPr="00A3579C" w:rsidTr="002D48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
        </w:trPr>
        <w:tc>
          <w:tcPr>
            <w:tcW w:w="908" w:type="dxa"/>
            <w:tcBorders>
              <w:top w:val="single" w:sz="6" w:space="0" w:color="auto"/>
              <w:left w:val="single" w:sz="6" w:space="0" w:color="auto"/>
              <w:bottom w:val="single" w:sz="6" w:space="0" w:color="auto"/>
              <w:right w:val="single" w:sz="6" w:space="0" w:color="auto"/>
            </w:tcBorders>
          </w:tcPr>
          <w:p w:rsidR="00F43761" w:rsidRDefault="00F43761" w:rsidP="008B7F83">
            <w:pPr>
              <w:pStyle w:val="mhb1"/>
              <w:tabs>
                <w:tab w:val="clear" w:pos="567"/>
              </w:tabs>
              <w:spacing w:before="0"/>
              <w:jc w:val="center"/>
              <w:rPr>
                <w:b w:val="0"/>
                <w:sz w:val="16"/>
              </w:rPr>
            </w:pPr>
            <w:r>
              <w:rPr>
                <w:b w:val="0"/>
                <w:sz w:val="16"/>
              </w:rPr>
              <w:t>17AG(10)</w:t>
            </w:r>
          </w:p>
          <w:p w:rsidR="00F43761" w:rsidRPr="00A3579C" w:rsidRDefault="00F43761" w:rsidP="008B7F83">
            <w:pPr>
              <w:pStyle w:val="mhb1"/>
              <w:tabs>
                <w:tab w:val="clear" w:pos="567"/>
              </w:tabs>
              <w:spacing w:before="0"/>
              <w:jc w:val="center"/>
              <w:rPr>
                <w:b w:val="0"/>
                <w:sz w:val="16"/>
              </w:rPr>
            </w:pPr>
            <w:r>
              <w:rPr>
                <w:b w:val="0"/>
                <w:sz w:val="16"/>
              </w:rPr>
              <w:t>(c)</w:t>
            </w:r>
          </w:p>
        </w:tc>
        <w:tc>
          <w:tcPr>
            <w:tcW w:w="760" w:type="dxa"/>
            <w:tcBorders>
              <w:top w:val="single" w:sz="6" w:space="0" w:color="auto"/>
              <w:left w:val="single" w:sz="6" w:space="0" w:color="auto"/>
              <w:bottom w:val="single" w:sz="6" w:space="0" w:color="auto"/>
              <w:right w:val="single" w:sz="6" w:space="0" w:color="auto"/>
            </w:tcBorders>
          </w:tcPr>
          <w:p w:rsidR="00F43761" w:rsidRPr="00B619F8" w:rsidRDefault="00F43761" w:rsidP="002274D1">
            <w:pPr>
              <w:pStyle w:val="mhb1"/>
              <w:tabs>
                <w:tab w:val="clear" w:pos="567"/>
              </w:tabs>
              <w:spacing w:before="0"/>
              <w:rPr>
                <w:b w:val="0"/>
                <w:sz w:val="20"/>
              </w:rPr>
            </w:pPr>
          </w:p>
        </w:tc>
        <w:tc>
          <w:tcPr>
            <w:tcW w:w="3351" w:type="dxa"/>
            <w:tcBorders>
              <w:top w:val="single" w:sz="6" w:space="0" w:color="auto"/>
              <w:left w:val="single" w:sz="6" w:space="0" w:color="auto"/>
              <w:bottom w:val="single" w:sz="6" w:space="0" w:color="auto"/>
              <w:right w:val="single" w:sz="6" w:space="0" w:color="auto"/>
            </w:tcBorders>
          </w:tcPr>
          <w:p w:rsidR="00F43761" w:rsidRPr="003103CF" w:rsidRDefault="00F43761" w:rsidP="002274D1">
            <w:pPr>
              <w:pStyle w:val="mhb1"/>
              <w:tabs>
                <w:tab w:val="clear" w:pos="567"/>
              </w:tabs>
              <w:spacing w:before="0"/>
              <w:rPr>
                <w:b w:val="0"/>
                <w:i/>
                <w:sz w:val="20"/>
              </w:rPr>
            </w:pPr>
            <w:r>
              <w:rPr>
                <w:b w:val="0"/>
                <w:sz w:val="20"/>
              </w:rPr>
              <w:t xml:space="preserve">If the entity is considered by the Department administered by the Finance Minister as material in nature—a statement that </w:t>
            </w:r>
            <w:r>
              <w:rPr>
                <w:b w:val="0"/>
                <w:i/>
                <w:sz w:val="20"/>
              </w:rPr>
              <w:t>“[Name of entity] recognises the importance of ensuring that small businesses are paid on time. The results of the Survey of Australian Government Payments to Small Business are available on the Treasury’s website.”</w:t>
            </w:r>
          </w:p>
        </w:tc>
        <w:tc>
          <w:tcPr>
            <w:tcW w:w="1275" w:type="dxa"/>
            <w:tcBorders>
              <w:top w:val="single" w:sz="6" w:space="0" w:color="auto"/>
              <w:left w:val="single" w:sz="6" w:space="0" w:color="auto"/>
              <w:bottom w:val="single" w:sz="6" w:space="0" w:color="auto"/>
              <w:right w:val="single" w:sz="6" w:space="0" w:color="auto"/>
            </w:tcBorders>
          </w:tcPr>
          <w:p w:rsidR="00F43761" w:rsidRPr="00CB1118" w:rsidRDefault="00F43761"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Borders>
              <w:top w:val="single" w:sz="6" w:space="0" w:color="auto"/>
              <w:left w:val="single" w:sz="6" w:space="0" w:color="auto"/>
              <w:bottom w:val="single" w:sz="6" w:space="0" w:color="auto"/>
              <w:right w:val="single" w:sz="6" w:space="0" w:color="auto"/>
            </w:tcBorders>
          </w:tcPr>
          <w:p w:rsidR="00F43761" w:rsidRDefault="00F43761" w:rsidP="008B7F83">
            <w:pPr>
              <w:pStyle w:val="mhb1"/>
              <w:tabs>
                <w:tab w:val="clear" w:pos="567"/>
              </w:tabs>
              <w:spacing w:before="0"/>
              <w:rPr>
                <w:b w:val="0"/>
                <w:sz w:val="16"/>
                <w:szCs w:val="16"/>
              </w:rPr>
            </w:pPr>
            <w:r>
              <w:rPr>
                <w:b w:val="0"/>
                <w:sz w:val="16"/>
                <w:szCs w:val="16"/>
              </w:rPr>
              <w:t>N/A</w:t>
            </w:r>
          </w:p>
        </w:tc>
      </w:tr>
      <w:tr w:rsidR="00F402F1" w:rsidTr="002D48EF">
        <w:trPr>
          <w:cantSplit/>
          <w:trHeight w:val="50"/>
        </w:trPr>
        <w:tc>
          <w:tcPr>
            <w:tcW w:w="908" w:type="dxa"/>
          </w:tcPr>
          <w:p w:rsidR="00F402F1" w:rsidRDefault="00F402F1" w:rsidP="007A2DEE">
            <w:pPr>
              <w:pStyle w:val="mhb1"/>
              <w:tabs>
                <w:tab w:val="clear" w:pos="567"/>
              </w:tabs>
              <w:spacing w:before="0"/>
              <w:jc w:val="center"/>
              <w:rPr>
                <w:b w:val="0"/>
                <w:sz w:val="16"/>
              </w:rPr>
            </w:pPr>
          </w:p>
        </w:tc>
        <w:tc>
          <w:tcPr>
            <w:tcW w:w="6520" w:type="dxa"/>
            <w:gridSpan w:val="4"/>
          </w:tcPr>
          <w:p w:rsidR="00F402F1" w:rsidRPr="00F43761" w:rsidRDefault="00F402F1" w:rsidP="007A2DEE">
            <w:pPr>
              <w:pStyle w:val="mhb1"/>
              <w:tabs>
                <w:tab w:val="clear" w:pos="567"/>
              </w:tabs>
              <w:spacing w:before="0"/>
              <w:rPr>
                <w:i/>
                <w:sz w:val="20"/>
              </w:rPr>
            </w:pPr>
            <w:r w:rsidRPr="00F43761">
              <w:rPr>
                <w:i/>
                <w:sz w:val="20"/>
              </w:rPr>
              <w:t>Financial Statements</w:t>
            </w:r>
          </w:p>
        </w:tc>
      </w:tr>
      <w:tr w:rsidR="00F402F1" w:rsidTr="002D48EF">
        <w:trPr>
          <w:cantSplit/>
          <w:trHeight w:val="50"/>
        </w:trPr>
        <w:tc>
          <w:tcPr>
            <w:tcW w:w="908" w:type="dxa"/>
          </w:tcPr>
          <w:p w:rsidR="00F402F1" w:rsidRDefault="00F43761" w:rsidP="007A2DEE">
            <w:pPr>
              <w:pStyle w:val="mhb1"/>
              <w:tabs>
                <w:tab w:val="clear" w:pos="567"/>
              </w:tabs>
              <w:spacing w:before="0"/>
              <w:jc w:val="center"/>
              <w:rPr>
                <w:b w:val="0"/>
                <w:sz w:val="16"/>
              </w:rPr>
            </w:pPr>
            <w:r>
              <w:rPr>
                <w:b w:val="0"/>
                <w:sz w:val="16"/>
              </w:rPr>
              <w:t>17AD(e)</w:t>
            </w:r>
          </w:p>
        </w:tc>
        <w:tc>
          <w:tcPr>
            <w:tcW w:w="760" w:type="dxa"/>
          </w:tcPr>
          <w:p w:rsidR="00F402F1" w:rsidRDefault="00F402F1" w:rsidP="007A2DEE">
            <w:pPr>
              <w:pStyle w:val="mhb1"/>
              <w:tabs>
                <w:tab w:val="clear" w:pos="567"/>
              </w:tabs>
              <w:spacing w:before="0"/>
              <w:rPr>
                <w:b w:val="0"/>
                <w:sz w:val="20"/>
              </w:rPr>
            </w:pPr>
          </w:p>
        </w:tc>
        <w:tc>
          <w:tcPr>
            <w:tcW w:w="3351" w:type="dxa"/>
          </w:tcPr>
          <w:p w:rsidR="00F402F1" w:rsidRPr="00CB1118" w:rsidRDefault="00F43761" w:rsidP="007A2DEE">
            <w:pPr>
              <w:pStyle w:val="mhb1"/>
              <w:tabs>
                <w:tab w:val="clear" w:pos="567"/>
              </w:tabs>
              <w:spacing w:before="0"/>
              <w:rPr>
                <w:b w:val="0"/>
                <w:sz w:val="20"/>
              </w:rPr>
            </w:pPr>
            <w:r>
              <w:rPr>
                <w:b w:val="0"/>
                <w:sz w:val="20"/>
              </w:rPr>
              <w:t xml:space="preserve">Inclusion of the annual financial statements in accordance with subsection 43(4) of the </w:t>
            </w:r>
            <w:r w:rsidR="003B1A26">
              <w:rPr>
                <w:b w:val="0"/>
                <w:sz w:val="20"/>
              </w:rPr>
              <w:t xml:space="preserve">PGPA </w:t>
            </w:r>
            <w:r>
              <w:rPr>
                <w:b w:val="0"/>
                <w:sz w:val="20"/>
              </w:rPr>
              <w:t>Act.</w:t>
            </w:r>
          </w:p>
        </w:tc>
        <w:tc>
          <w:tcPr>
            <w:tcW w:w="1275" w:type="dxa"/>
          </w:tcPr>
          <w:p w:rsidR="00F402F1" w:rsidRPr="00CB1118" w:rsidRDefault="00F402F1" w:rsidP="007A2DEE">
            <w:pPr>
              <w:pStyle w:val="mhb1"/>
              <w:tabs>
                <w:tab w:val="clear" w:pos="567"/>
              </w:tabs>
              <w:spacing w:before="0"/>
              <w:rPr>
                <w:b w:val="0"/>
                <w:sz w:val="20"/>
              </w:rPr>
            </w:pPr>
            <w:r w:rsidRPr="00CB1118">
              <w:rPr>
                <w:b w:val="0"/>
                <w:sz w:val="20"/>
              </w:rPr>
              <w:t>Mandatory</w:t>
            </w:r>
          </w:p>
        </w:tc>
        <w:tc>
          <w:tcPr>
            <w:tcW w:w="1134" w:type="dxa"/>
          </w:tcPr>
          <w:p w:rsidR="00F402F1" w:rsidRPr="00EE0730" w:rsidRDefault="00F402F1" w:rsidP="00A76D1D">
            <w:pPr>
              <w:pStyle w:val="mhb1"/>
              <w:tabs>
                <w:tab w:val="clear" w:pos="567"/>
              </w:tabs>
              <w:spacing w:before="0"/>
              <w:rPr>
                <w:b w:val="0"/>
                <w:sz w:val="16"/>
                <w:szCs w:val="16"/>
              </w:rPr>
            </w:pPr>
            <w:r>
              <w:rPr>
                <w:b w:val="0"/>
                <w:sz w:val="16"/>
                <w:szCs w:val="16"/>
              </w:rPr>
              <w:t>Appendix D</w:t>
            </w:r>
          </w:p>
        </w:tc>
      </w:tr>
      <w:tr w:rsidR="004E0666" w:rsidTr="002D48EF">
        <w:trPr>
          <w:cantSplit/>
          <w:trHeight w:val="50"/>
        </w:trPr>
        <w:tc>
          <w:tcPr>
            <w:tcW w:w="908" w:type="dxa"/>
          </w:tcPr>
          <w:p w:rsidR="004E0666" w:rsidRPr="004E0666" w:rsidRDefault="004E0666" w:rsidP="007A2DEE">
            <w:pPr>
              <w:pStyle w:val="mhb1"/>
              <w:tabs>
                <w:tab w:val="clear" w:pos="567"/>
              </w:tabs>
              <w:spacing w:before="0"/>
              <w:jc w:val="center"/>
              <w:rPr>
                <w:sz w:val="16"/>
              </w:rPr>
            </w:pPr>
            <w:r w:rsidRPr="004E0666">
              <w:rPr>
                <w:sz w:val="16"/>
              </w:rPr>
              <w:t>17AD(f)</w:t>
            </w:r>
          </w:p>
        </w:tc>
        <w:tc>
          <w:tcPr>
            <w:tcW w:w="6520" w:type="dxa"/>
            <w:gridSpan w:val="4"/>
          </w:tcPr>
          <w:p w:rsidR="004E0666" w:rsidRPr="004E0666" w:rsidRDefault="004E0666" w:rsidP="007A2DEE">
            <w:pPr>
              <w:pStyle w:val="mhb1"/>
              <w:tabs>
                <w:tab w:val="clear" w:pos="567"/>
              </w:tabs>
              <w:spacing w:before="0"/>
              <w:rPr>
                <w:sz w:val="20"/>
              </w:rPr>
            </w:pPr>
            <w:r w:rsidRPr="004E0666">
              <w:rPr>
                <w:sz w:val="20"/>
              </w:rPr>
              <w:t>Other Mandatory Information</w:t>
            </w:r>
          </w:p>
        </w:tc>
      </w:tr>
      <w:tr w:rsidR="00CF50ED" w:rsidTr="002D48EF">
        <w:trPr>
          <w:cantSplit/>
          <w:trHeight w:val="50"/>
        </w:trPr>
        <w:tc>
          <w:tcPr>
            <w:tcW w:w="908" w:type="dxa"/>
          </w:tcPr>
          <w:p w:rsidR="00CF50ED" w:rsidRDefault="00CF50ED" w:rsidP="007A2DEE">
            <w:pPr>
              <w:pStyle w:val="mhb1"/>
              <w:tabs>
                <w:tab w:val="clear" w:pos="567"/>
              </w:tabs>
              <w:spacing w:before="0"/>
              <w:jc w:val="center"/>
              <w:rPr>
                <w:b w:val="0"/>
                <w:sz w:val="16"/>
              </w:rPr>
            </w:pPr>
            <w:r>
              <w:rPr>
                <w:b w:val="0"/>
                <w:sz w:val="16"/>
              </w:rPr>
              <w:t>17AH(1)(a)(i)</w:t>
            </w:r>
          </w:p>
        </w:tc>
        <w:tc>
          <w:tcPr>
            <w:tcW w:w="760" w:type="dxa"/>
          </w:tcPr>
          <w:p w:rsidR="00CF50ED" w:rsidRDefault="00CF50ED" w:rsidP="007A2DEE">
            <w:pPr>
              <w:pStyle w:val="mhb1"/>
              <w:tabs>
                <w:tab w:val="clear" w:pos="567"/>
              </w:tabs>
              <w:spacing w:before="0"/>
              <w:jc w:val="center"/>
              <w:rPr>
                <w:b w:val="0"/>
                <w:sz w:val="20"/>
              </w:rPr>
            </w:pPr>
          </w:p>
        </w:tc>
        <w:tc>
          <w:tcPr>
            <w:tcW w:w="3351" w:type="dxa"/>
          </w:tcPr>
          <w:p w:rsidR="00CF50ED" w:rsidRPr="00CB1118" w:rsidRDefault="00CF50ED" w:rsidP="00CF50ED">
            <w:pPr>
              <w:pStyle w:val="mhb1"/>
              <w:tabs>
                <w:tab w:val="clear" w:pos="567"/>
              </w:tabs>
              <w:spacing w:before="0"/>
              <w:rPr>
                <w:b w:val="0"/>
                <w:sz w:val="20"/>
              </w:rPr>
            </w:pPr>
            <w:r>
              <w:rPr>
                <w:b w:val="0"/>
                <w:sz w:val="20"/>
              </w:rPr>
              <w:t xml:space="preserve">If the entity conducted advertising campaigns, a statement that </w:t>
            </w:r>
            <w:r>
              <w:rPr>
                <w:b w:val="0"/>
                <w:i/>
                <w:sz w:val="20"/>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1275" w:type="dxa"/>
          </w:tcPr>
          <w:p w:rsidR="00CF50ED" w:rsidRPr="00CB1118" w:rsidRDefault="00CF50ED"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Pr>
          <w:p w:rsidR="00CF50ED" w:rsidRPr="00EE0730" w:rsidRDefault="00CF50ED" w:rsidP="007A2DEE">
            <w:pPr>
              <w:pStyle w:val="mhb1"/>
              <w:tabs>
                <w:tab w:val="clear" w:pos="567"/>
              </w:tabs>
              <w:spacing w:before="0"/>
              <w:rPr>
                <w:b w:val="0"/>
                <w:sz w:val="16"/>
                <w:szCs w:val="16"/>
              </w:rPr>
            </w:pPr>
            <w:r>
              <w:rPr>
                <w:b w:val="0"/>
                <w:sz w:val="16"/>
                <w:szCs w:val="16"/>
              </w:rPr>
              <w:t>N/A</w:t>
            </w:r>
          </w:p>
        </w:tc>
      </w:tr>
      <w:tr w:rsidR="00CF50ED" w:rsidTr="002D48EF">
        <w:trPr>
          <w:cantSplit/>
          <w:trHeight w:val="50"/>
        </w:trPr>
        <w:tc>
          <w:tcPr>
            <w:tcW w:w="908" w:type="dxa"/>
          </w:tcPr>
          <w:p w:rsidR="00CF50ED" w:rsidRDefault="00CF50ED" w:rsidP="008B7F83">
            <w:pPr>
              <w:pStyle w:val="mhb1"/>
              <w:tabs>
                <w:tab w:val="clear" w:pos="567"/>
              </w:tabs>
              <w:spacing w:before="0"/>
              <w:jc w:val="center"/>
              <w:rPr>
                <w:b w:val="0"/>
                <w:sz w:val="16"/>
              </w:rPr>
            </w:pPr>
            <w:r>
              <w:rPr>
                <w:b w:val="0"/>
                <w:sz w:val="16"/>
              </w:rPr>
              <w:t>17AH(1)(a)(ii)</w:t>
            </w:r>
          </w:p>
        </w:tc>
        <w:tc>
          <w:tcPr>
            <w:tcW w:w="760" w:type="dxa"/>
          </w:tcPr>
          <w:p w:rsidR="00CF50ED" w:rsidRDefault="00CF50ED" w:rsidP="007A2DEE">
            <w:pPr>
              <w:pStyle w:val="mhb1"/>
              <w:tabs>
                <w:tab w:val="clear" w:pos="567"/>
              </w:tabs>
              <w:spacing w:before="0"/>
              <w:rPr>
                <w:b w:val="0"/>
                <w:sz w:val="20"/>
              </w:rPr>
            </w:pPr>
          </w:p>
        </w:tc>
        <w:tc>
          <w:tcPr>
            <w:tcW w:w="3351" w:type="dxa"/>
          </w:tcPr>
          <w:p w:rsidR="00CF50ED" w:rsidRPr="00CB1118" w:rsidRDefault="00CF50ED" w:rsidP="007A2DEE">
            <w:pPr>
              <w:pStyle w:val="mhb1"/>
              <w:tabs>
                <w:tab w:val="clear" w:pos="567"/>
              </w:tabs>
              <w:spacing w:before="0"/>
              <w:rPr>
                <w:b w:val="0"/>
                <w:sz w:val="20"/>
              </w:rPr>
            </w:pPr>
            <w:r>
              <w:rPr>
                <w:b w:val="0"/>
                <w:sz w:val="20"/>
              </w:rPr>
              <w:t>If the entity did not conduct advertising campaigns, a statement to that effect.</w:t>
            </w:r>
          </w:p>
        </w:tc>
        <w:tc>
          <w:tcPr>
            <w:tcW w:w="1275" w:type="dxa"/>
          </w:tcPr>
          <w:p w:rsidR="00CF50ED" w:rsidRPr="00CB1118" w:rsidRDefault="00CF50ED"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Pr>
          <w:p w:rsidR="00CF50ED" w:rsidRPr="00EE0730" w:rsidRDefault="00CF50ED" w:rsidP="008B7F83">
            <w:pPr>
              <w:pStyle w:val="mhb1"/>
              <w:tabs>
                <w:tab w:val="clear" w:pos="567"/>
              </w:tabs>
              <w:spacing w:before="0"/>
              <w:rPr>
                <w:b w:val="0"/>
                <w:sz w:val="16"/>
                <w:szCs w:val="16"/>
              </w:rPr>
            </w:pPr>
            <w:r>
              <w:rPr>
                <w:b w:val="0"/>
                <w:sz w:val="16"/>
                <w:szCs w:val="16"/>
              </w:rPr>
              <w:t>Chapter 6</w:t>
            </w:r>
          </w:p>
        </w:tc>
      </w:tr>
      <w:tr w:rsidR="00CF50ED" w:rsidTr="00290F08">
        <w:trPr>
          <w:trHeight w:val="50"/>
        </w:trPr>
        <w:tc>
          <w:tcPr>
            <w:tcW w:w="908" w:type="dxa"/>
          </w:tcPr>
          <w:p w:rsidR="00CF50ED" w:rsidRDefault="00CF50ED" w:rsidP="008B7F83">
            <w:pPr>
              <w:pStyle w:val="mhb1"/>
              <w:tabs>
                <w:tab w:val="clear" w:pos="567"/>
              </w:tabs>
              <w:spacing w:before="0"/>
              <w:jc w:val="center"/>
              <w:rPr>
                <w:b w:val="0"/>
                <w:sz w:val="16"/>
              </w:rPr>
            </w:pPr>
            <w:r>
              <w:rPr>
                <w:b w:val="0"/>
                <w:sz w:val="16"/>
              </w:rPr>
              <w:t>17AH(1)(b)</w:t>
            </w:r>
          </w:p>
        </w:tc>
        <w:tc>
          <w:tcPr>
            <w:tcW w:w="760" w:type="dxa"/>
          </w:tcPr>
          <w:p w:rsidR="00CF50ED" w:rsidRDefault="00CF50ED" w:rsidP="007A2DEE">
            <w:pPr>
              <w:pStyle w:val="mhb1"/>
              <w:tabs>
                <w:tab w:val="clear" w:pos="567"/>
              </w:tabs>
              <w:spacing w:before="0"/>
              <w:rPr>
                <w:b w:val="0"/>
                <w:sz w:val="20"/>
              </w:rPr>
            </w:pPr>
          </w:p>
        </w:tc>
        <w:tc>
          <w:tcPr>
            <w:tcW w:w="3351" w:type="dxa"/>
          </w:tcPr>
          <w:p w:rsidR="00CF50ED" w:rsidRPr="00CB1118" w:rsidRDefault="00CF50ED" w:rsidP="00CE42ED">
            <w:pPr>
              <w:pStyle w:val="mhb1"/>
              <w:tabs>
                <w:tab w:val="clear" w:pos="567"/>
              </w:tabs>
              <w:spacing w:before="0"/>
              <w:rPr>
                <w:b w:val="0"/>
                <w:sz w:val="20"/>
              </w:rPr>
            </w:pPr>
            <w:r>
              <w:rPr>
                <w:b w:val="0"/>
                <w:sz w:val="20"/>
              </w:rPr>
              <w:t xml:space="preserve">A statement that </w:t>
            </w:r>
            <w:r>
              <w:rPr>
                <w:b w:val="0"/>
                <w:i/>
                <w:sz w:val="20"/>
              </w:rPr>
              <w:t xml:space="preserve">“Information on grants awarded </w:t>
            </w:r>
            <w:r w:rsidR="00CE42ED">
              <w:rPr>
                <w:b w:val="0"/>
                <w:i/>
                <w:sz w:val="20"/>
              </w:rPr>
              <w:t>by</w:t>
            </w:r>
            <w:r>
              <w:rPr>
                <w:b w:val="0"/>
                <w:i/>
                <w:sz w:val="20"/>
              </w:rPr>
              <w:t xml:space="preserve"> [name of entity] during [reporting period] is available at [address of entity’s website].”</w:t>
            </w:r>
          </w:p>
        </w:tc>
        <w:tc>
          <w:tcPr>
            <w:tcW w:w="1275" w:type="dxa"/>
          </w:tcPr>
          <w:p w:rsidR="00CF50ED" w:rsidRPr="00CB1118" w:rsidRDefault="00CF50ED" w:rsidP="008B7F83">
            <w:pPr>
              <w:pStyle w:val="mhb1"/>
              <w:tabs>
                <w:tab w:val="clear" w:pos="567"/>
              </w:tabs>
              <w:spacing w:before="0"/>
              <w:rPr>
                <w:b w:val="0"/>
                <w:sz w:val="20"/>
              </w:rPr>
            </w:pPr>
            <w:r>
              <w:rPr>
                <w:b w:val="0"/>
                <w:sz w:val="20"/>
              </w:rPr>
              <w:t>If applicable, M</w:t>
            </w:r>
            <w:r w:rsidRPr="00CB1118">
              <w:rPr>
                <w:b w:val="0"/>
                <w:sz w:val="20"/>
              </w:rPr>
              <w:t>andatory</w:t>
            </w:r>
          </w:p>
        </w:tc>
        <w:tc>
          <w:tcPr>
            <w:tcW w:w="1134" w:type="dxa"/>
          </w:tcPr>
          <w:p w:rsidR="00CF50ED" w:rsidRPr="00EE0730" w:rsidRDefault="00CF50ED" w:rsidP="007A2DEE">
            <w:pPr>
              <w:pStyle w:val="mhb1"/>
              <w:tabs>
                <w:tab w:val="clear" w:pos="567"/>
              </w:tabs>
              <w:spacing w:before="0"/>
              <w:rPr>
                <w:b w:val="0"/>
                <w:sz w:val="16"/>
                <w:szCs w:val="16"/>
              </w:rPr>
            </w:pPr>
            <w:r>
              <w:rPr>
                <w:b w:val="0"/>
                <w:sz w:val="16"/>
                <w:szCs w:val="16"/>
              </w:rPr>
              <w:t>N/A</w:t>
            </w:r>
          </w:p>
        </w:tc>
      </w:tr>
      <w:tr w:rsidR="00CF50ED" w:rsidTr="002D48EF">
        <w:trPr>
          <w:cantSplit/>
          <w:trHeight w:val="50"/>
        </w:trPr>
        <w:tc>
          <w:tcPr>
            <w:tcW w:w="908" w:type="dxa"/>
          </w:tcPr>
          <w:p w:rsidR="00CF50ED" w:rsidRDefault="00CF50ED" w:rsidP="008B7F83">
            <w:pPr>
              <w:pStyle w:val="mhb1"/>
              <w:tabs>
                <w:tab w:val="clear" w:pos="567"/>
              </w:tabs>
              <w:spacing w:before="0"/>
              <w:jc w:val="center"/>
              <w:rPr>
                <w:b w:val="0"/>
                <w:sz w:val="16"/>
              </w:rPr>
            </w:pPr>
            <w:r>
              <w:rPr>
                <w:b w:val="0"/>
                <w:sz w:val="16"/>
              </w:rPr>
              <w:t>17AH(1)(c)</w:t>
            </w:r>
          </w:p>
        </w:tc>
        <w:tc>
          <w:tcPr>
            <w:tcW w:w="760" w:type="dxa"/>
          </w:tcPr>
          <w:p w:rsidR="00CF50ED" w:rsidRDefault="00CF50ED" w:rsidP="007A2DEE">
            <w:pPr>
              <w:pStyle w:val="mhb1"/>
              <w:tabs>
                <w:tab w:val="clear" w:pos="567"/>
              </w:tabs>
              <w:spacing w:before="0"/>
              <w:jc w:val="center"/>
              <w:rPr>
                <w:b w:val="0"/>
                <w:sz w:val="20"/>
              </w:rPr>
            </w:pPr>
          </w:p>
        </w:tc>
        <w:tc>
          <w:tcPr>
            <w:tcW w:w="3351" w:type="dxa"/>
          </w:tcPr>
          <w:p w:rsidR="00CF50ED" w:rsidRPr="00CB1118" w:rsidRDefault="00CF50ED" w:rsidP="00CF50ED">
            <w:pPr>
              <w:pStyle w:val="mhb1"/>
              <w:tabs>
                <w:tab w:val="clear" w:pos="567"/>
              </w:tabs>
              <w:spacing w:before="0"/>
              <w:rPr>
                <w:b w:val="0"/>
                <w:sz w:val="20"/>
              </w:rPr>
            </w:pPr>
            <w:r>
              <w:rPr>
                <w:b w:val="0"/>
                <w:sz w:val="20"/>
              </w:rPr>
              <w:t>Outline of mechanisms of d</w:t>
            </w:r>
            <w:r w:rsidRPr="00CB1118">
              <w:rPr>
                <w:b w:val="0"/>
                <w:sz w:val="20"/>
              </w:rPr>
              <w:t>isability reporting</w:t>
            </w:r>
            <w:r>
              <w:rPr>
                <w:b w:val="0"/>
                <w:sz w:val="20"/>
              </w:rPr>
              <w:t>, including reference to website for further information.</w:t>
            </w:r>
          </w:p>
        </w:tc>
        <w:tc>
          <w:tcPr>
            <w:tcW w:w="1275" w:type="dxa"/>
          </w:tcPr>
          <w:p w:rsidR="00CF50ED" w:rsidRPr="00CB1118" w:rsidRDefault="00CF50ED" w:rsidP="007A2DEE">
            <w:pPr>
              <w:pStyle w:val="mhb1"/>
              <w:tabs>
                <w:tab w:val="clear" w:pos="567"/>
              </w:tabs>
              <w:spacing w:before="0"/>
              <w:rPr>
                <w:b w:val="0"/>
                <w:sz w:val="20"/>
              </w:rPr>
            </w:pPr>
            <w:r w:rsidRPr="00CB1118">
              <w:rPr>
                <w:b w:val="0"/>
                <w:sz w:val="20"/>
              </w:rPr>
              <w:t>Mandatory</w:t>
            </w:r>
          </w:p>
        </w:tc>
        <w:tc>
          <w:tcPr>
            <w:tcW w:w="1134" w:type="dxa"/>
          </w:tcPr>
          <w:p w:rsidR="00CF50ED" w:rsidRPr="00EE0730" w:rsidRDefault="00CF50ED" w:rsidP="007A2DEE">
            <w:pPr>
              <w:pStyle w:val="mhb1"/>
              <w:tabs>
                <w:tab w:val="clear" w:pos="567"/>
              </w:tabs>
              <w:spacing w:before="0"/>
              <w:rPr>
                <w:b w:val="0"/>
                <w:sz w:val="16"/>
                <w:szCs w:val="16"/>
              </w:rPr>
            </w:pPr>
            <w:r>
              <w:rPr>
                <w:b w:val="0"/>
                <w:sz w:val="16"/>
                <w:szCs w:val="16"/>
              </w:rPr>
              <w:t>Chapter 4</w:t>
            </w:r>
          </w:p>
        </w:tc>
      </w:tr>
      <w:tr w:rsidR="004E0666" w:rsidTr="002D48EF">
        <w:trPr>
          <w:cantSplit/>
          <w:trHeight w:val="50"/>
        </w:trPr>
        <w:tc>
          <w:tcPr>
            <w:tcW w:w="908" w:type="dxa"/>
          </w:tcPr>
          <w:p w:rsidR="004E0666" w:rsidRDefault="004E0666" w:rsidP="008B7F83">
            <w:pPr>
              <w:pStyle w:val="mhb1"/>
              <w:tabs>
                <w:tab w:val="clear" w:pos="567"/>
              </w:tabs>
              <w:spacing w:before="0"/>
              <w:jc w:val="center"/>
              <w:rPr>
                <w:b w:val="0"/>
                <w:sz w:val="16"/>
              </w:rPr>
            </w:pPr>
            <w:r>
              <w:rPr>
                <w:b w:val="0"/>
                <w:sz w:val="16"/>
              </w:rPr>
              <w:t>17AH(1)(d)</w:t>
            </w:r>
          </w:p>
        </w:tc>
        <w:tc>
          <w:tcPr>
            <w:tcW w:w="760" w:type="dxa"/>
          </w:tcPr>
          <w:p w:rsidR="004E0666" w:rsidRDefault="004E0666" w:rsidP="007A2DEE">
            <w:pPr>
              <w:pStyle w:val="mhb1"/>
              <w:tabs>
                <w:tab w:val="clear" w:pos="567"/>
              </w:tabs>
              <w:spacing w:before="0"/>
              <w:jc w:val="center"/>
              <w:rPr>
                <w:b w:val="0"/>
                <w:sz w:val="20"/>
              </w:rPr>
            </w:pPr>
          </w:p>
        </w:tc>
        <w:tc>
          <w:tcPr>
            <w:tcW w:w="3351" w:type="dxa"/>
          </w:tcPr>
          <w:p w:rsidR="004E0666" w:rsidRPr="00CB1118" w:rsidRDefault="004E0666" w:rsidP="004E0666">
            <w:pPr>
              <w:pStyle w:val="mhb1"/>
              <w:tabs>
                <w:tab w:val="clear" w:pos="567"/>
              </w:tabs>
              <w:spacing w:before="0"/>
              <w:rPr>
                <w:b w:val="0"/>
                <w:sz w:val="20"/>
              </w:rPr>
            </w:pPr>
            <w:r>
              <w:rPr>
                <w:b w:val="0"/>
                <w:sz w:val="20"/>
              </w:rPr>
              <w:t>Website reference to where the entity’s Information Publication Scheme statement pursuant to Part II of FOI Act can be found.</w:t>
            </w:r>
          </w:p>
        </w:tc>
        <w:tc>
          <w:tcPr>
            <w:tcW w:w="1275" w:type="dxa"/>
          </w:tcPr>
          <w:p w:rsidR="004E0666" w:rsidRPr="00CB1118" w:rsidRDefault="004E0666" w:rsidP="00F546F3">
            <w:pPr>
              <w:pStyle w:val="mhb1"/>
              <w:tabs>
                <w:tab w:val="clear" w:pos="567"/>
              </w:tabs>
              <w:spacing w:before="0"/>
              <w:rPr>
                <w:b w:val="0"/>
                <w:sz w:val="20"/>
              </w:rPr>
            </w:pPr>
            <w:r w:rsidRPr="00CB1118">
              <w:rPr>
                <w:b w:val="0"/>
                <w:sz w:val="20"/>
              </w:rPr>
              <w:t>Mandatory</w:t>
            </w:r>
          </w:p>
        </w:tc>
        <w:tc>
          <w:tcPr>
            <w:tcW w:w="1134" w:type="dxa"/>
          </w:tcPr>
          <w:p w:rsidR="004E0666" w:rsidRPr="00EE0730" w:rsidRDefault="004E0666" w:rsidP="00F546F3">
            <w:pPr>
              <w:pStyle w:val="mhb1"/>
              <w:tabs>
                <w:tab w:val="clear" w:pos="567"/>
              </w:tabs>
              <w:spacing w:before="0"/>
              <w:rPr>
                <w:b w:val="0"/>
                <w:sz w:val="16"/>
                <w:szCs w:val="16"/>
              </w:rPr>
            </w:pPr>
            <w:r>
              <w:rPr>
                <w:b w:val="0"/>
                <w:sz w:val="16"/>
                <w:szCs w:val="16"/>
              </w:rPr>
              <w:t>Chapter 6</w:t>
            </w:r>
          </w:p>
        </w:tc>
      </w:tr>
      <w:tr w:rsidR="004E0666" w:rsidTr="002D48EF">
        <w:trPr>
          <w:cantSplit/>
          <w:trHeight w:val="50"/>
        </w:trPr>
        <w:tc>
          <w:tcPr>
            <w:tcW w:w="908" w:type="dxa"/>
          </w:tcPr>
          <w:p w:rsidR="004E0666" w:rsidRDefault="004E0666" w:rsidP="00CE42ED">
            <w:pPr>
              <w:pStyle w:val="mhb1"/>
              <w:tabs>
                <w:tab w:val="clear" w:pos="567"/>
              </w:tabs>
              <w:spacing w:before="0"/>
              <w:jc w:val="center"/>
              <w:rPr>
                <w:b w:val="0"/>
                <w:sz w:val="16"/>
              </w:rPr>
            </w:pPr>
            <w:r>
              <w:rPr>
                <w:b w:val="0"/>
                <w:sz w:val="16"/>
              </w:rPr>
              <w:t>17AH(1)(</w:t>
            </w:r>
            <w:r w:rsidR="00CE42ED">
              <w:rPr>
                <w:b w:val="0"/>
                <w:sz w:val="16"/>
              </w:rPr>
              <w:t>e</w:t>
            </w:r>
            <w:r>
              <w:rPr>
                <w:b w:val="0"/>
                <w:sz w:val="16"/>
              </w:rPr>
              <w:t>)</w:t>
            </w:r>
          </w:p>
        </w:tc>
        <w:tc>
          <w:tcPr>
            <w:tcW w:w="760" w:type="dxa"/>
          </w:tcPr>
          <w:p w:rsidR="004E0666" w:rsidRDefault="004E0666" w:rsidP="007A2DEE">
            <w:pPr>
              <w:pStyle w:val="mhb1"/>
              <w:tabs>
                <w:tab w:val="clear" w:pos="567"/>
              </w:tabs>
              <w:spacing w:before="0"/>
              <w:jc w:val="center"/>
              <w:rPr>
                <w:b w:val="0"/>
                <w:sz w:val="20"/>
              </w:rPr>
            </w:pPr>
          </w:p>
        </w:tc>
        <w:tc>
          <w:tcPr>
            <w:tcW w:w="3351" w:type="dxa"/>
          </w:tcPr>
          <w:p w:rsidR="004E0666" w:rsidRPr="00CB1118" w:rsidRDefault="004E0666" w:rsidP="007A2DEE">
            <w:pPr>
              <w:pStyle w:val="mhb1"/>
              <w:tabs>
                <w:tab w:val="clear" w:pos="567"/>
              </w:tabs>
              <w:spacing w:before="0"/>
              <w:rPr>
                <w:b w:val="0"/>
                <w:sz w:val="20"/>
              </w:rPr>
            </w:pPr>
            <w:r w:rsidRPr="00CB1118">
              <w:rPr>
                <w:b w:val="0"/>
                <w:sz w:val="20"/>
              </w:rPr>
              <w:t>Correction of material errors in previous annual report</w:t>
            </w:r>
            <w:r w:rsidR="00FD232C">
              <w:rPr>
                <w:b w:val="0"/>
                <w:sz w:val="20"/>
              </w:rPr>
              <w:t>.</w:t>
            </w:r>
          </w:p>
        </w:tc>
        <w:tc>
          <w:tcPr>
            <w:tcW w:w="1275" w:type="dxa"/>
          </w:tcPr>
          <w:p w:rsidR="004E0666" w:rsidRPr="00CB1118" w:rsidRDefault="004E0666" w:rsidP="007A2DEE">
            <w:pPr>
              <w:pStyle w:val="mhb1"/>
              <w:tabs>
                <w:tab w:val="clear" w:pos="567"/>
              </w:tabs>
              <w:spacing w:before="0"/>
              <w:rPr>
                <w:b w:val="0"/>
                <w:sz w:val="20"/>
              </w:rPr>
            </w:pPr>
            <w:r w:rsidRPr="00CB1118">
              <w:rPr>
                <w:b w:val="0"/>
                <w:sz w:val="20"/>
              </w:rPr>
              <w:t>If applicable, mandatory</w:t>
            </w:r>
          </w:p>
        </w:tc>
        <w:tc>
          <w:tcPr>
            <w:tcW w:w="1134" w:type="dxa"/>
          </w:tcPr>
          <w:p w:rsidR="004E0666" w:rsidRPr="00EE0730" w:rsidRDefault="004E0666" w:rsidP="007A2DEE">
            <w:pPr>
              <w:pStyle w:val="mhb1"/>
              <w:tabs>
                <w:tab w:val="clear" w:pos="567"/>
              </w:tabs>
              <w:spacing w:before="0"/>
              <w:rPr>
                <w:b w:val="0"/>
                <w:sz w:val="16"/>
                <w:szCs w:val="16"/>
              </w:rPr>
            </w:pPr>
            <w:r>
              <w:rPr>
                <w:b w:val="0"/>
                <w:sz w:val="16"/>
                <w:szCs w:val="16"/>
              </w:rPr>
              <w:t>N/A</w:t>
            </w:r>
          </w:p>
        </w:tc>
      </w:tr>
      <w:tr w:rsidR="004E0666" w:rsidTr="002D48EF">
        <w:trPr>
          <w:cantSplit/>
          <w:trHeight w:val="50"/>
        </w:trPr>
        <w:tc>
          <w:tcPr>
            <w:tcW w:w="908" w:type="dxa"/>
          </w:tcPr>
          <w:p w:rsidR="004E0666" w:rsidRPr="00D65937" w:rsidRDefault="004E0666" w:rsidP="004E0666">
            <w:pPr>
              <w:pStyle w:val="mhb1"/>
              <w:tabs>
                <w:tab w:val="clear" w:pos="567"/>
              </w:tabs>
              <w:spacing w:before="0"/>
              <w:jc w:val="center"/>
              <w:rPr>
                <w:i/>
                <w:sz w:val="16"/>
              </w:rPr>
            </w:pPr>
            <w:r>
              <w:rPr>
                <w:i/>
                <w:sz w:val="16"/>
              </w:rPr>
              <w:t>17AH</w:t>
            </w:r>
            <w:r w:rsidRPr="00D65937">
              <w:rPr>
                <w:i/>
                <w:sz w:val="16"/>
              </w:rPr>
              <w:t>(</w:t>
            </w:r>
            <w:r>
              <w:rPr>
                <w:i/>
                <w:sz w:val="16"/>
              </w:rPr>
              <w:t>2</w:t>
            </w:r>
            <w:r w:rsidRPr="00D65937">
              <w:rPr>
                <w:i/>
                <w:sz w:val="16"/>
              </w:rPr>
              <w:t>)</w:t>
            </w:r>
          </w:p>
        </w:tc>
        <w:tc>
          <w:tcPr>
            <w:tcW w:w="6520" w:type="dxa"/>
            <w:gridSpan w:val="4"/>
          </w:tcPr>
          <w:p w:rsidR="004E0666" w:rsidRPr="00F43761" w:rsidRDefault="004E0666" w:rsidP="008B7F83">
            <w:pPr>
              <w:pStyle w:val="mhb1"/>
              <w:tabs>
                <w:tab w:val="clear" w:pos="567"/>
              </w:tabs>
              <w:spacing w:before="0"/>
              <w:rPr>
                <w:i/>
                <w:sz w:val="20"/>
              </w:rPr>
            </w:pPr>
            <w:r>
              <w:rPr>
                <w:i/>
                <w:sz w:val="20"/>
              </w:rPr>
              <w:t>Information required by other legislation</w:t>
            </w:r>
          </w:p>
        </w:tc>
      </w:tr>
      <w:tr w:rsidR="00CF50ED" w:rsidTr="002D48EF">
        <w:trPr>
          <w:cantSplit/>
          <w:trHeight w:val="50"/>
        </w:trPr>
        <w:tc>
          <w:tcPr>
            <w:tcW w:w="908" w:type="dxa"/>
          </w:tcPr>
          <w:p w:rsidR="00CF50ED" w:rsidRDefault="00CF50ED" w:rsidP="008B7F83">
            <w:pPr>
              <w:pStyle w:val="mhb1"/>
              <w:tabs>
                <w:tab w:val="clear" w:pos="567"/>
              </w:tabs>
              <w:spacing w:before="0"/>
              <w:jc w:val="center"/>
              <w:rPr>
                <w:b w:val="0"/>
                <w:sz w:val="16"/>
              </w:rPr>
            </w:pPr>
          </w:p>
        </w:tc>
        <w:tc>
          <w:tcPr>
            <w:tcW w:w="760" w:type="dxa"/>
          </w:tcPr>
          <w:p w:rsidR="00CF50ED" w:rsidRDefault="00CF50ED" w:rsidP="008B7F83">
            <w:pPr>
              <w:pStyle w:val="mhb1"/>
              <w:tabs>
                <w:tab w:val="clear" w:pos="567"/>
              </w:tabs>
              <w:spacing w:before="0"/>
              <w:rPr>
                <w:b w:val="0"/>
                <w:i/>
                <w:sz w:val="20"/>
              </w:rPr>
            </w:pPr>
          </w:p>
        </w:tc>
        <w:tc>
          <w:tcPr>
            <w:tcW w:w="3351" w:type="dxa"/>
          </w:tcPr>
          <w:p w:rsidR="00CF50ED" w:rsidRPr="00CB1118" w:rsidRDefault="00CF50ED" w:rsidP="008B7F83">
            <w:pPr>
              <w:pStyle w:val="mhb1"/>
              <w:tabs>
                <w:tab w:val="clear" w:pos="567"/>
              </w:tabs>
              <w:spacing w:before="0"/>
              <w:rPr>
                <w:b w:val="0"/>
                <w:sz w:val="20"/>
              </w:rPr>
            </w:pPr>
            <w:r>
              <w:rPr>
                <w:b w:val="0"/>
                <w:sz w:val="20"/>
              </w:rPr>
              <w:t>Work</w:t>
            </w:r>
            <w:r w:rsidRPr="00CB1118">
              <w:rPr>
                <w:b w:val="0"/>
                <w:sz w:val="20"/>
              </w:rPr>
              <w:t xml:space="preserve"> health and safety (</w:t>
            </w:r>
            <w:r>
              <w:rPr>
                <w:b w:val="0"/>
                <w:sz w:val="20"/>
              </w:rPr>
              <w:t>Schedule 2, Part 4</w:t>
            </w:r>
            <w:r w:rsidRPr="00CB1118">
              <w:rPr>
                <w:b w:val="0"/>
                <w:sz w:val="20"/>
              </w:rPr>
              <w:t xml:space="preserve"> of the </w:t>
            </w:r>
            <w:r>
              <w:rPr>
                <w:b w:val="0"/>
                <w:i/>
                <w:sz w:val="20"/>
              </w:rPr>
              <w:t>Work</w:t>
            </w:r>
            <w:r w:rsidRPr="00CB1118">
              <w:rPr>
                <w:b w:val="0"/>
                <w:i/>
                <w:sz w:val="20"/>
              </w:rPr>
              <w:t xml:space="preserve"> Health and</w:t>
            </w:r>
            <w:r>
              <w:rPr>
                <w:b w:val="0"/>
                <w:i/>
                <w:sz w:val="20"/>
              </w:rPr>
              <w:t xml:space="preserve"> Safety</w:t>
            </w:r>
            <w:r w:rsidRPr="00CB1118">
              <w:rPr>
                <w:b w:val="0"/>
                <w:i/>
                <w:sz w:val="20"/>
              </w:rPr>
              <w:t xml:space="preserve"> Act </w:t>
            </w:r>
            <w:r>
              <w:rPr>
                <w:b w:val="0"/>
                <w:i/>
                <w:sz w:val="20"/>
              </w:rPr>
              <w:t>2011</w:t>
            </w:r>
            <w:r w:rsidRPr="002F4DFE">
              <w:rPr>
                <w:b w:val="0"/>
                <w:sz w:val="20"/>
              </w:rPr>
              <w:t>)</w:t>
            </w:r>
            <w:r w:rsidR="00FD232C">
              <w:rPr>
                <w:b w:val="0"/>
                <w:sz w:val="20"/>
              </w:rPr>
              <w:t>.</w:t>
            </w:r>
          </w:p>
        </w:tc>
        <w:tc>
          <w:tcPr>
            <w:tcW w:w="1275" w:type="dxa"/>
          </w:tcPr>
          <w:p w:rsidR="00CF50ED" w:rsidRPr="00CB1118" w:rsidRDefault="00CF50ED" w:rsidP="008B7F83">
            <w:pPr>
              <w:pStyle w:val="mhb1"/>
              <w:tabs>
                <w:tab w:val="clear" w:pos="567"/>
              </w:tabs>
              <w:spacing w:before="0"/>
              <w:rPr>
                <w:b w:val="0"/>
                <w:sz w:val="20"/>
              </w:rPr>
            </w:pPr>
            <w:r w:rsidRPr="00CB1118">
              <w:rPr>
                <w:b w:val="0"/>
                <w:sz w:val="20"/>
              </w:rPr>
              <w:t>Mandatory</w:t>
            </w:r>
          </w:p>
        </w:tc>
        <w:tc>
          <w:tcPr>
            <w:tcW w:w="1134" w:type="dxa"/>
          </w:tcPr>
          <w:p w:rsidR="00CF50ED" w:rsidRPr="00EE0730" w:rsidRDefault="00CF50ED" w:rsidP="008B7F83">
            <w:pPr>
              <w:pStyle w:val="mhb1"/>
              <w:tabs>
                <w:tab w:val="clear" w:pos="567"/>
              </w:tabs>
              <w:spacing w:before="0"/>
              <w:rPr>
                <w:b w:val="0"/>
                <w:sz w:val="16"/>
                <w:szCs w:val="16"/>
              </w:rPr>
            </w:pPr>
            <w:r>
              <w:rPr>
                <w:b w:val="0"/>
                <w:sz w:val="16"/>
                <w:szCs w:val="16"/>
              </w:rPr>
              <w:t>Chapter 4</w:t>
            </w:r>
          </w:p>
        </w:tc>
      </w:tr>
      <w:tr w:rsidR="00CF50ED" w:rsidTr="002D48EF">
        <w:trPr>
          <w:cantSplit/>
          <w:trHeight w:val="50"/>
        </w:trPr>
        <w:tc>
          <w:tcPr>
            <w:tcW w:w="908" w:type="dxa"/>
          </w:tcPr>
          <w:p w:rsidR="00CF50ED" w:rsidRDefault="00CF50ED" w:rsidP="008B7F83">
            <w:pPr>
              <w:pStyle w:val="mhb1"/>
              <w:tabs>
                <w:tab w:val="clear" w:pos="567"/>
              </w:tabs>
              <w:spacing w:before="0"/>
              <w:jc w:val="center"/>
              <w:rPr>
                <w:b w:val="0"/>
                <w:sz w:val="16"/>
              </w:rPr>
            </w:pPr>
          </w:p>
        </w:tc>
        <w:tc>
          <w:tcPr>
            <w:tcW w:w="760" w:type="dxa"/>
          </w:tcPr>
          <w:p w:rsidR="00CF50ED" w:rsidRDefault="00CF50ED" w:rsidP="008B7F83">
            <w:pPr>
              <w:pStyle w:val="mhb1"/>
              <w:tabs>
                <w:tab w:val="clear" w:pos="567"/>
              </w:tabs>
              <w:spacing w:before="0"/>
              <w:jc w:val="center"/>
              <w:rPr>
                <w:b w:val="0"/>
                <w:sz w:val="20"/>
              </w:rPr>
            </w:pPr>
          </w:p>
        </w:tc>
        <w:tc>
          <w:tcPr>
            <w:tcW w:w="3351" w:type="dxa"/>
          </w:tcPr>
          <w:p w:rsidR="00CF50ED" w:rsidRPr="00CB1118" w:rsidRDefault="00CF50ED" w:rsidP="008B7F83">
            <w:pPr>
              <w:pStyle w:val="mhb1"/>
              <w:tabs>
                <w:tab w:val="clear" w:pos="567"/>
              </w:tabs>
              <w:spacing w:before="0"/>
              <w:rPr>
                <w:b w:val="0"/>
                <w:sz w:val="20"/>
              </w:rPr>
            </w:pPr>
            <w:r w:rsidRPr="00CB1118">
              <w:rPr>
                <w:b w:val="0"/>
                <w:sz w:val="20"/>
              </w:rPr>
              <w:t>Ecologically sustainable development and environmental performance (</w:t>
            </w:r>
            <w:r>
              <w:rPr>
                <w:b w:val="0"/>
                <w:sz w:val="20"/>
              </w:rPr>
              <w:t>s</w:t>
            </w:r>
            <w:r w:rsidRPr="00CB1118">
              <w:rPr>
                <w:b w:val="0"/>
                <w:sz w:val="20"/>
              </w:rPr>
              <w:t xml:space="preserve">ection 516A of the </w:t>
            </w:r>
            <w:r w:rsidRPr="00CB1118">
              <w:rPr>
                <w:b w:val="0"/>
                <w:i/>
                <w:sz w:val="20"/>
              </w:rPr>
              <w:t>Environment Protection and Biodiversity Conservation Act 1999</w:t>
            </w:r>
            <w:r w:rsidRPr="00CB1118">
              <w:rPr>
                <w:b w:val="0"/>
                <w:sz w:val="20"/>
              </w:rPr>
              <w:t>)</w:t>
            </w:r>
            <w:r w:rsidR="00FD232C">
              <w:rPr>
                <w:b w:val="0"/>
                <w:sz w:val="20"/>
              </w:rPr>
              <w:t>.</w:t>
            </w:r>
          </w:p>
        </w:tc>
        <w:tc>
          <w:tcPr>
            <w:tcW w:w="1275" w:type="dxa"/>
          </w:tcPr>
          <w:p w:rsidR="00CF50ED" w:rsidRPr="00CB1118" w:rsidRDefault="00CF50ED" w:rsidP="008B7F83">
            <w:pPr>
              <w:pStyle w:val="mhb1"/>
              <w:tabs>
                <w:tab w:val="clear" w:pos="567"/>
              </w:tabs>
              <w:spacing w:before="0"/>
              <w:rPr>
                <w:b w:val="0"/>
                <w:sz w:val="20"/>
              </w:rPr>
            </w:pPr>
            <w:r w:rsidRPr="00CB1118">
              <w:rPr>
                <w:b w:val="0"/>
                <w:sz w:val="20"/>
              </w:rPr>
              <w:t>Mandatory</w:t>
            </w:r>
          </w:p>
        </w:tc>
        <w:tc>
          <w:tcPr>
            <w:tcW w:w="1134" w:type="dxa"/>
          </w:tcPr>
          <w:p w:rsidR="00CF50ED" w:rsidRPr="00EE0730" w:rsidRDefault="00CF50ED" w:rsidP="008B7F83">
            <w:pPr>
              <w:pStyle w:val="mhb1"/>
              <w:tabs>
                <w:tab w:val="clear" w:pos="567"/>
              </w:tabs>
              <w:spacing w:before="0"/>
              <w:rPr>
                <w:b w:val="0"/>
                <w:sz w:val="16"/>
                <w:szCs w:val="16"/>
              </w:rPr>
            </w:pPr>
            <w:r>
              <w:rPr>
                <w:b w:val="0"/>
                <w:sz w:val="16"/>
                <w:szCs w:val="16"/>
              </w:rPr>
              <w:t>Chapter 6 and Appendix C</w:t>
            </w:r>
          </w:p>
        </w:tc>
      </w:tr>
    </w:tbl>
    <w:p w:rsidR="00444B88" w:rsidRDefault="00444B88" w:rsidP="00DC7B00">
      <w:pPr>
        <w:spacing w:before="120"/>
        <w:rPr>
          <w:rFonts w:ascii="Arial" w:hAnsi="Arial" w:cs="Arial"/>
          <w:sz w:val="16"/>
          <w:szCs w:val="16"/>
        </w:rPr>
        <w:sectPr w:rsidR="00444B88" w:rsidSect="00D56569">
          <w:headerReference w:type="even" r:id="rId136"/>
          <w:headerReference w:type="default" r:id="rId137"/>
          <w:pgSz w:w="11907" w:h="16839" w:code="9"/>
          <w:pgMar w:top="1134" w:right="2410" w:bottom="4253" w:left="2410" w:header="510" w:footer="3402" w:gutter="0"/>
          <w:cols w:space="709"/>
          <w:docGrid w:linePitch="326"/>
        </w:sectPr>
      </w:pPr>
    </w:p>
    <w:p w:rsidR="000352B8" w:rsidRDefault="000352B8" w:rsidP="000352B8">
      <w:pPr>
        <w:pStyle w:val="Head2"/>
      </w:pPr>
      <w:bookmarkStart w:id="131" w:name="_Toc492656495"/>
      <w:r>
        <w:lastRenderedPageBreak/>
        <w:t>Glossary</w:t>
      </w:r>
      <w:bookmarkEnd w:id="131"/>
    </w:p>
    <w:tbl>
      <w:tblPr>
        <w:tblW w:w="0" w:type="auto"/>
        <w:tblLook w:val="0000" w:firstRow="0" w:lastRow="0" w:firstColumn="0" w:lastColumn="0" w:noHBand="0" w:noVBand="0"/>
      </w:tblPr>
      <w:tblGrid>
        <w:gridCol w:w="1809"/>
        <w:gridCol w:w="5494"/>
      </w:tblGrid>
      <w:tr w:rsidR="000352B8" w:rsidTr="00EC53A6">
        <w:trPr>
          <w:trHeight w:hRule="exact" w:val="454"/>
        </w:trPr>
        <w:tc>
          <w:tcPr>
            <w:tcW w:w="1809" w:type="dxa"/>
          </w:tcPr>
          <w:p w:rsidR="000352B8" w:rsidRDefault="000352B8" w:rsidP="00082D5A">
            <w:pPr>
              <w:pStyle w:val="Body"/>
              <w:spacing w:before="180"/>
              <w:rPr>
                <w:b/>
                <w:i/>
              </w:rPr>
            </w:pPr>
            <w:r>
              <w:rPr>
                <w:b/>
                <w:i/>
              </w:rPr>
              <w:t>AASB</w:t>
            </w:r>
          </w:p>
        </w:tc>
        <w:tc>
          <w:tcPr>
            <w:tcW w:w="5494" w:type="dxa"/>
          </w:tcPr>
          <w:p w:rsidR="000352B8" w:rsidRDefault="000352B8" w:rsidP="00082D5A">
            <w:pPr>
              <w:pStyle w:val="Body"/>
              <w:spacing w:before="180"/>
            </w:pPr>
            <w:r>
              <w:t>Australian Accounting Standards Board</w:t>
            </w:r>
          </w:p>
        </w:tc>
      </w:tr>
      <w:tr w:rsidR="000352B8" w:rsidTr="00EC53A6">
        <w:trPr>
          <w:trHeight w:hRule="exact" w:val="454"/>
        </w:trPr>
        <w:tc>
          <w:tcPr>
            <w:tcW w:w="1809" w:type="dxa"/>
          </w:tcPr>
          <w:p w:rsidR="000352B8" w:rsidRDefault="000352B8" w:rsidP="00082D5A">
            <w:pPr>
              <w:pStyle w:val="Body"/>
              <w:spacing w:before="180"/>
              <w:rPr>
                <w:b/>
                <w:i/>
              </w:rPr>
            </w:pPr>
            <w:r>
              <w:rPr>
                <w:b/>
                <w:i/>
              </w:rPr>
              <w:t>ACT</w:t>
            </w:r>
          </w:p>
        </w:tc>
        <w:tc>
          <w:tcPr>
            <w:tcW w:w="5494" w:type="dxa"/>
          </w:tcPr>
          <w:p w:rsidR="000352B8" w:rsidRDefault="000352B8" w:rsidP="00082D5A">
            <w:pPr>
              <w:pStyle w:val="Body"/>
              <w:spacing w:before="180"/>
            </w:pPr>
            <w:r>
              <w:t>Australian Capital Territory</w:t>
            </w:r>
          </w:p>
        </w:tc>
      </w:tr>
      <w:tr w:rsidR="004C0F06" w:rsidTr="00EC53A6">
        <w:trPr>
          <w:trHeight w:hRule="exact" w:val="765"/>
        </w:trPr>
        <w:tc>
          <w:tcPr>
            <w:tcW w:w="1809" w:type="dxa"/>
          </w:tcPr>
          <w:p w:rsidR="004C0F06" w:rsidRDefault="004C0F06" w:rsidP="004C0F06">
            <w:pPr>
              <w:pStyle w:val="Body"/>
              <w:spacing w:before="180"/>
              <w:rPr>
                <w:b/>
                <w:i/>
              </w:rPr>
            </w:pPr>
            <w:r>
              <w:rPr>
                <w:b/>
                <w:i/>
              </w:rPr>
              <w:t>APS</w:t>
            </w:r>
          </w:p>
        </w:tc>
        <w:tc>
          <w:tcPr>
            <w:tcW w:w="5494" w:type="dxa"/>
          </w:tcPr>
          <w:p w:rsidR="004C0F06" w:rsidRDefault="004C0F06" w:rsidP="00AF3F7F">
            <w:pPr>
              <w:pStyle w:val="Body"/>
              <w:spacing w:before="180"/>
            </w:pPr>
            <w:r>
              <w:t>Australian Public Service (OPC staff below Executive Level are classified as APS 1 to 6)</w:t>
            </w:r>
          </w:p>
        </w:tc>
      </w:tr>
      <w:tr w:rsidR="00C36B60" w:rsidTr="00AF3F7F">
        <w:trPr>
          <w:trHeight w:hRule="exact" w:val="454"/>
        </w:trPr>
        <w:tc>
          <w:tcPr>
            <w:tcW w:w="1809" w:type="dxa"/>
          </w:tcPr>
          <w:p w:rsidR="00C36B60" w:rsidRDefault="00C36B60" w:rsidP="004C0F06">
            <w:pPr>
              <w:pStyle w:val="Body"/>
              <w:spacing w:before="180"/>
              <w:rPr>
                <w:b/>
                <w:i/>
              </w:rPr>
            </w:pPr>
            <w:r>
              <w:rPr>
                <w:b/>
                <w:i/>
              </w:rPr>
              <w:t>APSC</w:t>
            </w:r>
          </w:p>
        </w:tc>
        <w:tc>
          <w:tcPr>
            <w:tcW w:w="5494" w:type="dxa"/>
          </w:tcPr>
          <w:p w:rsidR="00C36B60" w:rsidRDefault="00C36B60" w:rsidP="004C0F06">
            <w:pPr>
              <w:pStyle w:val="Body"/>
              <w:spacing w:before="180"/>
            </w:pPr>
            <w:r>
              <w:t>Australian Public Service Commission</w:t>
            </w:r>
          </w:p>
        </w:tc>
      </w:tr>
      <w:tr w:rsidR="004C0F06" w:rsidTr="00EC53A6">
        <w:trPr>
          <w:trHeight w:hRule="exact" w:val="454"/>
        </w:trPr>
        <w:tc>
          <w:tcPr>
            <w:tcW w:w="1809" w:type="dxa"/>
          </w:tcPr>
          <w:p w:rsidR="004C0F06" w:rsidRDefault="004C0F06" w:rsidP="00082D5A">
            <w:pPr>
              <w:pStyle w:val="Body"/>
              <w:spacing w:before="180"/>
              <w:rPr>
                <w:b/>
                <w:i/>
              </w:rPr>
            </w:pPr>
            <w:r>
              <w:rPr>
                <w:b/>
                <w:i/>
              </w:rPr>
              <w:t>assistant drafter</w:t>
            </w:r>
          </w:p>
        </w:tc>
        <w:tc>
          <w:tcPr>
            <w:tcW w:w="5494" w:type="dxa"/>
          </w:tcPr>
          <w:p w:rsidR="004C0F06" w:rsidRDefault="004C0F06" w:rsidP="00082D5A">
            <w:pPr>
              <w:pStyle w:val="Body"/>
              <w:spacing w:before="180"/>
            </w:pPr>
            <w:r>
              <w:t>a drafter other than a senior drafter</w:t>
            </w:r>
          </w:p>
        </w:tc>
      </w:tr>
      <w:tr w:rsidR="00FF6992" w:rsidTr="00FF6992">
        <w:trPr>
          <w:trHeight w:hRule="exact" w:val="555"/>
        </w:trPr>
        <w:tc>
          <w:tcPr>
            <w:tcW w:w="1809" w:type="dxa"/>
          </w:tcPr>
          <w:p w:rsidR="00FF6992" w:rsidRDefault="00FF6992" w:rsidP="00082D5A">
            <w:pPr>
              <w:pStyle w:val="Body"/>
              <w:spacing w:before="180"/>
              <w:rPr>
                <w:b/>
                <w:i/>
              </w:rPr>
            </w:pPr>
            <w:r>
              <w:rPr>
                <w:b/>
                <w:i/>
              </w:rPr>
              <w:t>BCM</w:t>
            </w:r>
          </w:p>
        </w:tc>
        <w:tc>
          <w:tcPr>
            <w:tcW w:w="5494" w:type="dxa"/>
          </w:tcPr>
          <w:p w:rsidR="00FF6992" w:rsidRDefault="00FF6992" w:rsidP="00082D5A">
            <w:pPr>
              <w:pStyle w:val="Body"/>
              <w:spacing w:before="180"/>
            </w:pPr>
            <w:r>
              <w:t>business continuity management</w:t>
            </w:r>
          </w:p>
        </w:tc>
      </w:tr>
      <w:tr w:rsidR="00FF6992" w:rsidTr="00FF6992">
        <w:trPr>
          <w:trHeight w:hRule="exact" w:val="555"/>
        </w:trPr>
        <w:tc>
          <w:tcPr>
            <w:tcW w:w="1809" w:type="dxa"/>
          </w:tcPr>
          <w:p w:rsidR="00FF6992" w:rsidRDefault="00FF6992" w:rsidP="00082D5A">
            <w:pPr>
              <w:pStyle w:val="Body"/>
              <w:spacing w:before="180"/>
              <w:rPr>
                <w:b/>
                <w:i/>
              </w:rPr>
            </w:pPr>
            <w:r>
              <w:rPr>
                <w:b/>
                <w:i/>
              </w:rPr>
              <w:t>CALC</w:t>
            </w:r>
          </w:p>
        </w:tc>
        <w:tc>
          <w:tcPr>
            <w:tcW w:w="5494" w:type="dxa"/>
          </w:tcPr>
          <w:p w:rsidR="00FF6992" w:rsidRDefault="00FF6992" w:rsidP="00082D5A">
            <w:pPr>
              <w:pStyle w:val="Body"/>
              <w:spacing w:before="180"/>
            </w:pPr>
            <w:r>
              <w:t>Commonwealth Association of Legislative Counsel</w:t>
            </w:r>
          </w:p>
        </w:tc>
      </w:tr>
      <w:tr w:rsidR="00DE3137" w:rsidTr="00EC53A6">
        <w:trPr>
          <w:trHeight w:hRule="exact" w:val="454"/>
        </w:trPr>
        <w:tc>
          <w:tcPr>
            <w:tcW w:w="1809" w:type="dxa"/>
          </w:tcPr>
          <w:p w:rsidR="00DE3137" w:rsidRDefault="00051B62" w:rsidP="00082D5A">
            <w:pPr>
              <w:pStyle w:val="Body"/>
              <w:spacing w:before="180"/>
              <w:rPr>
                <w:b/>
                <w:i/>
              </w:rPr>
            </w:pPr>
            <w:r>
              <w:rPr>
                <w:b/>
                <w:i/>
              </w:rPr>
              <w:t>ExCo</w:t>
            </w:r>
          </w:p>
        </w:tc>
        <w:tc>
          <w:tcPr>
            <w:tcW w:w="5494" w:type="dxa"/>
          </w:tcPr>
          <w:p w:rsidR="00DE3137" w:rsidRDefault="00051B62" w:rsidP="00082D5A">
            <w:pPr>
              <w:pStyle w:val="Body"/>
              <w:spacing w:before="180"/>
            </w:pPr>
            <w:r>
              <w:t>Federal Executive Council</w:t>
            </w:r>
          </w:p>
        </w:tc>
      </w:tr>
      <w:tr w:rsidR="00AF4A39" w:rsidTr="00EC53A6">
        <w:trPr>
          <w:trHeight w:hRule="exact" w:val="454"/>
        </w:trPr>
        <w:tc>
          <w:tcPr>
            <w:tcW w:w="1809" w:type="dxa"/>
          </w:tcPr>
          <w:p w:rsidR="00AF4A39" w:rsidRDefault="00AF4A39" w:rsidP="00082D5A">
            <w:pPr>
              <w:pStyle w:val="Body"/>
              <w:spacing w:before="180"/>
              <w:rPr>
                <w:b/>
                <w:i/>
              </w:rPr>
            </w:pPr>
            <w:r>
              <w:rPr>
                <w:b/>
                <w:i/>
              </w:rPr>
              <w:t>FOI Act</w:t>
            </w:r>
          </w:p>
        </w:tc>
        <w:tc>
          <w:tcPr>
            <w:tcW w:w="5494" w:type="dxa"/>
          </w:tcPr>
          <w:p w:rsidR="00AF4A39" w:rsidRPr="00AF4A39" w:rsidRDefault="00AF4A39" w:rsidP="00082D5A">
            <w:pPr>
              <w:pStyle w:val="Body"/>
              <w:spacing w:before="180"/>
              <w:rPr>
                <w:i/>
              </w:rPr>
            </w:pPr>
            <w:r w:rsidRPr="00AF4A39">
              <w:rPr>
                <w:i/>
              </w:rPr>
              <w:t>Freedom of Information Act 1982</w:t>
            </w:r>
          </w:p>
        </w:tc>
      </w:tr>
      <w:tr w:rsidR="004C0F06" w:rsidTr="00EC53A6">
        <w:trPr>
          <w:trHeight w:hRule="exact" w:val="454"/>
        </w:trPr>
        <w:tc>
          <w:tcPr>
            <w:tcW w:w="1809" w:type="dxa"/>
          </w:tcPr>
          <w:p w:rsidR="004C0F06" w:rsidRDefault="004C0F06" w:rsidP="00082D5A">
            <w:pPr>
              <w:pStyle w:val="Body"/>
              <w:spacing w:before="180"/>
              <w:rPr>
                <w:b/>
                <w:i/>
              </w:rPr>
            </w:pPr>
            <w:r>
              <w:rPr>
                <w:b/>
                <w:i/>
              </w:rPr>
              <w:t>FPC</w:t>
            </w:r>
          </w:p>
        </w:tc>
        <w:tc>
          <w:tcPr>
            <w:tcW w:w="5494" w:type="dxa"/>
          </w:tcPr>
          <w:p w:rsidR="004C0F06" w:rsidRDefault="004C0F06" w:rsidP="00082D5A">
            <w:pPr>
              <w:pStyle w:val="Body"/>
              <w:spacing w:before="180"/>
            </w:pPr>
            <w:r>
              <w:t>First Parliamentary Counsel</w:t>
            </w:r>
          </w:p>
        </w:tc>
      </w:tr>
      <w:tr w:rsidR="00AF4A39" w:rsidTr="00EC53A6">
        <w:trPr>
          <w:trHeight w:hRule="exact" w:val="454"/>
        </w:trPr>
        <w:tc>
          <w:tcPr>
            <w:tcW w:w="1809" w:type="dxa"/>
          </w:tcPr>
          <w:p w:rsidR="00AF4A39" w:rsidRDefault="00AF4A39" w:rsidP="00082D5A">
            <w:pPr>
              <w:pStyle w:val="Body"/>
              <w:spacing w:before="180"/>
              <w:rPr>
                <w:b/>
                <w:i/>
              </w:rPr>
            </w:pPr>
            <w:r>
              <w:rPr>
                <w:b/>
                <w:i/>
              </w:rPr>
              <w:t>IPS</w:t>
            </w:r>
          </w:p>
        </w:tc>
        <w:tc>
          <w:tcPr>
            <w:tcW w:w="5494" w:type="dxa"/>
          </w:tcPr>
          <w:p w:rsidR="00AF4A39" w:rsidRDefault="00AF4A39" w:rsidP="00082D5A">
            <w:pPr>
              <w:pStyle w:val="Body"/>
              <w:spacing w:before="180"/>
            </w:pPr>
            <w:r>
              <w:t>Information Publication Scheme</w:t>
            </w:r>
          </w:p>
        </w:tc>
      </w:tr>
      <w:tr w:rsidR="004C0F06" w:rsidTr="00EC53A6">
        <w:trPr>
          <w:trHeight w:hRule="exact" w:val="454"/>
        </w:trPr>
        <w:tc>
          <w:tcPr>
            <w:tcW w:w="1809" w:type="dxa"/>
          </w:tcPr>
          <w:p w:rsidR="004C0F06" w:rsidRDefault="004C0F06" w:rsidP="00082D5A">
            <w:pPr>
              <w:pStyle w:val="Body"/>
              <w:spacing w:before="180"/>
              <w:rPr>
                <w:b/>
                <w:i/>
              </w:rPr>
            </w:pPr>
            <w:r>
              <w:rPr>
                <w:b/>
                <w:i/>
              </w:rPr>
              <w:t>IT</w:t>
            </w:r>
          </w:p>
        </w:tc>
        <w:tc>
          <w:tcPr>
            <w:tcW w:w="5494" w:type="dxa"/>
          </w:tcPr>
          <w:p w:rsidR="004C0F06" w:rsidRDefault="004C0F06" w:rsidP="00082D5A">
            <w:pPr>
              <w:pStyle w:val="Body"/>
              <w:spacing w:before="180"/>
            </w:pPr>
            <w:r>
              <w:t>information technology</w:t>
            </w:r>
          </w:p>
        </w:tc>
      </w:tr>
      <w:tr w:rsidR="00AF4A39" w:rsidTr="00984C60">
        <w:trPr>
          <w:trHeight w:hRule="exact" w:val="473"/>
        </w:trPr>
        <w:tc>
          <w:tcPr>
            <w:tcW w:w="1809" w:type="dxa"/>
          </w:tcPr>
          <w:p w:rsidR="00AF4A39" w:rsidRDefault="00984C60" w:rsidP="00082D5A">
            <w:pPr>
              <w:pStyle w:val="Body"/>
              <w:spacing w:before="180"/>
              <w:rPr>
                <w:b/>
                <w:i/>
              </w:rPr>
            </w:pPr>
            <w:r>
              <w:rPr>
                <w:b/>
                <w:i/>
              </w:rPr>
              <w:t>Legislation Act</w:t>
            </w:r>
          </w:p>
        </w:tc>
        <w:tc>
          <w:tcPr>
            <w:tcW w:w="5494" w:type="dxa"/>
          </w:tcPr>
          <w:p w:rsidR="00AF4A39" w:rsidRPr="00984C60" w:rsidRDefault="00984C60" w:rsidP="00D433ED">
            <w:pPr>
              <w:pStyle w:val="Body"/>
              <w:spacing w:before="180"/>
              <w:rPr>
                <w:i/>
              </w:rPr>
            </w:pPr>
            <w:r w:rsidRPr="00984C60">
              <w:rPr>
                <w:i/>
              </w:rPr>
              <w:t>Legislation Act 2003</w:t>
            </w:r>
          </w:p>
        </w:tc>
      </w:tr>
      <w:tr w:rsidR="00984C60" w:rsidTr="00984C60">
        <w:trPr>
          <w:trHeight w:hRule="exact" w:val="849"/>
        </w:trPr>
        <w:tc>
          <w:tcPr>
            <w:tcW w:w="1809" w:type="dxa"/>
          </w:tcPr>
          <w:p w:rsidR="00984C60" w:rsidRDefault="00984C60" w:rsidP="00082D5A">
            <w:pPr>
              <w:pStyle w:val="Body"/>
              <w:spacing w:before="180"/>
              <w:rPr>
                <w:b/>
                <w:i/>
              </w:rPr>
            </w:pPr>
            <w:r>
              <w:rPr>
                <w:b/>
                <w:i/>
              </w:rPr>
              <w:t>Legislation Register</w:t>
            </w:r>
          </w:p>
        </w:tc>
        <w:tc>
          <w:tcPr>
            <w:tcW w:w="5494" w:type="dxa"/>
          </w:tcPr>
          <w:p w:rsidR="00984C60" w:rsidRPr="00984C60" w:rsidRDefault="00984C60" w:rsidP="00D433ED">
            <w:pPr>
              <w:pStyle w:val="Body"/>
              <w:spacing w:before="180"/>
            </w:pPr>
            <w:r>
              <w:t>Federal Register of Legislation</w:t>
            </w:r>
          </w:p>
        </w:tc>
      </w:tr>
      <w:tr w:rsidR="00FF6992" w:rsidTr="00984C60">
        <w:trPr>
          <w:trHeight w:hRule="exact" w:val="563"/>
        </w:trPr>
        <w:tc>
          <w:tcPr>
            <w:tcW w:w="1809" w:type="dxa"/>
          </w:tcPr>
          <w:p w:rsidR="00FF6992" w:rsidRDefault="00FF6992" w:rsidP="00082D5A">
            <w:pPr>
              <w:pStyle w:val="Body"/>
              <w:spacing w:before="180"/>
              <w:rPr>
                <w:b/>
                <w:i/>
              </w:rPr>
            </w:pPr>
            <w:r>
              <w:rPr>
                <w:b/>
                <w:i/>
              </w:rPr>
              <w:t>NABERS</w:t>
            </w:r>
          </w:p>
        </w:tc>
        <w:tc>
          <w:tcPr>
            <w:tcW w:w="5494" w:type="dxa"/>
          </w:tcPr>
          <w:p w:rsidR="00FF6992" w:rsidRPr="00FF6992" w:rsidRDefault="00FF6992" w:rsidP="00082D5A">
            <w:pPr>
              <w:pStyle w:val="Body"/>
              <w:spacing w:before="180"/>
            </w:pPr>
            <w:r>
              <w:t>National Australian Built Environment Rating System</w:t>
            </w:r>
          </w:p>
        </w:tc>
      </w:tr>
      <w:tr w:rsidR="00FF6992" w:rsidTr="00984C60">
        <w:trPr>
          <w:trHeight w:hRule="exact" w:val="563"/>
        </w:trPr>
        <w:tc>
          <w:tcPr>
            <w:tcW w:w="1809" w:type="dxa"/>
          </w:tcPr>
          <w:p w:rsidR="00FF6992" w:rsidRDefault="00FF6992" w:rsidP="00082D5A">
            <w:pPr>
              <w:pStyle w:val="Body"/>
              <w:spacing w:before="180"/>
              <w:rPr>
                <w:b/>
                <w:i/>
              </w:rPr>
            </w:pPr>
            <w:r>
              <w:rPr>
                <w:b/>
                <w:i/>
              </w:rPr>
              <w:t>NLPD</w:t>
            </w:r>
          </w:p>
        </w:tc>
        <w:tc>
          <w:tcPr>
            <w:tcW w:w="5494" w:type="dxa"/>
          </w:tcPr>
          <w:p w:rsidR="00FF6992" w:rsidRDefault="00FF6992" w:rsidP="00082D5A">
            <w:pPr>
              <w:pStyle w:val="Body"/>
              <w:spacing w:before="180"/>
            </w:pPr>
            <w:r>
              <w:t>Nominal Lighting Power Density</w:t>
            </w:r>
          </w:p>
        </w:tc>
      </w:tr>
      <w:tr w:rsidR="004C0F06" w:rsidTr="00EC53A6">
        <w:trPr>
          <w:trHeight w:hRule="exact" w:val="454"/>
        </w:trPr>
        <w:tc>
          <w:tcPr>
            <w:tcW w:w="1809" w:type="dxa"/>
          </w:tcPr>
          <w:p w:rsidR="004C0F06" w:rsidRDefault="004C0F06" w:rsidP="00082D5A">
            <w:pPr>
              <w:pStyle w:val="Body"/>
              <w:spacing w:before="180"/>
              <w:rPr>
                <w:b/>
                <w:i/>
              </w:rPr>
            </w:pPr>
            <w:r>
              <w:rPr>
                <w:b/>
                <w:i/>
              </w:rPr>
              <w:t>OPC</w:t>
            </w:r>
          </w:p>
        </w:tc>
        <w:tc>
          <w:tcPr>
            <w:tcW w:w="5494" w:type="dxa"/>
          </w:tcPr>
          <w:p w:rsidR="004C0F06" w:rsidRDefault="004C0F06" w:rsidP="00082D5A">
            <w:pPr>
              <w:pStyle w:val="Body"/>
              <w:spacing w:before="180"/>
            </w:pPr>
            <w:r>
              <w:t>Office of Parliamentary Counsel</w:t>
            </w:r>
          </w:p>
        </w:tc>
      </w:tr>
      <w:tr w:rsidR="004C0F06" w:rsidTr="00AF4A39">
        <w:trPr>
          <w:trHeight w:hRule="exact" w:val="794"/>
        </w:trPr>
        <w:tc>
          <w:tcPr>
            <w:tcW w:w="1809" w:type="dxa"/>
          </w:tcPr>
          <w:p w:rsidR="004C0F06" w:rsidRDefault="004C0F06" w:rsidP="00082D5A">
            <w:pPr>
              <w:pStyle w:val="Body"/>
              <w:spacing w:before="180"/>
              <w:rPr>
                <w:b/>
                <w:i/>
              </w:rPr>
            </w:pPr>
            <w:r>
              <w:rPr>
                <w:b/>
                <w:i/>
              </w:rPr>
              <w:t>PBC</w:t>
            </w:r>
          </w:p>
        </w:tc>
        <w:tc>
          <w:tcPr>
            <w:tcW w:w="5494" w:type="dxa"/>
          </w:tcPr>
          <w:p w:rsidR="004C0F06" w:rsidRDefault="004C0F06" w:rsidP="00082D5A">
            <w:pPr>
              <w:pStyle w:val="Body"/>
              <w:spacing w:before="180"/>
            </w:pPr>
            <w:r>
              <w:t>Parliamentary Business Committee (a committee of the Cabinet)</w:t>
            </w:r>
          </w:p>
        </w:tc>
      </w:tr>
      <w:tr w:rsidR="004C0F06" w:rsidTr="007B1B58">
        <w:trPr>
          <w:trHeight w:hRule="exact" w:val="487"/>
        </w:trPr>
        <w:tc>
          <w:tcPr>
            <w:tcW w:w="1809" w:type="dxa"/>
          </w:tcPr>
          <w:p w:rsidR="004C0F06" w:rsidRDefault="004C0F06" w:rsidP="00082D5A">
            <w:pPr>
              <w:pStyle w:val="Body"/>
              <w:spacing w:before="180"/>
              <w:rPr>
                <w:b/>
                <w:i/>
              </w:rPr>
            </w:pPr>
            <w:r>
              <w:rPr>
                <w:b/>
                <w:i/>
              </w:rPr>
              <w:t>PBS</w:t>
            </w:r>
          </w:p>
        </w:tc>
        <w:tc>
          <w:tcPr>
            <w:tcW w:w="5494" w:type="dxa"/>
          </w:tcPr>
          <w:p w:rsidR="004C0F06" w:rsidRDefault="004C0F06" w:rsidP="00082D5A">
            <w:pPr>
              <w:pStyle w:val="Body"/>
              <w:spacing w:before="180"/>
            </w:pPr>
            <w:r>
              <w:t>Portfolio Budget Statement</w:t>
            </w:r>
          </w:p>
        </w:tc>
      </w:tr>
      <w:tr w:rsidR="00090B37" w:rsidTr="00090B37">
        <w:trPr>
          <w:trHeight w:hRule="exact" w:val="815"/>
        </w:trPr>
        <w:tc>
          <w:tcPr>
            <w:tcW w:w="1809" w:type="dxa"/>
          </w:tcPr>
          <w:p w:rsidR="00090B37" w:rsidRDefault="00090B37" w:rsidP="00082D5A">
            <w:pPr>
              <w:pStyle w:val="Body"/>
              <w:spacing w:before="180"/>
              <w:rPr>
                <w:b/>
                <w:i/>
              </w:rPr>
            </w:pPr>
            <w:r>
              <w:rPr>
                <w:b/>
                <w:i/>
              </w:rPr>
              <w:lastRenderedPageBreak/>
              <w:t>PGPA Act</w:t>
            </w:r>
          </w:p>
        </w:tc>
        <w:tc>
          <w:tcPr>
            <w:tcW w:w="5494" w:type="dxa"/>
          </w:tcPr>
          <w:p w:rsidR="00090B37" w:rsidRPr="00090B37" w:rsidRDefault="00090B37" w:rsidP="00082D5A">
            <w:pPr>
              <w:pStyle w:val="Body"/>
              <w:spacing w:before="180"/>
              <w:rPr>
                <w:i/>
              </w:rPr>
            </w:pPr>
            <w:r>
              <w:rPr>
                <w:i/>
              </w:rPr>
              <w:t>Public Governance, Performance and Accountability Act 2013</w:t>
            </w:r>
          </w:p>
        </w:tc>
      </w:tr>
      <w:tr w:rsidR="00090B37" w:rsidTr="008B7F83">
        <w:trPr>
          <w:trHeight w:hRule="exact" w:val="815"/>
        </w:trPr>
        <w:tc>
          <w:tcPr>
            <w:tcW w:w="1809" w:type="dxa"/>
          </w:tcPr>
          <w:p w:rsidR="00090B37" w:rsidRDefault="00090B37" w:rsidP="00090B37">
            <w:pPr>
              <w:pStyle w:val="Body"/>
              <w:spacing w:before="180"/>
              <w:rPr>
                <w:b/>
                <w:i/>
              </w:rPr>
            </w:pPr>
            <w:r>
              <w:rPr>
                <w:b/>
                <w:i/>
              </w:rPr>
              <w:t>PGPA Rule</w:t>
            </w:r>
          </w:p>
        </w:tc>
        <w:tc>
          <w:tcPr>
            <w:tcW w:w="5494" w:type="dxa"/>
          </w:tcPr>
          <w:p w:rsidR="00090B37" w:rsidRPr="00090B37" w:rsidRDefault="00090B37" w:rsidP="00090B37">
            <w:pPr>
              <w:pStyle w:val="Body"/>
              <w:spacing w:before="180"/>
              <w:rPr>
                <w:i/>
              </w:rPr>
            </w:pPr>
            <w:r>
              <w:rPr>
                <w:i/>
              </w:rPr>
              <w:t>Public Governance, Performance and Accountability Rule 2014</w:t>
            </w:r>
          </w:p>
        </w:tc>
      </w:tr>
      <w:tr w:rsidR="00DE3137" w:rsidTr="00EC53A6">
        <w:trPr>
          <w:trHeight w:hRule="exact" w:val="454"/>
        </w:trPr>
        <w:tc>
          <w:tcPr>
            <w:tcW w:w="1809" w:type="dxa"/>
          </w:tcPr>
          <w:p w:rsidR="00DE3137" w:rsidRDefault="00DE3137" w:rsidP="00082D5A">
            <w:pPr>
              <w:pStyle w:val="Body"/>
              <w:spacing w:before="180"/>
              <w:rPr>
                <w:b/>
                <w:i/>
              </w:rPr>
            </w:pPr>
            <w:r>
              <w:rPr>
                <w:b/>
                <w:i/>
              </w:rPr>
              <w:t>RAP</w:t>
            </w:r>
          </w:p>
        </w:tc>
        <w:tc>
          <w:tcPr>
            <w:tcW w:w="5494" w:type="dxa"/>
          </w:tcPr>
          <w:p w:rsidR="00DE3137" w:rsidRDefault="00DE3137" w:rsidP="00082D5A">
            <w:pPr>
              <w:pStyle w:val="Body"/>
              <w:spacing w:before="180"/>
            </w:pPr>
            <w:r>
              <w:t>Reconciliation Action Plan</w:t>
            </w:r>
          </w:p>
        </w:tc>
      </w:tr>
      <w:tr w:rsidR="004C0F06" w:rsidTr="002D48EF">
        <w:trPr>
          <w:trHeight w:hRule="exact" w:val="728"/>
        </w:trPr>
        <w:tc>
          <w:tcPr>
            <w:tcW w:w="1809" w:type="dxa"/>
          </w:tcPr>
          <w:p w:rsidR="004C0F06" w:rsidRDefault="004C0F06" w:rsidP="00082D5A">
            <w:pPr>
              <w:pStyle w:val="Body"/>
              <w:spacing w:before="180"/>
              <w:rPr>
                <w:b/>
                <w:i/>
              </w:rPr>
            </w:pPr>
            <w:r>
              <w:rPr>
                <w:b/>
                <w:i/>
              </w:rPr>
              <w:t>senior drafter</w:t>
            </w:r>
          </w:p>
        </w:tc>
        <w:tc>
          <w:tcPr>
            <w:tcW w:w="5494" w:type="dxa"/>
          </w:tcPr>
          <w:p w:rsidR="004C0F06" w:rsidRDefault="004C0F06" w:rsidP="00762035">
            <w:pPr>
              <w:pStyle w:val="Body"/>
              <w:spacing w:before="180"/>
            </w:pPr>
            <w:r>
              <w:t>First Parliamentary Counsel, a Second Parliamentary Counsel</w:t>
            </w:r>
            <w:r w:rsidR="007B1B58">
              <w:t xml:space="preserve"> </w:t>
            </w:r>
            <w:r>
              <w:t>or a drafter in the SES</w:t>
            </w:r>
          </w:p>
        </w:tc>
      </w:tr>
      <w:tr w:rsidR="004C0F06" w:rsidTr="00EC53A6">
        <w:trPr>
          <w:trHeight w:hRule="exact" w:val="454"/>
        </w:trPr>
        <w:tc>
          <w:tcPr>
            <w:tcW w:w="1809" w:type="dxa"/>
          </w:tcPr>
          <w:p w:rsidR="004C0F06" w:rsidRDefault="004C0F06" w:rsidP="00082D5A">
            <w:pPr>
              <w:pStyle w:val="Body"/>
              <w:spacing w:before="180"/>
              <w:rPr>
                <w:b/>
                <w:i/>
              </w:rPr>
            </w:pPr>
            <w:r>
              <w:rPr>
                <w:b/>
                <w:i/>
              </w:rPr>
              <w:t>SES</w:t>
            </w:r>
          </w:p>
        </w:tc>
        <w:tc>
          <w:tcPr>
            <w:tcW w:w="5494" w:type="dxa"/>
          </w:tcPr>
          <w:p w:rsidR="004C0F06" w:rsidRDefault="004C0F06" w:rsidP="00082D5A">
            <w:pPr>
              <w:pStyle w:val="Body"/>
              <w:spacing w:before="180"/>
            </w:pPr>
            <w:r>
              <w:t>Senior Executive Service</w:t>
            </w:r>
          </w:p>
        </w:tc>
      </w:tr>
      <w:tr w:rsidR="00AA384C" w:rsidTr="007B1B58">
        <w:trPr>
          <w:trHeight w:hRule="exact" w:val="521"/>
        </w:trPr>
        <w:tc>
          <w:tcPr>
            <w:tcW w:w="1809" w:type="dxa"/>
          </w:tcPr>
          <w:p w:rsidR="00AA384C" w:rsidRDefault="00AA384C" w:rsidP="00082D5A">
            <w:pPr>
              <w:pStyle w:val="Body"/>
              <w:spacing w:before="180"/>
              <w:rPr>
                <w:b/>
                <w:i/>
              </w:rPr>
            </w:pPr>
            <w:r>
              <w:rPr>
                <w:b/>
                <w:i/>
              </w:rPr>
              <w:t>SME</w:t>
            </w:r>
          </w:p>
        </w:tc>
        <w:tc>
          <w:tcPr>
            <w:tcW w:w="5494" w:type="dxa"/>
          </w:tcPr>
          <w:p w:rsidR="00AA384C" w:rsidRDefault="00AA384C" w:rsidP="00082D5A">
            <w:pPr>
              <w:pStyle w:val="Body"/>
              <w:spacing w:before="180"/>
            </w:pPr>
            <w:r>
              <w:t>Small and Medium Enterprises</w:t>
            </w:r>
          </w:p>
        </w:tc>
      </w:tr>
      <w:tr w:rsidR="007B1B58" w:rsidTr="007B1B58">
        <w:trPr>
          <w:trHeight w:hRule="exact" w:val="521"/>
        </w:trPr>
        <w:tc>
          <w:tcPr>
            <w:tcW w:w="1809" w:type="dxa"/>
          </w:tcPr>
          <w:p w:rsidR="007B1B58" w:rsidRDefault="007B1B58" w:rsidP="00082D5A">
            <w:pPr>
              <w:pStyle w:val="Body"/>
              <w:spacing w:before="180"/>
              <w:rPr>
                <w:b/>
                <w:i/>
              </w:rPr>
            </w:pPr>
            <w:r>
              <w:rPr>
                <w:b/>
                <w:i/>
              </w:rPr>
              <w:t>SMT</w:t>
            </w:r>
          </w:p>
        </w:tc>
        <w:tc>
          <w:tcPr>
            <w:tcW w:w="5494" w:type="dxa"/>
          </w:tcPr>
          <w:p w:rsidR="007B1B58" w:rsidRDefault="007B1B58" w:rsidP="00082D5A">
            <w:pPr>
              <w:pStyle w:val="Body"/>
              <w:spacing w:before="180"/>
            </w:pPr>
            <w:r>
              <w:t>Senior Management Team</w:t>
            </w:r>
          </w:p>
        </w:tc>
      </w:tr>
      <w:tr w:rsidR="00FF6992" w:rsidTr="007B1B58">
        <w:trPr>
          <w:trHeight w:hRule="exact" w:val="521"/>
        </w:trPr>
        <w:tc>
          <w:tcPr>
            <w:tcW w:w="1809" w:type="dxa"/>
          </w:tcPr>
          <w:p w:rsidR="00FF6992" w:rsidRDefault="00FF6992" w:rsidP="00082D5A">
            <w:pPr>
              <w:pStyle w:val="Body"/>
              <w:spacing w:before="180"/>
              <w:rPr>
                <w:b/>
                <w:i/>
              </w:rPr>
            </w:pPr>
            <w:r>
              <w:rPr>
                <w:b/>
                <w:i/>
              </w:rPr>
              <w:t>UNCAC</w:t>
            </w:r>
          </w:p>
        </w:tc>
        <w:tc>
          <w:tcPr>
            <w:tcW w:w="5494" w:type="dxa"/>
          </w:tcPr>
          <w:p w:rsidR="00FF6992" w:rsidRDefault="00FF6992" w:rsidP="00082D5A">
            <w:pPr>
              <w:pStyle w:val="Body"/>
              <w:spacing w:before="180"/>
            </w:pPr>
            <w:r>
              <w:t>United Nation Convention Against Corruption</w:t>
            </w:r>
          </w:p>
        </w:tc>
      </w:tr>
      <w:tr w:rsidR="004C0F06" w:rsidTr="00EC53A6">
        <w:trPr>
          <w:trHeight w:hRule="exact" w:val="454"/>
        </w:trPr>
        <w:tc>
          <w:tcPr>
            <w:tcW w:w="1809" w:type="dxa"/>
          </w:tcPr>
          <w:p w:rsidR="004C0F06" w:rsidRDefault="004C0F06" w:rsidP="00C72590">
            <w:pPr>
              <w:pStyle w:val="Body"/>
              <w:spacing w:before="180"/>
              <w:rPr>
                <w:b/>
                <w:i/>
              </w:rPr>
            </w:pPr>
            <w:r>
              <w:rPr>
                <w:b/>
                <w:i/>
              </w:rPr>
              <w:t>WCC</w:t>
            </w:r>
          </w:p>
        </w:tc>
        <w:tc>
          <w:tcPr>
            <w:tcW w:w="5494" w:type="dxa"/>
          </w:tcPr>
          <w:p w:rsidR="004C0F06" w:rsidRDefault="004C0F06" w:rsidP="00C72590">
            <w:pPr>
              <w:pStyle w:val="Body"/>
              <w:spacing w:before="180"/>
            </w:pPr>
            <w:r>
              <w:t>Workplace Consultative Committee</w:t>
            </w:r>
          </w:p>
        </w:tc>
      </w:tr>
      <w:tr w:rsidR="00C36B60" w:rsidTr="007B1B58">
        <w:trPr>
          <w:trHeight w:hRule="exact" w:val="536"/>
        </w:trPr>
        <w:tc>
          <w:tcPr>
            <w:tcW w:w="1809" w:type="dxa"/>
          </w:tcPr>
          <w:p w:rsidR="00C36B60" w:rsidRDefault="00C36B60" w:rsidP="00C72590">
            <w:pPr>
              <w:pStyle w:val="Body"/>
              <w:spacing w:before="180"/>
              <w:rPr>
                <w:b/>
                <w:i/>
              </w:rPr>
            </w:pPr>
            <w:r>
              <w:rPr>
                <w:b/>
                <w:i/>
              </w:rPr>
              <w:t>WHS Act</w:t>
            </w:r>
          </w:p>
        </w:tc>
        <w:tc>
          <w:tcPr>
            <w:tcW w:w="5494" w:type="dxa"/>
          </w:tcPr>
          <w:p w:rsidR="00C36B60" w:rsidRPr="005B4D31" w:rsidRDefault="00C36B60" w:rsidP="00C72590">
            <w:pPr>
              <w:pStyle w:val="Body"/>
              <w:spacing w:before="180"/>
              <w:rPr>
                <w:i/>
              </w:rPr>
            </w:pPr>
            <w:r w:rsidRPr="005B4D31">
              <w:rPr>
                <w:i/>
              </w:rPr>
              <w:t>Work Health and Safety Act 2011</w:t>
            </w:r>
          </w:p>
        </w:tc>
      </w:tr>
    </w:tbl>
    <w:p w:rsidR="00D81F5D" w:rsidRPr="00290F08" w:rsidRDefault="00D81F5D" w:rsidP="00290F08"/>
    <w:p w:rsidR="00D81F5D" w:rsidRDefault="00D81F5D" w:rsidP="00A80292">
      <w:pPr>
        <w:pStyle w:val="BodyNum"/>
      </w:pPr>
      <w:r>
        <w:br w:type="page"/>
      </w:r>
    </w:p>
    <w:p w:rsidR="000352B8" w:rsidRDefault="000352B8" w:rsidP="000352B8">
      <w:pPr>
        <w:pStyle w:val="Head2"/>
      </w:pPr>
      <w:bookmarkStart w:id="132" w:name="_Toc492656496"/>
      <w:r>
        <w:lastRenderedPageBreak/>
        <w:t>Index</w:t>
      </w:r>
      <w:bookmarkEnd w:id="132"/>
    </w:p>
    <w:tbl>
      <w:tblPr>
        <w:tblW w:w="7479" w:type="dxa"/>
        <w:tblLayout w:type="fixed"/>
        <w:tblCellMar>
          <w:left w:w="107" w:type="dxa"/>
          <w:right w:w="107" w:type="dxa"/>
        </w:tblCellMar>
        <w:tblLook w:val="0000" w:firstRow="0" w:lastRow="0" w:firstColumn="0" w:lastColumn="0" w:noHBand="0" w:noVBand="0"/>
      </w:tblPr>
      <w:tblGrid>
        <w:gridCol w:w="4893"/>
        <w:gridCol w:w="2586"/>
      </w:tblGrid>
      <w:tr w:rsidR="000352B8" w:rsidTr="001127A5">
        <w:trPr>
          <w:cantSplit/>
        </w:trPr>
        <w:tc>
          <w:tcPr>
            <w:tcW w:w="4893" w:type="dxa"/>
          </w:tcPr>
          <w:p w:rsidR="000352B8" w:rsidRDefault="000352B8" w:rsidP="00082D5A">
            <w:pPr>
              <w:pStyle w:val="Body"/>
              <w:spacing w:before="180"/>
            </w:pPr>
            <w:r>
              <w:t>Accountability</w:t>
            </w:r>
          </w:p>
        </w:tc>
        <w:tc>
          <w:tcPr>
            <w:tcW w:w="2586" w:type="dxa"/>
          </w:tcPr>
          <w:p w:rsidR="000352B8" w:rsidRDefault="000352B8" w:rsidP="00D73706">
            <w:pPr>
              <w:pStyle w:val="Body"/>
              <w:spacing w:before="180"/>
            </w:pPr>
            <w:r>
              <w:t xml:space="preserve">Paragraph </w:t>
            </w:r>
            <w:r w:rsidR="00AC6992">
              <w:t>2</w:t>
            </w:r>
            <w:r w:rsidR="00D73706">
              <w:t>27</w:t>
            </w:r>
          </w:p>
        </w:tc>
      </w:tr>
      <w:tr w:rsidR="000352B8" w:rsidTr="001127A5">
        <w:trPr>
          <w:cantSplit/>
        </w:trPr>
        <w:tc>
          <w:tcPr>
            <w:tcW w:w="4893" w:type="dxa"/>
          </w:tcPr>
          <w:p w:rsidR="000352B8" w:rsidRDefault="000352B8" w:rsidP="00082D5A">
            <w:pPr>
              <w:pStyle w:val="Body"/>
              <w:spacing w:before="180"/>
            </w:pPr>
            <w:r>
              <w:t>Advertising and market research</w:t>
            </w:r>
          </w:p>
        </w:tc>
        <w:tc>
          <w:tcPr>
            <w:tcW w:w="2586" w:type="dxa"/>
          </w:tcPr>
          <w:p w:rsidR="000352B8" w:rsidRDefault="000352B8" w:rsidP="00D73706">
            <w:pPr>
              <w:pStyle w:val="Body"/>
              <w:spacing w:before="180"/>
            </w:pPr>
            <w:r>
              <w:t xml:space="preserve">Paragraph </w:t>
            </w:r>
            <w:r w:rsidR="0091025E">
              <w:t>3</w:t>
            </w:r>
            <w:r w:rsidR="00D73706">
              <w:t>5</w:t>
            </w:r>
            <w:r w:rsidR="00AC6992">
              <w:t>2</w:t>
            </w:r>
          </w:p>
        </w:tc>
      </w:tr>
      <w:tr w:rsidR="00F14D50" w:rsidTr="001127A5">
        <w:trPr>
          <w:cantSplit/>
        </w:trPr>
        <w:tc>
          <w:tcPr>
            <w:tcW w:w="4893" w:type="dxa"/>
          </w:tcPr>
          <w:p w:rsidR="00F14D50" w:rsidRDefault="00AC6992" w:rsidP="0091025E">
            <w:pPr>
              <w:pStyle w:val="Body"/>
              <w:spacing w:before="200"/>
            </w:pPr>
            <w:r>
              <w:t>Annual Performance Statement</w:t>
            </w:r>
          </w:p>
        </w:tc>
        <w:tc>
          <w:tcPr>
            <w:tcW w:w="2586" w:type="dxa"/>
          </w:tcPr>
          <w:p w:rsidR="00F14D50" w:rsidRDefault="00AC6992" w:rsidP="00F14D50">
            <w:pPr>
              <w:pStyle w:val="Body"/>
              <w:spacing w:before="200"/>
            </w:pPr>
            <w:r>
              <w:t>Chapter 2</w:t>
            </w:r>
          </w:p>
        </w:tc>
      </w:tr>
      <w:tr w:rsidR="000352B8" w:rsidTr="001127A5">
        <w:trPr>
          <w:cantSplit/>
        </w:trPr>
        <w:tc>
          <w:tcPr>
            <w:tcW w:w="4893" w:type="dxa"/>
          </w:tcPr>
          <w:p w:rsidR="000352B8" w:rsidRDefault="000352B8" w:rsidP="00082D5A">
            <w:pPr>
              <w:pStyle w:val="Body"/>
              <w:spacing w:before="180"/>
            </w:pPr>
            <w:r>
              <w:t>Audit Committee</w:t>
            </w:r>
          </w:p>
        </w:tc>
        <w:tc>
          <w:tcPr>
            <w:tcW w:w="2586" w:type="dxa"/>
          </w:tcPr>
          <w:p w:rsidR="000352B8" w:rsidRDefault="000352B8" w:rsidP="00D73706">
            <w:pPr>
              <w:pStyle w:val="Body"/>
              <w:spacing w:before="180"/>
            </w:pPr>
            <w:r>
              <w:t xml:space="preserve">Paragraph </w:t>
            </w:r>
            <w:r w:rsidR="00AC6992">
              <w:t>2</w:t>
            </w:r>
            <w:r w:rsidR="00D73706">
              <w:t>34</w:t>
            </w:r>
          </w:p>
        </w:tc>
      </w:tr>
      <w:tr w:rsidR="000352B8" w:rsidTr="001127A5">
        <w:trPr>
          <w:cantSplit/>
        </w:trPr>
        <w:tc>
          <w:tcPr>
            <w:tcW w:w="4893" w:type="dxa"/>
          </w:tcPr>
          <w:p w:rsidR="000352B8" w:rsidRDefault="000352B8" w:rsidP="00082D5A">
            <w:pPr>
              <w:pStyle w:val="Body"/>
              <w:spacing w:before="180"/>
            </w:pPr>
            <w:r>
              <w:t>Bills</w:t>
            </w:r>
          </w:p>
        </w:tc>
        <w:tc>
          <w:tcPr>
            <w:tcW w:w="2586" w:type="dxa"/>
          </w:tcPr>
          <w:p w:rsidR="000352B8" w:rsidRDefault="000352B8" w:rsidP="00AC6992">
            <w:pPr>
              <w:pStyle w:val="Body"/>
              <w:spacing w:before="180"/>
            </w:pPr>
            <w:r>
              <w:t xml:space="preserve">Paragraph </w:t>
            </w:r>
            <w:r w:rsidR="00AC6992">
              <w:t>95</w:t>
            </w:r>
          </w:p>
        </w:tc>
      </w:tr>
      <w:tr w:rsidR="000352B8" w:rsidTr="001127A5">
        <w:trPr>
          <w:cantSplit/>
        </w:trPr>
        <w:tc>
          <w:tcPr>
            <w:tcW w:w="4893" w:type="dxa"/>
          </w:tcPr>
          <w:p w:rsidR="000352B8" w:rsidRDefault="00694223" w:rsidP="00082D5A">
            <w:pPr>
              <w:pStyle w:val="Body"/>
              <w:spacing w:before="180"/>
            </w:pPr>
            <w:r>
              <w:t>Breastfeed</w:t>
            </w:r>
            <w:r w:rsidR="008C2295">
              <w:t>ing policy</w:t>
            </w:r>
          </w:p>
        </w:tc>
        <w:tc>
          <w:tcPr>
            <w:tcW w:w="2586" w:type="dxa"/>
          </w:tcPr>
          <w:p w:rsidR="000352B8" w:rsidRDefault="000352B8" w:rsidP="00D73706">
            <w:pPr>
              <w:pStyle w:val="Body"/>
              <w:spacing w:before="180"/>
            </w:pPr>
            <w:r>
              <w:t xml:space="preserve">Paragraph </w:t>
            </w:r>
            <w:r w:rsidR="00B85581">
              <w:t>3</w:t>
            </w:r>
            <w:r w:rsidR="00D73706">
              <w:t>17</w:t>
            </w:r>
          </w:p>
        </w:tc>
      </w:tr>
      <w:tr w:rsidR="000352B8" w:rsidTr="001127A5">
        <w:trPr>
          <w:cantSplit/>
        </w:trPr>
        <w:tc>
          <w:tcPr>
            <w:tcW w:w="4893" w:type="dxa"/>
          </w:tcPr>
          <w:p w:rsidR="000352B8" w:rsidRDefault="000352B8" w:rsidP="00082D5A">
            <w:pPr>
              <w:pStyle w:val="Body"/>
              <w:spacing w:before="180"/>
            </w:pPr>
            <w:r>
              <w:t>Consultants</w:t>
            </w:r>
          </w:p>
        </w:tc>
        <w:tc>
          <w:tcPr>
            <w:tcW w:w="2586" w:type="dxa"/>
          </w:tcPr>
          <w:p w:rsidR="000352B8" w:rsidRDefault="000352B8" w:rsidP="00D73706">
            <w:pPr>
              <w:pStyle w:val="Body"/>
              <w:spacing w:before="180"/>
            </w:pPr>
            <w:r>
              <w:t xml:space="preserve">Paragraph </w:t>
            </w:r>
            <w:r w:rsidR="00B85581">
              <w:t>3</w:t>
            </w:r>
            <w:r w:rsidR="00D73706">
              <w:t>4</w:t>
            </w:r>
            <w:r w:rsidR="00AC6992">
              <w:t>5</w:t>
            </w:r>
          </w:p>
        </w:tc>
      </w:tr>
      <w:tr w:rsidR="000352B8" w:rsidTr="001127A5">
        <w:trPr>
          <w:cantSplit/>
        </w:trPr>
        <w:tc>
          <w:tcPr>
            <w:tcW w:w="4893" w:type="dxa"/>
          </w:tcPr>
          <w:p w:rsidR="000352B8" w:rsidRDefault="000352B8" w:rsidP="00082D5A">
            <w:pPr>
              <w:pStyle w:val="Body"/>
              <w:spacing w:before="180"/>
            </w:pPr>
            <w:r>
              <w:t>Contact officer for additional information</w:t>
            </w:r>
          </w:p>
        </w:tc>
        <w:tc>
          <w:tcPr>
            <w:tcW w:w="2586" w:type="dxa"/>
          </w:tcPr>
          <w:p w:rsidR="000352B8" w:rsidRDefault="000352B8" w:rsidP="00D73706">
            <w:pPr>
              <w:pStyle w:val="Body"/>
              <w:spacing w:before="180"/>
            </w:pPr>
            <w:r>
              <w:t xml:space="preserve">Paragraph </w:t>
            </w:r>
            <w:r w:rsidR="003D5FF4">
              <w:t>3</w:t>
            </w:r>
            <w:r w:rsidR="00D73706">
              <w:t>5</w:t>
            </w:r>
            <w:r w:rsidR="00AC6992">
              <w:t>5</w:t>
            </w:r>
          </w:p>
        </w:tc>
      </w:tr>
      <w:tr w:rsidR="000352B8" w:rsidTr="001127A5">
        <w:trPr>
          <w:cantSplit/>
        </w:trPr>
        <w:tc>
          <w:tcPr>
            <w:tcW w:w="4893" w:type="dxa"/>
          </w:tcPr>
          <w:p w:rsidR="000352B8" w:rsidRDefault="000352B8" w:rsidP="00082D5A">
            <w:pPr>
              <w:pStyle w:val="Body"/>
              <w:spacing w:before="180"/>
            </w:pPr>
            <w:r>
              <w:t>Corporate governance</w:t>
            </w:r>
          </w:p>
        </w:tc>
        <w:tc>
          <w:tcPr>
            <w:tcW w:w="2586" w:type="dxa"/>
          </w:tcPr>
          <w:p w:rsidR="000352B8" w:rsidRDefault="000352B8" w:rsidP="00D73706">
            <w:pPr>
              <w:pStyle w:val="Body"/>
              <w:spacing w:before="180"/>
            </w:pPr>
            <w:r>
              <w:t xml:space="preserve">Paragraph </w:t>
            </w:r>
            <w:r w:rsidR="003D5FF4">
              <w:t>2</w:t>
            </w:r>
            <w:r w:rsidR="00D73706">
              <w:t>27</w:t>
            </w:r>
          </w:p>
        </w:tc>
      </w:tr>
      <w:tr w:rsidR="003B75E9" w:rsidTr="001127A5">
        <w:trPr>
          <w:cantSplit/>
        </w:trPr>
        <w:tc>
          <w:tcPr>
            <w:tcW w:w="4893" w:type="dxa"/>
          </w:tcPr>
          <w:p w:rsidR="003B75E9" w:rsidRDefault="003B75E9" w:rsidP="00DF3FA4">
            <w:pPr>
              <w:pStyle w:val="Body"/>
              <w:spacing w:before="180"/>
            </w:pPr>
            <w:r>
              <w:t>Disability reporting</w:t>
            </w:r>
          </w:p>
        </w:tc>
        <w:tc>
          <w:tcPr>
            <w:tcW w:w="2586" w:type="dxa"/>
          </w:tcPr>
          <w:p w:rsidR="003B75E9" w:rsidRDefault="003B75E9" w:rsidP="00D73706">
            <w:pPr>
              <w:pStyle w:val="Body"/>
              <w:spacing w:before="180"/>
            </w:pPr>
            <w:r>
              <w:t xml:space="preserve">Paragraph </w:t>
            </w:r>
            <w:r w:rsidR="003D5FF4">
              <w:t>3</w:t>
            </w:r>
            <w:r w:rsidR="00D73706">
              <w:t>1</w:t>
            </w:r>
            <w:r w:rsidR="00AC6992">
              <w:t>9</w:t>
            </w:r>
          </w:p>
        </w:tc>
      </w:tr>
      <w:tr w:rsidR="000352B8" w:rsidTr="001127A5">
        <w:trPr>
          <w:cantSplit/>
        </w:trPr>
        <w:tc>
          <w:tcPr>
            <w:tcW w:w="4893" w:type="dxa"/>
          </w:tcPr>
          <w:p w:rsidR="000352B8" w:rsidRDefault="000352B8" w:rsidP="00082D5A">
            <w:pPr>
              <w:pStyle w:val="Body"/>
              <w:spacing w:before="180"/>
            </w:pPr>
            <w:r>
              <w:t>Drafting resources</w:t>
            </w:r>
          </w:p>
        </w:tc>
        <w:tc>
          <w:tcPr>
            <w:tcW w:w="2586" w:type="dxa"/>
          </w:tcPr>
          <w:p w:rsidR="000352B8" w:rsidRDefault="000352B8" w:rsidP="00D73706">
            <w:pPr>
              <w:pStyle w:val="Body"/>
              <w:spacing w:before="180"/>
            </w:pPr>
            <w:r>
              <w:t xml:space="preserve">Paragraph </w:t>
            </w:r>
            <w:r w:rsidR="003D5FF4">
              <w:t>2</w:t>
            </w:r>
            <w:r w:rsidR="00AC6992">
              <w:t>4</w:t>
            </w:r>
            <w:r w:rsidR="00D73706">
              <w:t>7</w:t>
            </w:r>
          </w:p>
        </w:tc>
      </w:tr>
      <w:tr w:rsidR="00AC6992" w:rsidTr="001127A5">
        <w:trPr>
          <w:cantSplit/>
        </w:trPr>
        <w:tc>
          <w:tcPr>
            <w:tcW w:w="4893" w:type="dxa"/>
          </w:tcPr>
          <w:p w:rsidR="00AC6992" w:rsidRDefault="00AC6992" w:rsidP="006B45FC">
            <w:pPr>
              <w:pStyle w:val="Body"/>
              <w:spacing w:before="200"/>
            </w:pPr>
            <w:r>
              <w:t>Entity resource statement and Expenses for outcome</w:t>
            </w:r>
          </w:p>
        </w:tc>
        <w:tc>
          <w:tcPr>
            <w:tcW w:w="2586" w:type="dxa"/>
          </w:tcPr>
          <w:p w:rsidR="00AC6992" w:rsidRDefault="00AC6992" w:rsidP="006B45FC">
            <w:pPr>
              <w:pStyle w:val="Body"/>
              <w:spacing w:before="200"/>
            </w:pPr>
            <w:r>
              <w:t>Appendix A</w:t>
            </w:r>
          </w:p>
        </w:tc>
      </w:tr>
      <w:tr w:rsidR="000352B8" w:rsidTr="001127A5">
        <w:trPr>
          <w:cantSplit/>
        </w:trPr>
        <w:tc>
          <w:tcPr>
            <w:tcW w:w="4893" w:type="dxa"/>
          </w:tcPr>
          <w:p w:rsidR="000352B8" w:rsidRDefault="000352B8" w:rsidP="00082D5A">
            <w:pPr>
              <w:pStyle w:val="Body"/>
              <w:spacing w:before="180"/>
            </w:pPr>
            <w:r>
              <w:t>Environmental reporting</w:t>
            </w:r>
          </w:p>
        </w:tc>
        <w:tc>
          <w:tcPr>
            <w:tcW w:w="2586" w:type="dxa"/>
          </w:tcPr>
          <w:p w:rsidR="000352B8" w:rsidRDefault="000352B8" w:rsidP="001127A5">
            <w:pPr>
              <w:pStyle w:val="Body"/>
              <w:spacing w:before="180"/>
            </w:pPr>
            <w:r>
              <w:t xml:space="preserve">Appendix </w:t>
            </w:r>
            <w:r w:rsidR="001127A5">
              <w:t>C</w:t>
            </w:r>
          </w:p>
        </w:tc>
      </w:tr>
      <w:tr w:rsidR="000352B8" w:rsidTr="001127A5">
        <w:trPr>
          <w:cantSplit/>
        </w:trPr>
        <w:tc>
          <w:tcPr>
            <w:tcW w:w="4893" w:type="dxa"/>
          </w:tcPr>
          <w:p w:rsidR="000352B8" w:rsidRDefault="000352B8" w:rsidP="00082D5A">
            <w:pPr>
              <w:pStyle w:val="Body"/>
              <w:spacing w:before="180"/>
            </w:pPr>
            <w:r>
              <w:t>Ethical standards—maintenance of</w:t>
            </w:r>
          </w:p>
        </w:tc>
        <w:tc>
          <w:tcPr>
            <w:tcW w:w="2586" w:type="dxa"/>
          </w:tcPr>
          <w:p w:rsidR="000352B8" w:rsidRDefault="000352B8" w:rsidP="00D73706">
            <w:pPr>
              <w:pStyle w:val="Body"/>
              <w:spacing w:before="180"/>
            </w:pPr>
            <w:r>
              <w:t xml:space="preserve">Paragraph </w:t>
            </w:r>
            <w:r w:rsidR="003D5FF4">
              <w:t>2</w:t>
            </w:r>
            <w:r w:rsidR="00D73706">
              <w:t>56</w:t>
            </w:r>
          </w:p>
        </w:tc>
      </w:tr>
      <w:tr w:rsidR="000352B8" w:rsidTr="001127A5">
        <w:trPr>
          <w:cantSplit/>
        </w:trPr>
        <w:tc>
          <w:tcPr>
            <w:tcW w:w="4893" w:type="dxa"/>
          </w:tcPr>
          <w:p w:rsidR="000352B8" w:rsidRDefault="000352B8" w:rsidP="00082D5A">
            <w:pPr>
              <w:pStyle w:val="Body"/>
              <w:spacing w:before="180"/>
            </w:pPr>
            <w:r>
              <w:t>External scrutiny</w:t>
            </w:r>
          </w:p>
        </w:tc>
        <w:tc>
          <w:tcPr>
            <w:tcW w:w="2586" w:type="dxa"/>
          </w:tcPr>
          <w:p w:rsidR="000352B8" w:rsidRDefault="000352B8" w:rsidP="00D73706">
            <w:pPr>
              <w:pStyle w:val="Body"/>
              <w:spacing w:before="180"/>
            </w:pPr>
            <w:r>
              <w:t xml:space="preserve">Paragraph </w:t>
            </w:r>
            <w:r w:rsidR="0091025E">
              <w:t>2</w:t>
            </w:r>
            <w:r w:rsidR="00D73706">
              <w:t>63</w:t>
            </w:r>
          </w:p>
        </w:tc>
      </w:tr>
      <w:tr w:rsidR="000352B8" w:rsidTr="001127A5">
        <w:trPr>
          <w:cantSplit/>
        </w:trPr>
        <w:tc>
          <w:tcPr>
            <w:tcW w:w="4893" w:type="dxa"/>
          </w:tcPr>
          <w:p w:rsidR="000352B8" w:rsidRDefault="000352B8" w:rsidP="00082D5A">
            <w:pPr>
              <w:pStyle w:val="Body"/>
              <w:spacing w:before="180"/>
            </w:pPr>
            <w:r>
              <w:br w:type="page"/>
              <w:t>Financial performance—discussion and analysis</w:t>
            </w:r>
          </w:p>
        </w:tc>
        <w:tc>
          <w:tcPr>
            <w:tcW w:w="2586" w:type="dxa"/>
          </w:tcPr>
          <w:p w:rsidR="000352B8" w:rsidRDefault="000352B8" w:rsidP="00D73706">
            <w:pPr>
              <w:pStyle w:val="Body"/>
              <w:spacing w:before="180"/>
            </w:pPr>
            <w:r>
              <w:t xml:space="preserve">Paragraph </w:t>
            </w:r>
            <w:r w:rsidR="003D5FF4">
              <w:t>2</w:t>
            </w:r>
            <w:r w:rsidR="00D73706">
              <w:t>18</w:t>
            </w:r>
          </w:p>
        </w:tc>
      </w:tr>
      <w:tr w:rsidR="000352B8" w:rsidTr="001127A5">
        <w:trPr>
          <w:cantSplit/>
        </w:trPr>
        <w:tc>
          <w:tcPr>
            <w:tcW w:w="4893" w:type="dxa"/>
          </w:tcPr>
          <w:p w:rsidR="000352B8" w:rsidRDefault="000352B8" w:rsidP="00082D5A">
            <w:pPr>
              <w:pStyle w:val="Body"/>
              <w:spacing w:before="180"/>
            </w:pPr>
            <w:r>
              <w:t>Financial Statements</w:t>
            </w:r>
          </w:p>
        </w:tc>
        <w:tc>
          <w:tcPr>
            <w:tcW w:w="2586" w:type="dxa"/>
          </w:tcPr>
          <w:p w:rsidR="000352B8" w:rsidRDefault="000352B8" w:rsidP="001127A5">
            <w:pPr>
              <w:pStyle w:val="Body"/>
              <w:spacing w:before="180"/>
            </w:pPr>
            <w:r>
              <w:t xml:space="preserve">Appendix </w:t>
            </w:r>
            <w:r w:rsidR="001127A5">
              <w:t>D</w:t>
            </w:r>
          </w:p>
        </w:tc>
      </w:tr>
      <w:tr w:rsidR="000352B8" w:rsidTr="001127A5">
        <w:trPr>
          <w:cantSplit/>
        </w:trPr>
        <w:tc>
          <w:tcPr>
            <w:tcW w:w="4893" w:type="dxa"/>
          </w:tcPr>
          <w:p w:rsidR="000352B8" w:rsidRDefault="000352B8" w:rsidP="004751FF">
            <w:pPr>
              <w:pStyle w:val="Body"/>
              <w:spacing w:before="180"/>
            </w:pPr>
            <w:r>
              <w:t>First Parliamentary Counsel</w:t>
            </w:r>
            <w:r w:rsidR="003C39D9">
              <w:t>’</w:t>
            </w:r>
            <w:r>
              <w:t xml:space="preserve">s </w:t>
            </w:r>
            <w:r w:rsidR="004751FF">
              <w:t>R</w:t>
            </w:r>
            <w:r>
              <w:t>eview</w:t>
            </w:r>
          </w:p>
        </w:tc>
        <w:tc>
          <w:tcPr>
            <w:tcW w:w="2586" w:type="dxa"/>
          </w:tcPr>
          <w:p w:rsidR="000352B8" w:rsidRDefault="000352B8" w:rsidP="00082D5A">
            <w:pPr>
              <w:pStyle w:val="Body"/>
              <w:spacing w:before="180"/>
            </w:pPr>
            <w:r>
              <w:t xml:space="preserve">Paragraph </w:t>
            </w:r>
            <w:r w:rsidR="00053ABA">
              <w:t>1</w:t>
            </w:r>
          </w:p>
        </w:tc>
      </w:tr>
      <w:tr w:rsidR="000352B8" w:rsidTr="001127A5">
        <w:trPr>
          <w:cantSplit/>
        </w:trPr>
        <w:tc>
          <w:tcPr>
            <w:tcW w:w="4893" w:type="dxa"/>
          </w:tcPr>
          <w:p w:rsidR="000352B8" w:rsidRDefault="000352B8" w:rsidP="00082D5A">
            <w:pPr>
              <w:pStyle w:val="Body"/>
              <w:spacing w:before="180"/>
            </w:pPr>
            <w:r>
              <w:t>Freedom of information</w:t>
            </w:r>
          </w:p>
        </w:tc>
        <w:tc>
          <w:tcPr>
            <w:tcW w:w="2586" w:type="dxa"/>
          </w:tcPr>
          <w:p w:rsidR="000352B8" w:rsidRDefault="000352B8" w:rsidP="00D73706">
            <w:pPr>
              <w:pStyle w:val="Body"/>
              <w:spacing w:before="180"/>
            </w:pPr>
            <w:r>
              <w:t xml:space="preserve">Paragraph </w:t>
            </w:r>
            <w:r w:rsidR="0091025E">
              <w:t>3</w:t>
            </w:r>
            <w:r w:rsidR="00D73706">
              <w:t>5</w:t>
            </w:r>
            <w:r w:rsidR="00AC6992">
              <w:t>1</w:t>
            </w:r>
          </w:p>
        </w:tc>
      </w:tr>
      <w:tr w:rsidR="000352B8" w:rsidTr="001127A5">
        <w:trPr>
          <w:cantSplit/>
        </w:trPr>
        <w:tc>
          <w:tcPr>
            <w:tcW w:w="4893" w:type="dxa"/>
          </w:tcPr>
          <w:p w:rsidR="000352B8" w:rsidRDefault="000352B8" w:rsidP="00082D5A">
            <w:pPr>
              <w:pStyle w:val="Body"/>
              <w:spacing w:before="180"/>
            </w:pPr>
            <w:r>
              <w:t>Full-time and part-time employees</w:t>
            </w:r>
          </w:p>
        </w:tc>
        <w:tc>
          <w:tcPr>
            <w:tcW w:w="2586" w:type="dxa"/>
          </w:tcPr>
          <w:p w:rsidR="000352B8" w:rsidRDefault="000352B8" w:rsidP="00082D5A">
            <w:pPr>
              <w:pStyle w:val="Body"/>
              <w:spacing w:before="180"/>
            </w:pPr>
            <w:r>
              <w:t>Appendix B</w:t>
            </w:r>
          </w:p>
        </w:tc>
      </w:tr>
      <w:tr w:rsidR="000352B8" w:rsidTr="001127A5">
        <w:trPr>
          <w:cantSplit/>
        </w:trPr>
        <w:tc>
          <w:tcPr>
            <w:tcW w:w="4893" w:type="dxa"/>
          </w:tcPr>
          <w:p w:rsidR="000352B8" w:rsidRDefault="000352B8" w:rsidP="00082D5A">
            <w:pPr>
              <w:pStyle w:val="Body"/>
              <w:spacing w:before="180"/>
            </w:pPr>
            <w:r>
              <w:t>Human resources</w:t>
            </w:r>
            <w:r w:rsidR="008C2295">
              <w:t>—management of</w:t>
            </w:r>
          </w:p>
        </w:tc>
        <w:tc>
          <w:tcPr>
            <w:tcW w:w="2586" w:type="dxa"/>
          </w:tcPr>
          <w:p w:rsidR="000352B8" w:rsidRDefault="000352B8" w:rsidP="00082D5A">
            <w:pPr>
              <w:pStyle w:val="Body"/>
              <w:spacing w:before="180"/>
            </w:pPr>
            <w:r>
              <w:t>Chapter 4</w:t>
            </w:r>
          </w:p>
        </w:tc>
      </w:tr>
      <w:tr w:rsidR="000352B8" w:rsidTr="001127A5">
        <w:trPr>
          <w:cantSplit/>
        </w:trPr>
        <w:tc>
          <w:tcPr>
            <w:tcW w:w="4893" w:type="dxa"/>
          </w:tcPr>
          <w:p w:rsidR="000352B8" w:rsidRDefault="000352B8" w:rsidP="00082D5A">
            <w:pPr>
              <w:pStyle w:val="Body"/>
              <w:spacing w:before="180"/>
            </w:pPr>
            <w:r>
              <w:lastRenderedPageBreak/>
              <w:t>Influences on OPC</w:t>
            </w:r>
            <w:r w:rsidR="003C39D9">
              <w:t>’</w:t>
            </w:r>
            <w:r>
              <w:t>s performance</w:t>
            </w:r>
          </w:p>
        </w:tc>
        <w:tc>
          <w:tcPr>
            <w:tcW w:w="2586" w:type="dxa"/>
          </w:tcPr>
          <w:p w:rsidR="000352B8" w:rsidRDefault="000352B8" w:rsidP="00D73706">
            <w:pPr>
              <w:pStyle w:val="Body"/>
              <w:spacing w:before="180"/>
            </w:pPr>
            <w:r>
              <w:t xml:space="preserve">Paragraph </w:t>
            </w:r>
            <w:r w:rsidR="00AC6992">
              <w:t>20</w:t>
            </w:r>
            <w:r w:rsidR="00D73706">
              <w:t>6</w:t>
            </w:r>
          </w:p>
        </w:tc>
      </w:tr>
      <w:tr w:rsidR="000352B8" w:rsidTr="001127A5">
        <w:trPr>
          <w:cantSplit/>
        </w:trPr>
        <w:tc>
          <w:tcPr>
            <w:tcW w:w="4893" w:type="dxa"/>
          </w:tcPr>
          <w:p w:rsidR="000352B8" w:rsidRDefault="000352B8" w:rsidP="00082D5A">
            <w:pPr>
              <w:pStyle w:val="Body"/>
              <w:spacing w:before="180"/>
            </w:pPr>
            <w:r>
              <w:t>Information technology systems</w:t>
            </w:r>
          </w:p>
        </w:tc>
        <w:tc>
          <w:tcPr>
            <w:tcW w:w="2586" w:type="dxa"/>
          </w:tcPr>
          <w:p w:rsidR="000352B8" w:rsidRDefault="000352B8" w:rsidP="00D73706">
            <w:pPr>
              <w:pStyle w:val="Body"/>
              <w:spacing w:before="180"/>
            </w:pPr>
            <w:r>
              <w:t xml:space="preserve">Paragraph </w:t>
            </w:r>
            <w:r w:rsidR="0091025E">
              <w:t>2</w:t>
            </w:r>
            <w:r w:rsidR="00AC6992">
              <w:t>5</w:t>
            </w:r>
            <w:r w:rsidR="00D73706">
              <w:t>1</w:t>
            </w:r>
          </w:p>
        </w:tc>
      </w:tr>
      <w:tr w:rsidR="0091025E" w:rsidTr="001127A5">
        <w:trPr>
          <w:cantSplit/>
        </w:trPr>
        <w:tc>
          <w:tcPr>
            <w:tcW w:w="4893" w:type="dxa"/>
          </w:tcPr>
          <w:p w:rsidR="0091025E" w:rsidRDefault="0091025E" w:rsidP="00082D5A">
            <w:pPr>
              <w:pStyle w:val="Body"/>
              <w:spacing w:before="180"/>
            </w:pPr>
            <w:r>
              <w:t>Instruments</w:t>
            </w:r>
          </w:p>
        </w:tc>
        <w:tc>
          <w:tcPr>
            <w:tcW w:w="2586" w:type="dxa"/>
          </w:tcPr>
          <w:p w:rsidR="0091025E" w:rsidRDefault="0091025E" w:rsidP="00D73706">
            <w:pPr>
              <w:pStyle w:val="Body"/>
              <w:spacing w:before="180"/>
            </w:pPr>
            <w:r>
              <w:t xml:space="preserve">Paragraph </w:t>
            </w:r>
            <w:r w:rsidR="00730C9B">
              <w:t>1</w:t>
            </w:r>
            <w:r w:rsidR="00AC6992">
              <w:t>1</w:t>
            </w:r>
            <w:r w:rsidR="00D73706">
              <w:t>5</w:t>
            </w:r>
          </w:p>
        </w:tc>
      </w:tr>
      <w:tr w:rsidR="000352B8" w:rsidTr="001127A5">
        <w:trPr>
          <w:cantSplit/>
        </w:trPr>
        <w:tc>
          <w:tcPr>
            <w:tcW w:w="4893" w:type="dxa"/>
          </w:tcPr>
          <w:p w:rsidR="000352B8" w:rsidRDefault="000352B8" w:rsidP="00082D5A">
            <w:pPr>
              <w:pStyle w:val="Body"/>
              <w:spacing w:before="180"/>
            </w:pPr>
            <w:r>
              <w:t>Male and female employees</w:t>
            </w:r>
          </w:p>
        </w:tc>
        <w:tc>
          <w:tcPr>
            <w:tcW w:w="2586" w:type="dxa"/>
          </w:tcPr>
          <w:p w:rsidR="000352B8" w:rsidRDefault="000352B8" w:rsidP="00082D5A">
            <w:pPr>
              <w:pStyle w:val="Body"/>
              <w:spacing w:before="180"/>
            </w:pPr>
            <w:r>
              <w:t>Appendix B</w:t>
            </w:r>
          </w:p>
        </w:tc>
      </w:tr>
      <w:tr w:rsidR="000352B8" w:rsidTr="001127A5">
        <w:trPr>
          <w:cantSplit/>
        </w:trPr>
        <w:tc>
          <w:tcPr>
            <w:tcW w:w="4893" w:type="dxa"/>
          </w:tcPr>
          <w:p w:rsidR="000352B8" w:rsidRDefault="000352B8" w:rsidP="00082D5A">
            <w:pPr>
              <w:pStyle w:val="Body"/>
              <w:spacing w:before="180"/>
            </w:pPr>
            <w:r>
              <w:t>Management and accountability</w:t>
            </w:r>
          </w:p>
        </w:tc>
        <w:tc>
          <w:tcPr>
            <w:tcW w:w="2586" w:type="dxa"/>
          </w:tcPr>
          <w:p w:rsidR="000352B8" w:rsidRDefault="000352B8" w:rsidP="00082D5A">
            <w:pPr>
              <w:pStyle w:val="Body"/>
              <w:spacing w:before="180"/>
            </w:pPr>
            <w:r>
              <w:t>Chapter 3</w:t>
            </w:r>
          </w:p>
        </w:tc>
      </w:tr>
      <w:tr w:rsidR="000352B8" w:rsidTr="001127A5">
        <w:trPr>
          <w:cantSplit/>
        </w:trPr>
        <w:tc>
          <w:tcPr>
            <w:tcW w:w="4893" w:type="dxa"/>
          </w:tcPr>
          <w:p w:rsidR="000352B8" w:rsidRDefault="000352B8" w:rsidP="00082D5A">
            <w:pPr>
              <w:pStyle w:val="Body"/>
              <w:spacing w:before="180"/>
            </w:pPr>
            <w:r>
              <w:t>Non</w:t>
            </w:r>
            <w:r>
              <w:noBreakHyphen/>
              <w:t>salary benefits</w:t>
            </w:r>
          </w:p>
        </w:tc>
        <w:tc>
          <w:tcPr>
            <w:tcW w:w="2586" w:type="dxa"/>
          </w:tcPr>
          <w:p w:rsidR="000352B8" w:rsidRDefault="000352B8" w:rsidP="00D73706">
            <w:pPr>
              <w:pStyle w:val="Body"/>
              <w:spacing w:before="180"/>
            </w:pPr>
            <w:r>
              <w:t xml:space="preserve">Paragraph </w:t>
            </w:r>
            <w:r w:rsidR="00D73706">
              <w:t>298</w:t>
            </w:r>
          </w:p>
        </w:tc>
      </w:tr>
      <w:tr w:rsidR="000352B8" w:rsidTr="001127A5">
        <w:trPr>
          <w:cantSplit/>
        </w:trPr>
        <w:tc>
          <w:tcPr>
            <w:tcW w:w="4893" w:type="dxa"/>
          </w:tcPr>
          <w:p w:rsidR="000352B8" w:rsidRDefault="000352B8" w:rsidP="00082D5A">
            <w:pPr>
              <w:pStyle w:val="Body"/>
              <w:spacing w:before="180"/>
            </w:pPr>
            <w:r>
              <w:t>Operational risks</w:t>
            </w:r>
          </w:p>
        </w:tc>
        <w:tc>
          <w:tcPr>
            <w:tcW w:w="2586" w:type="dxa"/>
          </w:tcPr>
          <w:p w:rsidR="000352B8" w:rsidRDefault="000352B8" w:rsidP="00D73706">
            <w:pPr>
              <w:pStyle w:val="Body"/>
              <w:spacing w:before="180"/>
            </w:pPr>
            <w:r>
              <w:t xml:space="preserve">Paragraph </w:t>
            </w:r>
            <w:r w:rsidR="00AC6992">
              <w:t>2</w:t>
            </w:r>
            <w:r w:rsidR="00D73706">
              <w:t>46</w:t>
            </w:r>
          </w:p>
        </w:tc>
      </w:tr>
      <w:tr w:rsidR="000352B8" w:rsidTr="001127A5">
        <w:trPr>
          <w:cantSplit/>
        </w:trPr>
        <w:tc>
          <w:tcPr>
            <w:tcW w:w="4893" w:type="dxa"/>
          </w:tcPr>
          <w:p w:rsidR="000352B8" w:rsidRDefault="000352B8" w:rsidP="00082D5A">
            <w:pPr>
              <w:pStyle w:val="Body"/>
              <w:spacing w:before="180"/>
            </w:pPr>
            <w:r>
              <w:t>Organisational structure</w:t>
            </w:r>
          </w:p>
        </w:tc>
        <w:tc>
          <w:tcPr>
            <w:tcW w:w="2586" w:type="dxa"/>
          </w:tcPr>
          <w:p w:rsidR="000352B8" w:rsidRDefault="000352B8" w:rsidP="00AC6992">
            <w:pPr>
              <w:pStyle w:val="Body"/>
              <w:spacing w:before="180"/>
            </w:pPr>
            <w:r>
              <w:t xml:space="preserve">Paragraph </w:t>
            </w:r>
            <w:r w:rsidR="00AC6992">
              <w:t>72</w:t>
            </w:r>
          </w:p>
        </w:tc>
      </w:tr>
      <w:tr w:rsidR="000352B8" w:rsidTr="001127A5">
        <w:trPr>
          <w:cantSplit/>
        </w:trPr>
        <w:tc>
          <w:tcPr>
            <w:tcW w:w="4893" w:type="dxa"/>
          </w:tcPr>
          <w:p w:rsidR="000352B8" w:rsidRDefault="008C2295" w:rsidP="00082D5A">
            <w:pPr>
              <w:pStyle w:val="Body"/>
              <w:spacing w:before="180"/>
            </w:pPr>
            <w:r>
              <w:t>Outcome and program structure</w:t>
            </w:r>
          </w:p>
        </w:tc>
        <w:tc>
          <w:tcPr>
            <w:tcW w:w="2586" w:type="dxa"/>
          </w:tcPr>
          <w:p w:rsidR="000352B8" w:rsidRDefault="000352B8" w:rsidP="00AC6992">
            <w:pPr>
              <w:pStyle w:val="Body"/>
              <w:spacing w:before="180"/>
            </w:pPr>
            <w:r>
              <w:t xml:space="preserve">Paragraph </w:t>
            </w:r>
            <w:r w:rsidR="003D5FF4">
              <w:t>7</w:t>
            </w:r>
            <w:r w:rsidR="00AC6992">
              <w:t>8</w:t>
            </w:r>
          </w:p>
        </w:tc>
      </w:tr>
      <w:tr w:rsidR="008C2295" w:rsidTr="001127A5">
        <w:trPr>
          <w:cantSplit/>
        </w:trPr>
        <w:tc>
          <w:tcPr>
            <w:tcW w:w="4893" w:type="dxa"/>
          </w:tcPr>
          <w:p w:rsidR="008C2295" w:rsidRDefault="008C2295" w:rsidP="00082D5A">
            <w:pPr>
              <w:pStyle w:val="Body"/>
              <w:spacing w:before="180"/>
            </w:pPr>
            <w:r>
              <w:t>Overview of OPC</w:t>
            </w:r>
          </w:p>
        </w:tc>
        <w:tc>
          <w:tcPr>
            <w:tcW w:w="2586" w:type="dxa"/>
          </w:tcPr>
          <w:p w:rsidR="008C2295" w:rsidRDefault="008C2295" w:rsidP="00082D5A">
            <w:pPr>
              <w:pStyle w:val="Body"/>
              <w:spacing w:before="180"/>
            </w:pPr>
            <w:r>
              <w:t>Chapter 1</w:t>
            </w:r>
          </w:p>
        </w:tc>
      </w:tr>
      <w:tr w:rsidR="000352B8" w:rsidTr="001127A5">
        <w:trPr>
          <w:cantSplit/>
        </w:trPr>
        <w:tc>
          <w:tcPr>
            <w:tcW w:w="4893" w:type="dxa"/>
          </w:tcPr>
          <w:p w:rsidR="000352B8" w:rsidRDefault="000352B8" w:rsidP="00082D5A">
            <w:pPr>
              <w:pStyle w:val="Body"/>
              <w:spacing w:before="180"/>
            </w:pPr>
            <w:r>
              <w:t>Parliamentary amendments</w:t>
            </w:r>
          </w:p>
        </w:tc>
        <w:tc>
          <w:tcPr>
            <w:tcW w:w="2586" w:type="dxa"/>
          </w:tcPr>
          <w:p w:rsidR="000352B8" w:rsidRDefault="000352B8" w:rsidP="00D73706">
            <w:pPr>
              <w:pStyle w:val="Body"/>
              <w:spacing w:before="180"/>
            </w:pPr>
            <w:r>
              <w:t xml:space="preserve">Paragraph </w:t>
            </w:r>
            <w:r w:rsidR="003D5FF4">
              <w:t>1</w:t>
            </w:r>
            <w:r w:rsidR="00AC6992">
              <w:t>1</w:t>
            </w:r>
            <w:r w:rsidR="00D73706">
              <w:t>0</w:t>
            </w:r>
          </w:p>
        </w:tc>
      </w:tr>
      <w:tr w:rsidR="00C979AB" w:rsidTr="001127A5">
        <w:trPr>
          <w:cantSplit/>
        </w:trPr>
        <w:tc>
          <w:tcPr>
            <w:tcW w:w="4893" w:type="dxa"/>
          </w:tcPr>
          <w:p w:rsidR="00C979AB" w:rsidRDefault="00C979AB" w:rsidP="00AC6992">
            <w:pPr>
              <w:pStyle w:val="Body"/>
              <w:spacing w:before="180"/>
            </w:pPr>
            <w:r>
              <w:t>Performance information—analysis of performance</w:t>
            </w:r>
            <w:r w:rsidR="00AC6992">
              <w:t xml:space="preserve"> against Purpose 1: Legislative Drafting</w:t>
            </w:r>
          </w:p>
        </w:tc>
        <w:tc>
          <w:tcPr>
            <w:tcW w:w="2586" w:type="dxa"/>
          </w:tcPr>
          <w:p w:rsidR="00C979AB" w:rsidRDefault="00C979AB" w:rsidP="003D5FF4">
            <w:pPr>
              <w:pStyle w:val="Body"/>
              <w:spacing w:before="180"/>
            </w:pPr>
            <w:r>
              <w:t xml:space="preserve">Paragraph </w:t>
            </w:r>
            <w:r w:rsidR="003D5FF4">
              <w:t>8</w:t>
            </w:r>
            <w:r w:rsidR="00AC6992">
              <w:t>3</w:t>
            </w:r>
          </w:p>
        </w:tc>
      </w:tr>
      <w:tr w:rsidR="000352B8" w:rsidTr="001127A5">
        <w:trPr>
          <w:cantSplit/>
        </w:trPr>
        <w:tc>
          <w:tcPr>
            <w:tcW w:w="4893" w:type="dxa"/>
          </w:tcPr>
          <w:p w:rsidR="000352B8" w:rsidRDefault="000352B8" w:rsidP="00AC6992">
            <w:pPr>
              <w:pStyle w:val="Body"/>
              <w:spacing w:before="180"/>
            </w:pPr>
            <w:r>
              <w:t>Performance information—</w:t>
            </w:r>
            <w:r w:rsidR="00AC6992">
              <w:t>analysis of performance against Purpose 2: Publication</w:t>
            </w:r>
          </w:p>
        </w:tc>
        <w:tc>
          <w:tcPr>
            <w:tcW w:w="2586" w:type="dxa"/>
          </w:tcPr>
          <w:p w:rsidR="000352B8" w:rsidRDefault="000352B8" w:rsidP="00D73706">
            <w:pPr>
              <w:pStyle w:val="Body"/>
              <w:spacing w:before="180"/>
            </w:pPr>
            <w:r>
              <w:t xml:space="preserve">Paragraph </w:t>
            </w:r>
            <w:r w:rsidR="00AC6992">
              <w:t>18</w:t>
            </w:r>
            <w:r w:rsidR="00D73706">
              <w:t>9</w:t>
            </w:r>
          </w:p>
        </w:tc>
      </w:tr>
      <w:tr w:rsidR="00E024DF" w:rsidTr="001127A5">
        <w:trPr>
          <w:cantSplit/>
        </w:trPr>
        <w:tc>
          <w:tcPr>
            <w:tcW w:w="4893" w:type="dxa"/>
          </w:tcPr>
          <w:p w:rsidR="00E024DF" w:rsidRDefault="00E024DF" w:rsidP="00082D5A">
            <w:pPr>
              <w:pStyle w:val="Body"/>
              <w:spacing w:before="180"/>
            </w:pPr>
            <w:r>
              <w:t>Performance pay</w:t>
            </w:r>
          </w:p>
        </w:tc>
        <w:tc>
          <w:tcPr>
            <w:tcW w:w="2586" w:type="dxa"/>
          </w:tcPr>
          <w:p w:rsidR="00E024DF" w:rsidRDefault="00E024DF" w:rsidP="00D73706">
            <w:pPr>
              <w:pStyle w:val="Body"/>
              <w:spacing w:before="180"/>
            </w:pPr>
            <w:r>
              <w:t xml:space="preserve">Paragraph </w:t>
            </w:r>
            <w:r w:rsidR="00AC6992">
              <w:t>3</w:t>
            </w:r>
            <w:r w:rsidR="00D73706">
              <w:t>02</w:t>
            </w:r>
          </w:p>
        </w:tc>
      </w:tr>
      <w:tr w:rsidR="00E024DF" w:rsidTr="001127A5">
        <w:trPr>
          <w:cantSplit/>
        </w:trPr>
        <w:tc>
          <w:tcPr>
            <w:tcW w:w="4893" w:type="dxa"/>
          </w:tcPr>
          <w:p w:rsidR="00E024DF" w:rsidRDefault="00E024DF" w:rsidP="00082D5A">
            <w:pPr>
              <w:pStyle w:val="Body"/>
              <w:spacing w:before="180"/>
            </w:pPr>
            <w:r>
              <w:t>Productivity gains</w:t>
            </w:r>
          </w:p>
        </w:tc>
        <w:tc>
          <w:tcPr>
            <w:tcW w:w="2586" w:type="dxa"/>
          </w:tcPr>
          <w:p w:rsidR="00E024DF" w:rsidRDefault="00E024DF" w:rsidP="00D73706">
            <w:pPr>
              <w:pStyle w:val="Body"/>
              <w:spacing w:before="180"/>
            </w:pPr>
            <w:r>
              <w:t xml:space="preserve">Paragraph </w:t>
            </w:r>
            <w:r w:rsidR="00D73706">
              <w:t>293</w:t>
            </w:r>
          </w:p>
        </w:tc>
      </w:tr>
      <w:tr w:rsidR="00E024DF" w:rsidTr="001127A5">
        <w:trPr>
          <w:cantSplit/>
        </w:trPr>
        <w:tc>
          <w:tcPr>
            <w:tcW w:w="4893" w:type="dxa"/>
          </w:tcPr>
          <w:p w:rsidR="00E024DF" w:rsidRDefault="00E024DF" w:rsidP="00082D5A">
            <w:pPr>
              <w:pStyle w:val="Body"/>
              <w:spacing w:before="200"/>
            </w:pPr>
            <w:r>
              <w:t>Purchasing</w:t>
            </w:r>
          </w:p>
        </w:tc>
        <w:tc>
          <w:tcPr>
            <w:tcW w:w="2586" w:type="dxa"/>
          </w:tcPr>
          <w:p w:rsidR="00E024DF" w:rsidRDefault="00E024DF" w:rsidP="00D73706">
            <w:pPr>
              <w:pStyle w:val="Body"/>
              <w:spacing w:before="200"/>
            </w:pPr>
            <w:r>
              <w:t xml:space="preserve">Paragraph </w:t>
            </w:r>
            <w:r w:rsidR="003D5FF4">
              <w:t>3</w:t>
            </w:r>
            <w:r w:rsidR="00D73706">
              <w:t>3</w:t>
            </w:r>
            <w:r w:rsidR="00AC6992">
              <w:t>8</w:t>
            </w:r>
          </w:p>
        </w:tc>
      </w:tr>
      <w:tr w:rsidR="00E024DF" w:rsidTr="001127A5">
        <w:trPr>
          <w:cantSplit/>
        </w:trPr>
        <w:tc>
          <w:tcPr>
            <w:tcW w:w="4893" w:type="dxa"/>
          </w:tcPr>
          <w:p w:rsidR="00E024DF" w:rsidRDefault="00E024DF" w:rsidP="00082D5A">
            <w:pPr>
              <w:pStyle w:val="Body"/>
              <w:spacing w:before="200"/>
            </w:pPr>
            <w:r>
              <w:t>Purchasing and consultants</w:t>
            </w:r>
          </w:p>
        </w:tc>
        <w:tc>
          <w:tcPr>
            <w:tcW w:w="2586" w:type="dxa"/>
          </w:tcPr>
          <w:p w:rsidR="00E024DF" w:rsidRDefault="00E024DF" w:rsidP="0091025E">
            <w:pPr>
              <w:pStyle w:val="Body"/>
              <w:spacing w:before="200"/>
            </w:pPr>
            <w:r>
              <w:t>Chapter 5</w:t>
            </w:r>
          </w:p>
        </w:tc>
      </w:tr>
      <w:tr w:rsidR="00AC6992" w:rsidTr="001127A5">
        <w:trPr>
          <w:cantSplit/>
        </w:trPr>
        <w:tc>
          <w:tcPr>
            <w:tcW w:w="4893" w:type="dxa"/>
          </w:tcPr>
          <w:p w:rsidR="00AC6992" w:rsidRDefault="00AC6992" w:rsidP="00082D5A">
            <w:pPr>
              <w:pStyle w:val="Body"/>
              <w:spacing w:before="200"/>
            </w:pPr>
            <w:r>
              <w:t>Purpose</w:t>
            </w:r>
          </w:p>
        </w:tc>
        <w:tc>
          <w:tcPr>
            <w:tcW w:w="2586" w:type="dxa"/>
          </w:tcPr>
          <w:p w:rsidR="00AC6992" w:rsidRDefault="00AC6992" w:rsidP="00730C9B">
            <w:pPr>
              <w:pStyle w:val="Body"/>
              <w:spacing w:before="200"/>
            </w:pPr>
            <w:r>
              <w:t>Paragraph 80</w:t>
            </w:r>
          </w:p>
        </w:tc>
      </w:tr>
      <w:tr w:rsidR="00AC6992" w:rsidTr="001127A5">
        <w:trPr>
          <w:cantSplit/>
        </w:trPr>
        <w:tc>
          <w:tcPr>
            <w:tcW w:w="4893" w:type="dxa"/>
          </w:tcPr>
          <w:p w:rsidR="00AC6992" w:rsidRDefault="00AC6992" w:rsidP="00082D5A">
            <w:pPr>
              <w:pStyle w:val="Body"/>
              <w:spacing w:before="200"/>
            </w:pPr>
            <w:r>
              <w:t>Purposes and results—Annual Performance Statement</w:t>
            </w:r>
          </w:p>
        </w:tc>
        <w:tc>
          <w:tcPr>
            <w:tcW w:w="2586" w:type="dxa"/>
          </w:tcPr>
          <w:p w:rsidR="00AC6992" w:rsidRDefault="00AC6992" w:rsidP="00730C9B">
            <w:pPr>
              <w:pStyle w:val="Body"/>
              <w:spacing w:before="200"/>
            </w:pPr>
            <w:r>
              <w:t>Chapter 2</w:t>
            </w:r>
          </w:p>
        </w:tc>
      </w:tr>
      <w:tr w:rsidR="00E024DF" w:rsidTr="001127A5">
        <w:trPr>
          <w:cantSplit/>
        </w:trPr>
        <w:tc>
          <w:tcPr>
            <w:tcW w:w="4893" w:type="dxa"/>
          </w:tcPr>
          <w:p w:rsidR="00E024DF" w:rsidRDefault="00E024DF" w:rsidP="00082D5A">
            <w:pPr>
              <w:pStyle w:val="Body"/>
              <w:spacing w:before="200"/>
            </w:pPr>
            <w:r>
              <w:t>Reconciliation Action Plan</w:t>
            </w:r>
          </w:p>
        </w:tc>
        <w:tc>
          <w:tcPr>
            <w:tcW w:w="2586" w:type="dxa"/>
          </w:tcPr>
          <w:p w:rsidR="00E024DF" w:rsidRDefault="00E024DF" w:rsidP="00D73706">
            <w:pPr>
              <w:pStyle w:val="Body"/>
              <w:spacing w:before="200"/>
            </w:pPr>
            <w:r>
              <w:t xml:space="preserve">Paragraph </w:t>
            </w:r>
            <w:r w:rsidR="007A44F5">
              <w:t>3</w:t>
            </w:r>
            <w:r w:rsidR="00D73706">
              <w:t>14</w:t>
            </w:r>
          </w:p>
        </w:tc>
      </w:tr>
      <w:tr w:rsidR="00E024DF" w:rsidTr="001127A5">
        <w:trPr>
          <w:cantSplit/>
        </w:trPr>
        <w:tc>
          <w:tcPr>
            <w:tcW w:w="4893" w:type="dxa"/>
          </w:tcPr>
          <w:p w:rsidR="00E024DF" w:rsidRDefault="00E024DF" w:rsidP="00082D5A">
            <w:pPr>
              <w:pStyle w:val="Body"/>
              <w:spacing w:before="200"/>
            </w:pPr>
            <w:r>
              <w:t>Report on performance</w:t>
            </w:r>
          </w:p>
        </w:tc>
        <w:tc>
          <w:tcPr>
            <w:tcW w:w="2586" w:type="dxa"/>
          </w:tcPr>
          <w:p w:rsidR="00E024DF" w:rsidRDefault="00E024DF" w:rsidP="00082D5A">
            <w:pPr>
              <w:pStyle w:val="Body"/>
              <w:spacing w:before="200"/>
            </w:pPr>
            <w:r>
              <w:t>Chapter 2</w:t>
            </w:r>
          </w:p>
        </w:tc>
      </w:tr>
      <w:tr w:rsidR="00E024DF" w:rsidTr="001127A5">
        <w:trPr>
          <w:cantSplit/>
        </w:trPr>
        <w:tc>
          <w:tcPr>
            <w:tcW w:w="4893" w:type="dxa"/>
          </w:tcPr>
          <w:p w:rsidR="00E024DF" w:rsidRDefault="00E024DF" w:rsidP="00082D5A">
            <w:pPr>
              <w:pStyle w:val="Body"/>
              <w:spacing w:before="200"/>
            </w:pPr>
            <w:r>
              <w:lastRenderedPageBreak/>
              <w:t>Requirements</w:t>
            </w:r>
          </w:p>
        </w:tc>
        <w:tc>
          <w:tcPr>
            <w:tcW w:w="2586" w:type="dxa"/>
          </w:tcPr>
          <w:p w:rsidR="00E024DF" w:rsidRDefault="00E024DF" w:rsidP="001127A5">
            <w:pPr>
              <w:pStyle w:val="Body"/>
              <w:spacing w:before="200"/>
            </w:pPr>
            <w:r>
              <w:t>Appendix E</w:t>
            </w:r>
          </w:p>
        </w:tc>
      </w:tr>
      <w:tr w:rsidR="00E024DF" w:rsidTr="001127A5">
        <w:trPr>
          <w:cantSplit/>
        </w:trPr>
        <w:tc>
          <w:tcPr>
            <w:tcW w:w="4893" w:type="dxa"/>
          </w:tcPr>
          <w:p w:rsidR="00E024DF" w:rsidRDefault="00E024DF" w:rsidP="00082D5A">
            <w:pPr>
              <w:pStyle w:val="Body"/>
              <w:spacing w:before="200"/>
            </w:pPr>
            <w:r>
              <w:t>Risk management and fraud control</w:t>
            </w:r>
          </w:p>
        </w:tc>
        <w:tc>
          <w:tcPr>
            <w:tcW w:w="2586" w:type="dxa"/>
          </w:tcPr>
          <w:p w:rsidR="00E024DF" w:rsidRDefault="00E024DF" w:rsidP="00D73706">
            <w:pPr>
              <w:pStyle w:val="Body"/>
              <w:spacing w:before="200"/>
            </w:pPr>
            <w:r>
              <w:t xml:space="preserve">Paragraph </w:t>
            </w:r>
            <w:r w:rsidR="007A44F5">
              <w:t>24</w:t>
            </w:r>
            <w:r w:rsidR="00D73706">
              <w:t>0</w:t>
            </w:r>
          </w:p>
        </w:tc>
      </w:tr>
      <w:tr w:rsidR="00E024DF" w:rsidTr="001127A5">
        <w:trPr>
          <w:cantSplit/>
        </w:trPr>
        <w:tc>
          <w:tcPr>
            <w:tcW w:w="4893" w:type="dxa"/>
          </w:tcPr>
          <w:p w:rsidR="00E024DF" w:rsidRDefault="00E024DF" w:rsidP="00082D5A">
            <w:pPr>
              <w:pStyle w:val="Body"/>
              <w:spacing w:before="200"/>
            </w:pPr>
            <w:r>
              <w:t>Role and functions of OPC</w:t>
            </w:r>
          </w:p>
        </w:tc>
        <w:tc>
          <w:tcPr>
            <w:tcW w:w="2586" w:type="dxa"/>
          </w:tcPr>
          <w:p w:rsidR="00E024DF" w:rsidRDefault="00E024DF" w:rsidP="007A44F5">
            <w:pPr>
              <w:pStyle w:val="Body"/>
              <w:spacing w:before="200"/>
            </w:pPr>
            <w:r>
              <w:t xml:space="preserve">Paragraph </w:t>
            </w:r>
            <w:r w:rsidR="007A44F5">
              <w:t>70</w:t>
            </w:r>
          </w:p>
        </w:tc>
      </w:tr>
      <w:tr w:rsidR="00E024DF" w:rsidTr="001127A5">
        <w:trPr>
          <w:cantSplit/>
        </w:trPr>
        <w:tc>
          <w:tcPr>
            <w:tcW w:w="4893" w:type="dxa"/>
          </w:tcPr>
          <w:p w:rsidR="00E024DF" w:rsidRDefault="00E024DF" w:rsidP="00082D5A">
            <w:pPr>
              <w:pStyle w:val="Body"/>
              <w:spacing w:before="200"/>
            </w:pPr>
            <w:r>
              <w:t>Salary ranges</w:t>
            </w:r>
          </w:p>
        </w:tc>
        <w:tc>
          <w:tcPr>
            <w:tcW w:w="2586" w:type="dxa"/>
          </w:tcPr>
          <w:p w:rsidR="00E024DF" w:rsidRDefault="00E024DF" w:rsidP="00082D5A">
            <w:pPr>
              <w:pStyle w:val="Body"/>
              <w:spacing w:before="200"/>
            </w:pPr>
            <w:r>
              <w:t>Appendix B</w:t>
            </w:r>
          </w:p>
        </w:tc>
      </w:tr>
      <w:tr w:rsidR="00E024DF" w:rsidTr="001127A5">
        <w:trPr>
          <w:cantSplit/>
        </w:trPr>
        <w:tc>
          <w:tcPr>
            <w:tcW w:w="4893" w:type="dxa"/>
          </w:tcPr>
          <w:p w:rsidR="00E024DF" w:rsidRDefault="002D48EF" w:rsidP="00082D5A">
            <w:pPr>
              <w:pStyle w:val="Body"/>
              <w:spacing w:before="200"/>
            </w:pPr>
            <w:r>
              <w:t>Senior Management T</w:t>
            </w:r>
            <w:r w:rsidR="00E024DF">
              <w:t>eam</w:t>
            </w:r>
          </w:p>
        </w:tc>
        <w:tc>
          <w:tcPr>
            <w:tcW w:w="2586" w:type="dxa"/>
          </w:tcPr>
          <w:p w:rsidR="00E024DF" w:rsidRDefault="00E024DF" w:rsidP="00D73706">
            <w:pPr>
              <w:pStyle w:val="Body"/>
              <w:spacing w:before="200"/>
            </w:pPr>
            <w:r>
              <w:t xml:space="preserve">Paragraph </w:t>
            </w:r>
            <w:r w:rsidR="007A44F5">
              <w:t>2</w:t>
            </w:r>
            <w:r w:rsidR="00D73706">
              <w:t>28</w:t>
            </w:r>
          </w:p>
        </w:tc>
      </w:tr>
      <w:tr w:rsidR="00E024DF" w:rsidTr="001127A5">
        <w:trPr>
          <w:cantSplit/>
        </w:trPr>
        <w:tc>
          <w:tcPr>
            <w:tcW w:w="4893" w:type="dxa"/>
          </w:tcPr>
          <w:p w:rsidR="00E024DF" w:rsidRDefault="00E024DF" w:rsidP="00082D5A">
            <w:pPr>
              <w:pStyle w:val="Body"/>
              <w:spacing w:before="200"/>
            </w:pPr>
            <w:r>
              <w:t>SES remuneration</w:t>
            </w:r>
          </w:p>
        </w:tc>
        <w:tc>
          <w:tcPr>
            <w:tcW w:w="2586" w:type="dxa"/>
          </w:tcPr>
          <w:p w:rsidR="00E024DF" w:rsidRDefault="00E024DF" w:rsidP="00D73706">
            <w:pPr>
              <w:pStyle w:val="Body"/>
              <w:spacing w:before="200"/>
            </w:pPr>
            <w:r>
              <w:t xml:space="preserve">Paragraph </w:t>
            </w:r>
            <w:r w:rsidR="007A44F5">
              <w:t>26</w:t>
            </w:r>
            <w:r w:rsidR="00D73706">
              <w:t>1</w:t>
            </w:r>
          </w:p>
        </w:tc>
      </w:tr>
      <w:tr w:rsidR="00B531D6" w:rsidTr="001127A5">
        <w:trPr>
          <w:cantSplit/>
        </w:trPr>
        <w:tc>
          <w:tcPr>
            <w:tcW w:w="4893" w:type="dxa"/>
          </w:tcPr>
          <w:p w:rsidR="00B531D6" w:rsidRDefault="00B531D6" w:rsidP="00B531D6">
            <w:pPr>
              <w:pStyle w:val="Body"/>
              <w:spacing w:before="200"/>
            </w:pPr>
            <w:r>
              <w:t>Staff development arrangements</w:t>
            </w:r>
          </w:p>
        </w:tc>
        <w:tc>
          <w:tcPr>
            <w:tcW w:w="2586" w:type="dxa"/>
          </w:tcPr>
          <w:p w:rsidR="00B531D6" w:rsidRDefault="00B531D6" w:rsidP="00D73706">
            <w:pPr>
              <w:pStyle w:val="Body"/>
              <w:spacing w:before="200"/>
            </w:pPr>
            <w:r>
              <w:t xml:space="preserve">Paragraph </w:t>
            </w:r>
            <w:r w:rsidR="007A44F5">
              <w:t>2</w:t>
            </w:r>
            <w:r w:rsidR="00D73706">
              <w:t>81</w:t>
            </w:r>
          </w:p>
        </w:tc>
      </w:tr>
      <w:tr w:rsidR="00E024DF" w:rsidTr="001127A5">
        <w:trPr>
          <w:cantSplit/>
        </w:trPr>
        <w:tc>
          <w:tcPr>
            <w:tcW w:w="4893" w:type="dxa"/>
          </w:tcPr>
          <w:p w:rsidR="00E024DF" w:rsidRDefault="003D5FF4" w:rsidP="00082D5A">
            <w:pPr>
              <w:pStyle w:val="Body"/>
              <w:spacing w:before="200"/>
            </w:pPr>
            <w:r>
              <w:t>Staff</w:t>
            </w:r>
            <w:r w:rsidR="00E024DF">
              <w:t xml:space="preserve"> changes and recruitment</w:t>
            </w:r>
          </w:p>
        </w:tc>
        <w:tc>
          <w:tcPr>
            <w:tcW w:w="2586" w:type="dxa"/>
          </w:tcPr>
          <w:p w:rsidR="00E024DF" w:rsidRDefault="00E024DF" w:rsidP="00D73706">
            <w:pPr>
              <w:pStyle w:val="Body"/>
              <w:spacing w:before="200"/>
            </w:pPr>
            <w:r>
              <w:t xml:space="preserve">Paragraph </w:t>
            </w:r>
            <w:r w:rsidR="007A44F5">
              <w:t>3</w:t>
            </w:r>
            <w:r w:rsidR="00D73706">
              <w:t>04</w:t>
            </w:r>
          </w:p>
        </w:tc>
      </w:tr>
      <w:tr w:rsidR="00E024DF" w:rsidTr="001127A5">
        <w:trPr>
          <w:cantSplit/>
        </w:trPr>
        <w:tc>
          <w:tcPr>
            <w:tcW w:w="4893" w:type="dxa"/>
          </w:tcPr>
          <w:p w:rsidR="00E024DF" w:rsidRDefault="003D5FF4" w:rsidP="00082D5A">
            <w:pPr>
              <w:pStyle w:val="Body"/>
              <w:spacing w:before="200"/>
            </w:pPr>
            <w:r>
              <w:t>Staff</w:t>
            </w:r>
            <w:r w:rsidR="00E024DF">
              <w:t xml:space="preserve"> statistics</w:t>
            </w:r>
          </w:p>
        </w:tc>
        <w:tc>
          <w:tcPr>
            <w:tcW w:w="2586" w:type="dxa"/>
          </w:tcPr>
          <w:p w:rsidR="00E024DF" w:rsidRDefault="00B531D6" w:rsidP="00B531D6">
            <w:pPr>
              <w:pStyle w:val="Body"/>
              <w:spacing w:before="200"/>
            </w:pPr>
            <w:r>
              <w:t>Appendix B</w:t>
            </w:r>
          </w:p>
        </w:tc>
      </w:tr>
      <w:tr w:rsidR="00E024DF" w:rsidTr="001127A5">
        <w:trPr>
          <w:cantSplit/>
        </w:trPr>
        <w:tc>
          <w:tcPr>
            <w:tcW w:w="4893" w:type="dxa"/>
          </w:tcPr>
          <w:p w:rsidR="00E024DF" w:rsidRDefault="00E024DF" w:rsidP="00082D5A">
            <w:pPr>
              <w:pStyle w:val="Body"/>
              <w:spacing w:before="200"/>
            </w:pPr>
            <w:r>
              <w:t>Staff meetings</w:t>
            </w:r>
          </w:p>
        </w:tc>
        <w:tc>
          <w:tcPr>
            <w:tcW w:w="2586" w:type="dxa"/>
          </w:tcPr>
          <w:p w:rsidR="00E024DF" w:rsidRDefault="00E024DF" w:rsidP="00D73706">
            <w:pPr>
              <w:pStyle w:val="Body"/>
              <w:spacing w:before="200"/>
            </w:pPr>
            <w:r>
              <w:t xml:space="preserve">Paragraph </w:t>
            </w:r>
            <w:r w:rsidR="007A44F5">
              <w:t>2</w:t>
            </w:r>
            <w:r w:rsidR="00D73706">
              <w:t>38</w:t>
            </w:r>
          </w:p>
        </w:tc>
      </w:tr>
      <w:tr w:rsidR="00E024DF" w:rsidTr="001127A5">
        <w:trPr>
          <w:cantSplit/>
        </w:trPr>
        <w:tc>
          <w:tcPr>
            <w:tcW w:w="4893" w:type="dxa"/>
          </w:tcPr>
          <w:p w:rsidR="00E024DF" w:rsidRDefault="00E024DF" w:rsidP="00082D5A">
            <w:pPr>
              <w:pStyle w:val="Body"/>
              <w:spacing w:before="200"/>
            </w:pPr>
            <w:r>
              <w:t>Staff retention</w:t>
            </w:r>
          </w:p>
        </w:tc>
        <w:tc>
          <w:tcPr>
            <w:tcW w:w="2586" w:type="dxa"/>
          </w:tcPr>
          <w:p w:rsidR="00E024DF" w:rsidRDefault="00E024DF" w:rsidP="00D73706">
            <w:pPr>
              <w:pStyle w:val="Body"/>
              <w:spacing w:before="200"/>
            </w:pPr>
            <w:r>
              <w:t xml:space="preserve">Paragraph </w:t>
            </w:r>
            <w:r w:rsidR="007A44F5">
              <w:t>3</w:t>
            </w:r>
            <w:r w:rsidR="00D73706">
              <w:t>07</w:t>
            </w:r>
          </w:p>
        </w:tc>
      </w:tr>
      <w:tr w:rsidR="00E024DF" w:rsidTr="001127A5">
        <w:trPr>
          <w:cantSplit/>
        </w:trPr>
        <w:tc>
          <w:tcPr>
            <w:tcW w:w="4893" w:type="dxa"/>
          </w:tcPr>
          <w:p w:rsidR="00E024DF" w:rsidRDefault="00E024DF" w:rsidP="00082D5A">
            <w:pPr>
              <w:pStyle w:val="Body"/>
              <w:spacing w:before="200"/>
            </w:pPr>
            <w:r>
              <w:t>Studies Assistance arrangements</w:t>
            </w:r>
          </w:p>
        </w:tc>
        <w:tc>
          <w:tcPr>
            <w:tcW w:w="2586" w:type="dxa"/>
          </w:tcPr>
          <w:p w:rsidR="00E024DF" w:rsidRDefault="00E024DF" w:rsidP="00D73706">
            <w:pPr>
              <w:pStyle w:val="Body"/>
              <w:spacing w:before="200"/>
            </w:pPr>
            <w:r>
              <w:t xml:space="preserve">Paragraph </w:t>
            </w:r>
            <w:r w:rsidR="007A44F5">
              <w:t>2</w:t>
            </w:r>
            <w:r w:rsidR="00D73706">
              <w:t>88</w:t>
            </w:r>
          </w:p>
        </w:tc>
      </w:tr>
      <w:tr w:rsidR="00E024DF" w:rsidTr="001127A5">
        <w:trPr>
          <w:cantSplit/>
        </w:trPr>
        <w:tc>
          <w:tcPr>
            <w:tcW w:w="4893" w:type="dxa"/>
          </w:tcPr>
          <w:p w:rsidR="00E024DF" w:rsidRDefault="00E024DF" w:rsidP="00082D5A">
            <w:pPr>
              <w:pStyle w:val="Body"/>
              <w:spacing w:before="200"/>
            </w:pPr>
            <w:r>
              <w:t>Survey of OPC staff</w:t>
            </w:r>
          </w:p>
        </w:tc>
        <w:tc>
          <w:tcPr>
            <w:tcW w:w="2586" w:type="dxa"/>
          </w:tcPr>
          <w:p w:rsidR="00E024DF" w:rsidRDefault="00E024DF" w:rsidP="00D73706">
            <w:pPr>
              <w:pStyle w:val="Body"/>
              <w:spacing w:before="200"/>
            </w:pPr>
            <w:r>
              <w:t xml:space="preserve">Paragraph </w:t>
            </w:r>
            <w:r w:rsidR="007A44F5">
              <w:t>2</w:t>
            </w:r>
            <w:r w:rsidR="00D73706">
              <w:t>65</w:t>
            </w:r>
          </w:p>
        </w:tc>
      </w:tr>
      <w:tr w:rsidR="00E024DF" w:rsidTr="001127A5">
        <w:trPr>
          <w:cantSplit/>
        </w:trPr>
        <w:tc>
          <w:tcPr>
            <w:tcW w:w="4893" w:type="dxa"/>
          </w:tcPr>
          <w:p w:rsidR="00E024DF" w:rsidRDefault="00E024DF" w:rsidP="00082D5A">
            <w:pPr>
              <w:pStyle w:val="Body"/>
              <w:spacing w:before="200"/>
            </w:pPr>
            <w:r>
              <w:t>Training and development</w:t>
            </w:r>
          </w:p>
        </w:tc>
        <w:tc>
          <w:tcPr>
            <w:tcW w:w="2586" w:type="dxa"/>
          </w:tcPr>
          <w:p w:rsidR="00E024DF" w:rsidRDefault="00E024DF" w:rsidP="00D73706">
            <w:pPr>
              <w:pStyle w:val="Body"/>
              <w:spacing w:before="200"/>
            </w:pPr>
            <w:r>
              <w:t xml:space="preserve">Paragraph </w:t>
            </w:r>
            <w:r w:rsidR="007A44F5">
              <w:t>28</w:t>
            </w:r>
            <w:r w:rsidR="00D73706">
              <w:t>0</w:t>
            </w:r>
          </w:p>
        </w:tc>
      </w:tr>
      <w:tr w:rsidR="00E024DF" w:rsidTr="001127A5">
        <w:trPr>
          <w:cantSplit/>
        </w:trPr>
        <w:tc>
          <w:tcPr>
            <w:tcW w:w="4893" w:type="dxa"/>
          </w:tcPr>
          <w:p w:rsidR="00E024DF" w:rsidRDefault="00E024DF" w:rsidP="00F546F3">
            <w:pPr>
              <w:pStyle w:val="Body"/>
              <w:spacing w:before="200"/>
            </w:pPr>
            <w:r>
              <w:t>Training—drafters</w:t>
            </w:r>
          </w:p>
        </w:tc>
        <w:tc>
          <w:tcPr>
            <w:tcW w:w="2586" w:type="dxa"/>
          </w:tcPr>
          <w:p w:rsidR="00E024DF" w:rsidRDefault="00E024DF" w:rsidP="00D73706">
            <w:pPr>
              <w:pStyle w:val="Body"/>
              <w:spacing w:before="200"/>
            </w:pPr>
            <w:r>
              <w:t xml:space="preserve">Paragraph </w:t>
            </w:r>
            <w:r w:rsidR="007A44F5">
              <w:t>2</w:t>
            </w:r>
            <w:r w:rsidR="00D73706">
              <w:t>83</w:t>
            </w:r>
          </w:p>
        </w:tc>
      </w:tr>
      <w:tr w:rsidR="00E024DF" w:rsidTr="001127A5">
        <w:trPr>
          <w:cantSplit/>
        </w:trPr>
        <w:tc>
          <w:tcPr>
            <w:tcW w:w="4893" w:type="dxa"/>
          </w:tcPr>
          <w:p w:rsidR="00E024DF" w:rsidRDefault="00E024DF" w:rsidP="00082D5A">
            <w:pPr>
              <w:pStyle w:val="Body"/>
              <w:spacing w:before="200"/>
            </w:pPr>
            <w:r>
              <w:t>Training—information technology</w:t>
            </w:r>
          </w:p>
        </w:tc>
        <w:tc>
          <w:tcPr>
            <w:tcW w:w="2586" w:type="dxa"/>
          </w:tcPr>
          <w:p w:rsidR="00E024DF" w:rsidRDefault="00E024DF" w:rsidP="00D73706">
            <w:pPr>
              <w:pStyle w:val="Body"/>
              <w:spacing w:before="200"/>
            </w:pPr>
            <w:r>
              <w:t xml:space="preserve">Paragraph </w:t>
            </w:r>
            <w:r w:rsidR="007A44F5">
              <w:t>2</w:t>
            </w:r>
            <w:r w:rsidR="00D73706">
              <w:t>89</w:t>
            </w:r>
          </w:p>
        </w:tc>
      </w:tr>
      <w:tr w:rsidR="00AC6992" w:rsidTr="001127A5">
        <w:trPr>
          <w:cantSplit/>
        </w:trPr>
        <w:tc>
          <w:tcPr>
            <w:tcW w:w="4893" w:type="dxa"/>
          </w:tcPr>
          <w:p w:rsidR="00AC6992" w:rsidRDefault="00AC6992" w:rsidP="006B45FC">
            <w:pPr>
              <w:pStyle w:val="Body"/>
              <w:spacing w:before="180"/>
            </w:pPr>
            <w:r>
              <w:t>Website address</w:t>
            </w:r>
          </w:p>
        </w:tc>
        <w:tc>
          <w:tcPr>
            <w:tcW w:w="2586" w:type="dxa"/>
          </w:tcPr>
          <w:p w:rsidR="00AC6992" w:rsidRDefault="00AC6992" w:rsidP="00D73706">
            <w:pPr>
              <w:pStyle w:val="Body"/>
              <w:spacing w:before="180"/>
            </w:pPr>
            <w:r>
              <w:t>Paragraph 3</w:t>
            </w:r>
            <w:r w:rsidR="00D73706">
              <w:t>5</w:t>
            </w:r>
            <w:r>
              <w:t>6</w:t>
            </w:r>
          </w:p>
        </w:tc>
      </w:tr>
      <w:tr w:rsidR="00E024DF" w:rsidTr="001127A5">
        <w:trPr>
          <w:cantSplit/>
        </w:trPr>
        <w:tc>
          <w:tcPr>
            <w:tcW w:w="4893" w:type="dxa"/>
          </w:tcPr>
          <w:p w:rsidR="00E024DF" w:rsidRDefault="00E024DF" w:rsidP="00082D5A">
            <w:pPr>
              <w:pStyle w:val="Body"/>
              <w:spacing w:before="200"/>
            </w:pPr>
            <w:r>
              <w:t>Workforce planning</w:t>
            </w:r>
          </w:p>
        </w:tc>
        <w:tc>
          <w:tcPr>
            <w:tcW w:w="2586" w:type="dxa"/>
          </w:tcPr>
          <w:p w:rsidR="00E024DF" w:rsidRDefault="00E024DF" w:rsidP="00D73706">
            <w:pPr>
              <w:pStyle w:val="Body"/>
              <w:spacing w:before="200"/>
            </w:pPr>
            <w:r>
              <w:t xml:space="preserve">Paragraph </w:t>
            </w:r>
            <w:r w:rsidR="007A44F5">
              <w:t>3</w:t>
            </w:r>
            <w:r w:rsidR="00D73706">
              <w:t>05</w:t>
            </w:r>
          </w:p>
        </w:tc>
      </w:tr>
      <w:tr w:rsidR="00E024DF" w:rsidTr="001127A5">
        <w:trPr>
          <w:cantSplit/>
        </w:trPr>
        <w:tc>
          <w:tcPr>
            <w:tcW w:w="4893" w:type="dxa"/>
          </w:tcPr>
          <w:p w:rsidR="00E024DF" w:rsidRDefault="00E024DF" w:rsidP="00082D5A">
            <w:pPr>
              <w:pStyle w:val="Body"/>
              <w:spacing w:before="200"/>
            </w:pPr>
            <w:r>
              <w:t>Work health and safety</w:t>
            </w:r>
          </w:p>
        </w:tc>
        <w:tc>
          <w:tcPr>
            <w:tcW w:w="2586" w:type="dxa"/>
          </w:tcPr>
          <w:p w:rsidR="00E024DF" w:rsidRDefault="00E024DF" w:rsidP="00D73706">
            <w:pPr>
              <w:pStyle w:val="Body"/>
              <w:spacing w:before="200"/>
            </w:pPr>
            <w:r>
              <w:t xml:space="preserve">Paragraph </w:t>
            </w:r>
            <w:r w:rsidR="007A44F5">
              <w:t>3</w:t>
            </w:r>
            <w:r w:rsidR="00D73706">
              <w:t>2</w:t>
            </w:r>
            <w:r w:rsidR="007A44F5">
              <w:t>1</w:t>
            </w:r>
          </w:p>
        </w:tc>
      </w:tr>
      <w:tr w:rsidR="00E024DF" w:rsidTr="001127A5">
        <w:trPr>
          <w:cantSplit/>
        </w:trPr>
        <w:tc>
          <w:tcPr>
            <w:tcW w:w="4893" w:type="dxa"/>
          </w:tcPr>
          <w:p w:rsidR="00E024DF" w:rsidRDefault="00E024DF" w:rsidP="00F14D50">
            <w:pPr>
              <w:pStyle w:val="Body"/>
              <w:spacing w:before="180"/>
            </w:pPr>
            <w:r>
              <w:t>Workplace agreements—coverage</w:t>
            </w:r>
          </w:p>
        </w:tc>
        <w:tc>
          <w:tcPr>
            <w:tcW w:w="2586" w:type="dxa"/>
          </w:tcPr>
          <w:p w:rsidR="00E024DF" w:rsidRDefault="00E024DF" w:rsidP="00D73706">
            <w:pPr>
              <w:pStyle w:val="Body"/>
              <w:spacing w:before="180"/>
            </w:pPr>
            <w:r>
              <w:t xml:space="preserve">Paragraph </w:t>
            </w:r>
            <w:r w:rsidR="00D73706">
              <w:t>296</w:t>
            </w:r>
          </w:p>
        </w:tc>
      </w:tr>
      <w:tr w:rsidR="00E024DF" w:rsidTr="001127A5">
        <w:trPr>
          <w:cantSplit/>
        </w:trPr>
        <w:tc>
          <w:tcPr>
            <w:tcW w:w="4893" w:type="dxa"/>
          </w:tcPr>
          <w:p w:rsidR="00E024DF" w:rsidRDefault="00E024DF" w:rsidP="00082D5A">
            <w:pPr>
              <w:pStyle w:val="Body"/>
              <w:spacing w:before="200"/>
            </w:pPr>
            <w:r>
              <w:t>Workplace Consultative Committee</w:t>
            </w:r>
          </w:p>
        </w:tc>
        <w:tc>
          <w:tcPr>
            <w:tcW w:w="2586" w:type="dxa"/>
          </w:tcPr>
          <w:p w:rsidR="00E024DF" w:rsidRDefault="00E024DF" w:rsidP="00D73706">
            <w:pPr>
              <w:pStyle w:val="Body"/>
              <w:spacing w:before="200"/>
            </w:pPr>
            <w:r>
              <w:t xml:space="preserve">Paragraph </w:t>
            </w:r>
            <w:r w:rsidR="007A44F5">
              <w:t>23</w:t>
            </w:r>
            <w:r w:rsidR="00D73706">
              <w:t>1</w:t>
            </w:r>
          </w:p>
        </w:tc>
      </w:tr>
      <w:tr w:rsidR="00E024DF" w:rsidTr="001127A5">
        <w:trPr>
          <w:cantSplit/>
        </w:trPr>
        <w:tc>
          <w:tcPr>
            <w:tcW w:w="4893" w:type="dxa"/>
          </w:tcPr>
          <w:p w:rsidR="00E024DF" w:rsidRDefault="00E024DF" w:rsidP="00082D5A">
            <w:pPr>
              <w:pStyle w:val="Body"/>
              <w:spacing w:before="200"/>
            </w:pPr>
            <w:r>
              <w:t>Workplace diversity</w:t>
            </w:r>
          </w:p>
        </w:tc>
        <w:tc>
          <w:tcPr>
            <w:tcW w:w="2586" w:type="dxa"/>
          </w:tcPr>
          <w:p w:rsidR="00E024DF" w:rsidRDefault="00E024DF" w:rsidP="00D73706">
            <w:pPr>
              <w:pStyle w:val="Body"/>
              <w:spacing w:before="200"/>
            </w:pPr>
            <w:r>
              <w:t xml:space="preserve">Paragraph </w:t>
            </w:r>
            <w:r w:rsidR="007A44F5">
              <w:t>3</w:t>
            </w:r>
            <w:r w:rsidR="00D73706">
              <w:t>08</w:t>
            </w:r>
          </w:p>
        </w:tc>
      </w:tr>
    </w:tbl>
    <w:p w:rsidR="000352B8" w:rsidRPr="00DD4DD8" w:rsidRDefault="000352B8" w:rsidP="00DD4DD8">
      <w:pPr>
        <w:rPr>
          <w:sz w:val="16"/>
          <w:szCs w:val="16"/>
        </w:rPr>
      </w:pPr>
    </w:p>
    <w:sectPr w:rsidR="000352B8" w:rsidRPr="00DD4DD8" w:rsidSect="00D56569">
      <w:headerReference w:type="even" r:id="rId138"/>
      <w:headerReference w:type="default" r:id="rId139"/>
      <w:pgSz w:w="11907" w:h="16839" w:code="9"/>
      <w:pgMar w:top="1134" w:right="2410" w:bottom="4253" w:left="2410" w:header="510" w:footer="3402"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F4E" w:rsidRDefault="00803F4E">
      <w:r>
        <w:separator/>
      </w:r>
    </w:p>
  </w:endnote>
  <w:endnote w:type="continuationSeparator" w:id="0">
    <w:p w:rsidR="00803F4E" w:rsidRDefault="00803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pPr>
    <w:r>
      <w:rPr>
        <w:rStyle w:val="PageNumber"/>
      </w:rPr>
      <w:fldChar w:fldCharType="begin"/>
    </w:r>
    <w:r>
      <w:rPr>
        <w:rStyle w:val="PageNumber"/>
      </w:rPr>
      <w:instrText xml:space="preserve"> PAGE </w:instrText>
    </w:r>
    <w:r>
      <w:rPr>
        <w:rStyle w:val="PageNumber"/>
      </w:rPr>
      <w:fldChar w:fldCharType="separate"/>
    </w:r>
    <w:r w:rsidR="0067044F">
      <w:rPr>
        <w:rStyle w:val="PageNumber"/>
        <w:noProof/>
      </w:rPr>
      <w:t>106</w:t>
    </w:r>
    <w:r>
      <w:rPr>
        <w:rStyle w:val="PageNumber"/>
      </w:rPr>
      <w:fldChar w:fldCharType="end"/>
    </w:r>
    <w:r>
      <w:rPr>
        <w:rStyle w:val="PageNumber"/>
      </w:rPr>
      <w:tab/>
    </w:r>
    <w:r>
      <w:rPr>
        <w:rStyle w:val="PageNumber"/>
        <w:color w:val="000000"/>
      </w:rPr>
      <w:t>Office of Parliamentary Counsel  —</w:t>
    </w:r>
    <w:r>
      <w:rPr>
        <w:rStyle w:val="PageNumber"/>
      </w:rPr>
      <w:t xml:space="preserve">  Annual Report 2004/2005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12</w:t>
    </w:r>
    <w:r>
      <w:rPr>
        <w:rStyle w:val="PageNumber"/>
        <w:color w:val="0000F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11</w:t>
    </w:r>
    <w:r>
      <w:rPr>
        <w:rStyle w:val="PageNumber"/>
        <w:color w:val="0000F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36</w:t>
    </w:r>
    <w:r>
      <w:rPr>
        <w:rStyle w:val="PageNumber"/>
        <w:color w:val="0000F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37</w:t>
    </w:r>
    <w:r>
      <w:rPr>
        <w:rStyle w:val="PageNumber"/>
        <w:color w:val="0000F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40</w:t>
    </w:r>
    <w:r>
      <w:rPr>
        <w:rStyle w:val="PageNumber"/>
        <w:color w:val="0000F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44</w:t>
    </w:r>
    <w:r>
      <w:rPr>
        <w:rStyle w:val="PageNumber"/>
        <w:color w:val="0000F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45</w:t>
    </w:r>
    <w:r>
      <w:rPr>
        <w:rStyle w:val="PageNumber"/>
        <w:color w:val="0000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556" w:rsidRDefault="00B2655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46</w:t>
    </w:r>
    <w:r>
      <w:rPr>
        <w:rStyle w:val="PageNumber"/>
        <w:color w:val="0000F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54</w:t>
    </w:r>
    <w:r>
      <w:rPr>
        <w:rStyle w:val="PageNumber"/>
        <w:color w:val="0000F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55</w:t>
    </w:r>
    <w:r>
      <w:rPr>
        <w:rStyle w:val="PageNumber"/>
        <w:color w:val="0000F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60</w:t>
    </w:r>
    <w:r>
      <w:rPr>
        <w:rStyle w:val="PageNumber"/>
        <w:color w:val="0000F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556" w:rsidRDefault="00B26556">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61</w:t>
    </w:r>
    <w:r>
      <w:rPr>
        <w:rStyle w:val="PageNumber"/>
        <w:color w:val="0000F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62</w:t>
    </w:r>
    <w:r>
      <w:rPr>
        <w:rStyle w:val="PageNumber"/>
        <w:color w:val="0000F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67044F">
      <w:rPr>
        <w:rStyle w:val="PageNumber"/>
        <w:noProof/>
        <w:color w:val="0000FF"/>
      </w:rPr>
      <w:t>106</w:t>
    </w:r>
    <w:r>
      <w:rPr>
        <w:rStyle w:val="PageNumber"/>
        <w:color w:val="0000F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64</w:t>
    </w:r>
    <w:r>
      <w:rPr>
        <w:rStyle w:val="PageNumber"/>
        <w:color w:val="0000F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63</w:t>
    </w:r>
    <w:r>
      <w:rPr>
        <w:rStyle w:val="PageNumber"/>
        <w:color w:val="0000F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66</w:t>
    </w:r>
    <w:r>
      <w:rPr>
        <w:rStyle w:val="PageNumber"/>
        <w:color w:val="0000F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67</w:t>
    </w:r>
    <w:r>
      <w:rPr>
        <w:rStyle w:val="PageNumber"/>
        <w:color w:val="0000F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pBdr>
        <w:top w:val="single" w:sz="4" w:space="1" w:color="0000FF"/>
      </w:pBd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108</w:t>
    </w:r>
    <w:r>
      <w:rPr>
        <w:rStyle w:val="PageNumber"/>
        <w:color w:val="0000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A6158F">
      <w:rPr>
        <w:rStyle w:val="PageNumber"/>
        <w:noProof/>
        <w:color w:val="0000FF"/>
      </w:rPr>
      <w:t>107</w:t>
    </w:r>
    <w:r>
      <w:rPr>
        <w:rStyle w:val="PageNumber"/>
        <w:color w:val="0000F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ii</w:t>
    </w:r>
    <w:r>
      <w:rPr>
        <w:rStyle w:val="PageNumber"/>
        <w:color w:val="0000F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i</w:t>
    </w:r>
    <w:r>
      <w:rPr>
        <w:rStyle w:val="PageNumber"/>
        <w:color w:val="0000F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10</w:t>
    </w:r>
    <w:r>
      <w:rPr>
        <w:rStyle w:val="PageNumber"/>
        <w:color w:val="0000F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Footer"/>
      <w:pBdr>
        <w:top w:val="single" w:sz="4" w:space="1" w:color="0000FF"/>
      </w:pBdr>
      <w:tabs>
        <w:tab w:val="right" w:pos="7088"/>
      </w:tabs>
      <w:ind w:right="-1"/>
      <w:rPr>
        <w:rStyle w:val="PageNumber"/>
      </w:rPr>
    </w:pPr>
  </w:p>
  <w:p w:rsidR="00803F4E" w:rsidRDefault="00803F4E">
    <w:pPr>
      <w:pStyle w:val="Footer"/>
      <w:tabs>
        <w:tab w:val="right" w:pos="7088"/>
      </w:tabs>
      <w:ind w:right="-1"/>
      <w:jc w:val="right"/>
      <w:rPr>
        <w:color w:val="0000FF"/>
      </w:rPr>
    </w:pPr>
    <w:r>
      <w:rPr>
        <w:rStyle w:val="PageNumber"/>
        <w:color w:val="0000FF"/>
      </w:rPr>
      <w:fldChar w:fldCharType="begin"/>
    </w:r>
    <w:r>
      <w:rPr>
        <w:rStyle w:val="PageNumber"/>
        <w:color w:val="0000FF"/>
      </w:rPr>
      <w:instrText xml:space="preserve"> PAGE </w:instrText>
    </w:r>
    <w:r>
      <w:rPr>
        <w:rStyle w:val="PageNumber"/>
        <w:color w:val="0000FF"/>
      </w:rPr>
      <w:fldChar w:fldCharType="separate"/>
    </w:r>
    <w:r w:rsidR="008475CC">
      <w:rPr>
        <w:rStyle w:val="PageNumber"/>
        <w:noProof/>
        <w:color w:val="0000FF"/>
      </w:rPr>
      <w:t>9</w:t>
    </w:r>
    <w:r>
      <w:rPr>
        <w:rStyle w:val="PageNumber"/>
        <w:color w:val="0000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F4E" w:rsidRDefault="00803F4E">
      <w:r>
        <w:separator/>
      </w:r>
    </w:p>
  </w:footnote>
  <w:footnote w:type="continuationSeparator" w:id="0">
    <w:p w:rsidR="00803F4E" w:rsidRDefault="00803F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7044F">
      <w:rPr>
        <w:noProof/>
        <w:sz w:val="22"/>
      </w:rPr>
      <w:t>First Parliamentary Counsel’s Review</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p w:rsidR="00803F4E" w:rsidRDefault="00803F4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First Parliamentary Counsel’s Review</w:t>
    </w:r>
    <w:r>
      <w:rPr>
        <w:sz w:val="22"/>
      </w:rPr>
      <w:fldChar w:fldCharType="end"/>
    </w:r>
  </w:p>
  <w:p w:rsidR="00803F4E" w:rsidRDefault="00803F4E">
    <w:pPr>
      <w:pStyle w:val="Header"/>
      <w:pBdr>
        <w:bottom w:val="single" w:sz="4" w:space="1" w:color="0000FF"/>
      </w:pBdr>
      <w:tabs>
        <w:tab w:val="left" w:pos="567"/>
      </w:tabs>
      <w:rPr>
        <w:sz w:val="22"/>
      </w:rPr>
    </w:pPr>
  </w:p>
  <w:p w:rsidR="00803F4E" w:rsidRDefault="00803F4E">
    <w:pPr>
      <w:pStyle w:val="Header"/>
      <w:tabs>
        <w:tab w:val="left" w:pos="567"/>
      </w:tabs>
      <w:rPr>
        <w:b/>
        <w:sz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8475CC">
      <w:rPr>
        <w:noProof/>
        <w:sz w:val="22"/>
      </w:rPr>
      <w:t>First Parliamentary Counsel’s Review</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7044F">
      <w:rPr>
        <w:noProof/>
        <w:sz w:val="22"/>
      </w:rPr>
      <w:t>First Parliamentary Counsel’s Review</w:t>
    </w:r>
    <w:r>
      <w:rPr>
        <w:sz w:val="22"/>
      </w:rPr>
      <w:fldChar w:fldCharType="end"/>
    </w:r>
  </w:p>
  <w:p w:rsidR="00803F4E" w:rsidRDefault="00803F4E">
    <w:pPr>
      <w:pStyle w:val="Header"/>
      <w:pBdr>
        <w:bottom w:val="single" w:sz="4" w:space="1" w:color="0000FF"/>
      </w:pBdr>
      <w:tabs>
        <w:tab w:val="left" w:pos="567"/>
      </w:tabs>
      <w:rPr>
        <w:sz w:val="22"/>
      </w:rPr>
    </w:pPr>
  </w:p>
  <w:p w:rsidR="00803F4E" w:rsidRDefault="00803F4E">
    <w:pPr>
      <w:pStyle w:val="Header"/>
      <w:tabs>
        <w:tab w:val="left" w:pos="567"/>
      </w:tabs>
      <w:rPr>
        <w:b/>
        <w:sz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First Parliamentary Counsel’s Review</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1—Overview of OPC</w:t>
    </w:r>
    <w:r>
      <w:rPr>
        <w:sz w:val="22"/>
      </w:rPr>
      <w:fldChar w:fldCharType="end"/>
    </w:r>
  </w:p>
  <w:p w:rsidR="00803F4E" w:rsidRDefault="00803F4E">
    <w:pPr>
      <w:pStyle w:val="Header"/>
      <w:pBdr>
        <w:bottom w:val="single" w:sz="4" w:space="1" w:color="0000FF"/>
      </w:pBdr>
      <w:tabs>
        <w:tab w:val="left" w:pos="567"/>
      </w:tabs>
      <w:rPr>
        <w:sz w:val="22"/>
      </w:rPr>
    </w:pPr>
  </w:p>
  <w:p w:rsidR="00803F4E" w:rsidRDefault="00803F4E">
    <w:pPr>
      <w:pStyle w:val="Header"/>
      <w:tabs>
        <w:tab w:val="left" w:pos="567"/>
      </w:tabs>
      <w:rPr>
        <w:b/>
        <w:sz w:val="2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1—Overview of OPC</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1—Overview of OPC</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A6158F">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rsidP="006A72B6">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A6158F">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556" w:rsidRDefault="00B2655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A6158F">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A6158F">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A6158F">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556" w:rsidRDefault="00B2655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3—Management and accountability</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2—Annual Performance Statement</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3—Management and accountability</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3—Management and accountability</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3—Management and accountability</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3—Management and accountability</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4—Management of human resources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3—Management and accountability</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A6158F">
      <w:rPr>
        <w:noProof/>
        <w:sz w:val="22"/>
      </w:rPr>
      <w:t>Chapter 4—Management of human resources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A6158F">
      <w:rPr>
        <w:noProof/>
        <w:sz w:val="22"/>
      </w:rPr>
      <w:t>Chapter 4—Management of human resources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4—Management of human resources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4—Management of human resources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5—Purchasing and consultants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4—Management of human resources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5—Purchasing and consultants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5—Purchasing and consultants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8475CC">
      <w:rPr>
        <w:noProof/>
        <w:sz w:val="22"/>
      </w:rPr>
      <w:t>Chapter 6—Miscellaneous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5—Purchasing and consultants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67044F">
      <w:rPr>
        <w:noProof/>
        <w:sz w:val="22"/>
      </w:rPr>
      <w:t>Chapter 5—Purchasing and consultants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A6158F">
      <w:rPr>
        <w:noProof/>
        <w:sz w:val="22"/>
      </w:rPr>
      <w:t>Appendix A—Entity resource statement and Expenses by outcome</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A6158F">
      <w:rPr>
        <w:noProof/>
        <w:sz w:val="22"/>
      </w:rPr>
      <w:t>Appendix A—Entity resource statement and Expenses by outcome</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A6158F">
      <w:rPr>
        <w:noProof/>
        <w:sz w:val="22"/>
      </w:rPr>
      <w:t>Appendix B—Staffing statistics and salary ranges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A6158F">
      <w:rPr>
        <w:noProof/>
        <w:sz w:val="22"/>
      </w:rPr>
      <w:t>Appendix B—Staffing statistics and salary ranges</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A6158F">
      <w:rPr>
        <w:noProof/>
        <w:sz w:val="22"/>
      </w:rPr>
      <w:t>Appendix D—Financial Statements 2016-2017</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A6158F">
      <w:rPr>
        <w:noProof/>
        <w:sz w:val="22"/>
      </w:rPr>
      <w:t>Appendix C—Reporting required by section 516A of the Environment Protection and Biodiversity Conservation Act 1999</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rsidP="001A63DB">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A6158F">
      <w:rPr>
        <w:noProof/>
        <w:sz w:val="22"/>
      </w:rPr>
      <w:t>Appendix D—Financial Statements 2016-2017</w:t>
    </w:r>
    <w:r>
      <w:rPr>
        <w:sz w:val="22"/>
      </w:rPr>
      <w:fldChar w:fldCharType="end"/>
    </w:r>
  </w:p>
  <w:p w:rsidR="00803F4E" w:rsidRDefault="00803F4E" w:rsidP="001A63DB">
    <w:pPr>
      <w:pStyle w:val="Header"/>
      <w:pBdr>
        <w:bottom w:val="single" w:sz="4" w:space="1" w:color="0000FF"/>
      </w:pBdr>
      <w:tabs>
        <w:tab w:val="left" w:pos="567"/>
      </w:tabs>
      <w:jc w:val="right"/>
      <w:rPr>
        <w:sz w:val="22"/>
      </w:rPr>
    </w:pPr>
  </w:p>
  <w:p w:rsidR="00803F4E" w:rsidRDefault="00803F4E" w:rsidP="00E42F6F">
    <w:pPr>
      <w:pStyle w:val="Header"/>
    </w:pPr>
  </w:p>
  <w:tbl>
    <w:tblPr>
      <w:tblW w:w="7110" w:type="dxa"/>
      <w:tblLayout w:type="fixed"/>
      <w:tblCellMar>
        <w:left w:w="30" w:type="dxa"/>
        <w:right w:w="30" w:type="dxa"/>
      </w:tblCellMar>
      <w:tblLook w:val="0000" w:firstRow="0" w:lastRow="0" w:firstColumn="0" w:lastColumn="0" w:noHBand="0" w:noVBand="0"/>
    </w:tblPr>
    <w:tblGrid>
      <w:gridCol w:w="7110"/>
    </w:tblGrid>
    <w:tr w:rsidR="00803F4E" w:rsidTr="00E42F6F">
      <w:trPr>
        <w:trHeight w:hRule="exact" w:val="198"/>
      </w:trPr>
      <w:tc>
        <w:tcPr>
          <w:tcW w:w="7110" w:type="dxa"/>
          <w:tcBorders>
            <w:top w:val="nil"/>
            <w:left w:val="nil"/>
            <w:bottom w:val="nil"/>
            <w:right w:val="nil"/>
          </w:tcBorders>
        </w:tcPr>
        <w:p w:rsidR="00803F4E" w:rsidRDefault="00803F4E" w:rsidP="00E42F6F">
          <w:pPr>
            <w:autoSpaceDE w:val="0"/>
            <w:autoSpaceDN w:val="0"/>
            <w:adjustRightInd w:val="0"/>
            <w:rPr>
              <w:rFonts w:ascii="Arial" w:hAnsi="Arial"/>
              <w:b/>
              <w:color w:val="000000"/>
              <w:sz w:val="16"/>
              <w:lang w:val="en-US"/>
            </w:rPr>
          </w:pPr>
          <w:r>
            <w:rPr>
              <w:rFonts w:ascii="Arial" w:hAnsi="Arial"/>
              <w:b/>
              <w:color w:val="000000"/>
              <w:sz w:val="16"/>
              <w:lang w:val="en-US"/>
            </w:rPr>
            <w:t>OFFICE OF PARLIAMENTARY COUNSEL</w:t>
          </w:r>
        </w:p>
      </w:tc>
    </w:tr>
    <w:tr w:rsidR="00803F4E" w:rsidTr="00E42F6F">
      <w:trPr>
        <w:trHeight w:hRule="exact" w:val="198"/>
      </w:trPr>
      <w:tc>
        <w:tcPr>
          <w:tcW w:w="7110" w:type="dxa"/>
          <w:tcBorders>
            <w:top w:val="nil"/>
            <w:left w:val="nil"/>
            <w:bottom w:val="nil"/>
            <w:right w:val="nil"/>
          </w:tcBorders>
        </w:tcPr>
        <w:p w:rsidR="00803F4E" w:rsidRDefault="00803F4E" w:rsidP="00E42F6F">
          <w:pPr>
            <w:autoSpaceDE w:val="0"/>
            <w:autoSpaceDN w:val="0"/>
            <w:adjustRightInd w:val="0"/>
            <w:rPr>
              <w:rFonts w:ascii="Arial" w:hAnsi="Arial"/>
              <w:b/>
              <w:color w:val="000000"/>
              <w:sz w:val="16"/>
              <w:lang w:val="en-US"/>
            </w:rPr>
          </w:pPr>
          <w:r>
            <w:rPr>
              <w:rFonts w:ascii="Arial" w:hAnsi="Arial"/>
              <w:b/>
              <w:color w:val="000000"/>
              <w:sz w:val="16"/>
              <w:lang w:val="en-US"/>
            </w:rPr>
            <w:t xml:space="preserve">NOTES TO AND FORMING PART OF THE FINANCIAL STATEMENTS </w:t>
          </w:r>
        </w:p>
      </w:tc>
    </w:tr>
    <w:tr w:rsidR="00803F4E" w:rsidTr="00E42F6F">
      <w:trPr>
        <w:trHeight w:hRule="exact" w:val="198"/>
      </w:trPr>
      <w:tc>
        <w:tcPr>
          <w:tcW w:w="7110" w:type="dxa"/>
          <w:tcBorders>
            <w:top w:val="nil"/>
            <w:left w:val="nil"/>
            <w:bottom w:val="nil"/>
            <w:right w:val="nil"/>
          </w:tcBorders>
        </w:tcPr>
        <w:p w:rsidR="00803F4E" w:rsidRDefault="00803F4E" w:rsidP="00E42F6F">
          <w:pPr>
            <w:autoSpaceDE w:val="0"/>
            <w:autoSpaceDN w:val="0"/>
            <w:adjustRightInd w:val="0"/>
            <w:rPr>
              <w:rFonts w:ascii="Arial" w:hAnsi="Arial"/>
              <w:b/>
              <w:color w:val="000000"/>
              <w:sz w:val="16"/>
              <w:lang w:val="en-US"/>
            </w:rPr>
          </w:pPr>
          <w:r>
            <w:rPr>
              <w:rFonts w:ascii="Arial" w:hAnsi="Arial"/>
              <w:b/>
              <w:color w:val="000000"/>
              <w:sz w:val="16"/>
              <w:lang w:val="en-US"/>
            </w:rPr>
            <w:t>for the year ended 30 June 2017</w:t>
          </w:r>
        </w:p>
      </w:tc>
    </w:tr>
  </w:tbl>
  <w:p w:rsidR="00803F4E" w:rsidRDefault="00803F4E" w:rsidP="00E42F6F">
    <w:pPr>
      <w:pStyle w:val="Header"/>
      <w:rPr>
        <w:sz w:val="12"/>
        <w:szCs w:val="1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rsidP="001A63DB">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A6158F">
      <w:rPr>
        <w:noProof/>
        <w:sz w:val="22"/>
      </w:rPr>
      <w:t>Appendix D—Financial Statements 2016-2017</w:t>
    </w:r>
    <w:r>
      <w:rPr>
        <w:sz w:val="22"/>
      </w:rPr>
      <w:fldChar w:fldCharType="end"/>
    </w:r>
  </w:p>
  <w:p w:rsidR="00803F4E" w:rsidRDefault="00803F4E" w:rsidP="001A63DB">
    <w:pPr>
      <w:pStyle w:val="Header"/>
      <w:pBdr>
        <w:bottom w:val="single" w:sz="4" w:space="1" w:color="0000FF"/>
      </w:pBdr>
      <w:tabs>
        <w:tab w:val="left" w:pos="567"/>
      </w:tabs>
      <w:jc w:val="right"/>
      <w:rPr>
        <w:sz w:val="22"/>
      </w:rPr>
    </w:pPr>
  </w:p>
  <w:p w:rsidR="00803F4E" w:rsidRDefault="00803F4E" w:rsidP="006A72B6">
    <w:pPr>
      <w:pStyle w:val="Header"/>
    </w:pPr>
  </w:p>
  <w:tbl>
    <w:tblPr>
      <w:tblW w:w="7110" w:type="dxa"/>
      <w:tblLayout w:type="fixed"/>
      <w:tblCellMar>
        <w:left w:w="30" w:type="dxa"/>
        <w:right w:w="30" w:type="dxa"/>
      </w:tblCellMar>
      <w:tblLook w:val="0000" w:firstRow="0" w:lastRow="0" w:firstColumn="0" w:lastColumn="0" w:noHBand="0" w:noVBand="0"/>
    </w:tblPr>
    <w:tblGrid>
      <w:gridCol w:w="7110"/>
    </w:tblGrid>
    <w:tr w:rsidR="00803F4E" w:rsidTr="0048242C">
      <w:trPr>
        <w:trHeight w:hRule="exact" w:val="198"/>
      </w:trPr>
      <w:tc>
        <w:tcPr>
          <w:tcW w:w="7110" w:type="dxa"/>
          <w:tcBorders>
            <w:top w:val="nil"/>
            <w:left w:val="nil"/>
            <w:bottom w:val="nil"/>
            <w:right w:val="nil"/>
          </w:tcBorders>
        </w:tcPr>
        <w:p w:rsidR="00803F4E" w:rsidRDefault="00803F4E" w:rsidP="0048242C">
          <w:pPr>
            <w:autoSpaceDE w:val="0"/>
            <w:autoSpaceDN w:val="0"/>
            <w:adjustRightInd w:val="0"/>
            <w:rPr>
              <w:rFonts w:ascii="Arial" w:hAnsi="Arial"/>
              <w:b/>
              <w:color w:val="000000"/>
              <w:sz w:val="16"/>
              <w:lang w:val="en-US"/>
            </w:rPr>
          </w:pPr>
          <w:r>
            <w:rPr>
              <w:rFonts w:ascii="Arial" w:hAnsi="Arial"/>
              <w:b/>
              <w:color w:val="000000"/>
              <w:sz w:val="16"/>
              <w:lang w:val="en-US"/>
            </w:rPr>
            <w:t>OFFICE OF PARLIAMENTARY COUNSEL</w:t>
          </w:r>
        </w:p>
      </w:tc>
    </w:tr>
    <w:tr w:rsidR="00803F4E" w:rsidTr="0048242C">
      <w:trPr>
        <w:trHeight w:hRule="exact" w:val="198"/>
      </w:trPr>
      <w:tc>
        <w:tcPr>
          <w:tcW w:w="7110" w:type="dxa"/>
          <w:tcBorders>
            <w:top w:val="nil"/>
            <w:left w:val="nil"/>
            <w:bottom w:val="nil"/>
            <w:right w:val="nil"/>
          </w:tcBorders>
        </w:tcPr>
        <w:p w:rsidR="00803F4E" w:rsidRDefault="00803F4E" w:rsidP="0048242C">
          <w:pPr>
            <w:autoSpaceDE w:val="0"/>
            <w:autoSpaceDN w:val="0"/>
            <w:adjustRightInd w:val="0"/>
            <w:rPr>
              <w:rFonts w:ascii="Arial" w:hAnsi="Arial"/>
              <w:b/>
              <w:color w:val="000000"/>
              <w:sz w:val="16"/>
              <w:lang w:val="en-US"/>
            </w:rPr>
          </w:pPr>
          <w:r>
            <w:rPr>
              <w:rFonts w:ascii="Arial" w:hAnsi="Arial"/>
              <w:b/>
              <w:color w:val="000000"/>
              <w:sz w:val="16"/>
              <w:lang w:val="en-US"/>
            </w:rPr>
            <w:t xml:space="preserve">NOTES TO AND FORMING PART OF THE FINANCIAL STATEMENTS </w:t>
          </w:r>
        </w:p>
      </w:tc>
    </w:tr>
    <w:tr w:rsidR="00803F4E" w:rsidTr="0048242C">
      <w:trPr>
        <w:trHeight w:hRule="exact" w:val="198"/>
      </w:trPr>
      <w:tc>
        <w:tcPr>
          <w:tcW w:w="7110" w:type="dxa"/>
          <w:tcBorders>
            <w:top w:val="nil"/>
            <w:left w:val="nil"/>
            <w:bottom w:val="nil"/>
            <w:right w:val="nil"/>
          </w:tcBorders>
        </w:tcPr>
        <w:p w:rsidR="00803F4E" w:rsidRDefault="00803F4E" w:rsidP="008946ED">
          <w:pPr>
            <w:autoSpaceDE w:val="0"/>
            <w:autoSpaceDN w:val="0"/>
            <w:adjustRightInd w:val="0"/>
            <w:rPr>
              <w:rFonts w:ascii="Arial" w:hAnsi="Arial"/>
              <w:b/>
              <w:color w:val="000000"/>
              <w:sz w:val="16"/>
              <w:lang w:val="en-US"/>
            </w:rPr>
          </w:pPr>
          <w:r>
            <w:rPr>
              <w:rFonts w:ascii="Arial" w:hAnsi="Arial"/>
              <w:b/>
              <w:color w:val="000000"/>
              <w:sz w:val="16"/>
              <w:lang w:val="en-US"/>
            </w:rPr>
            <w:t>for the year ended 30 June 2017</w:t>
          </w:r>
        </w:p>
      </w:tc>
    </w:tr>
  </w:tbl>
  <w:p w:rsidR="00803F4E" w:rsidRDefault="00803F4E" w:rsidP="00E42F6F">
    <w:pPr>
      <w:pStyle w:val="Header"/>
      <w:rPr>
        <w:sz w:val="12"/>
        <w:szCs w:val="1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Pr="00DC7B00" w:rsidRDefault="00803F4E" w:rsidP="00E61F4C">
    <w:pPr>
      <w:pStyle w:val="Header"/>
      <w:tabs>
        <w:tab w:val="left" w:pos="567"/>
      </w:tabs>
      <w:rPr>
        <w:sz w:val="22"/>
      </w:rPr>
    </w:pPr>
    <w:r w:rsidRPr="00DC7B00">
      <w:rPr>
        <w:sz w:val="22"/>
      </w:rPr>
      <w:fldChar w:fldCharType="begin"/>
    </w:r>
    <w:r w:rsidRPr="00DC7B00">
      <w:rPr>
        <w:sz w:val="22"/>
      </w:rPr>
      <w:instrText xml:space="preserve"> STYLEREF "Head 2" </w:instrText>
    </w:r>
    <w:r w:rsidRPr="00DC7B00">
      <w:rPr>
        <w:sz w:val="22"/>
      </w:rPr>
      <w:fldChar w:fldCharType="separate"/>
    </w:r>
    <w:r w:rsidR="00A6158F">
      <w:rPr>
        <w:noProof/>
        <w:sz w:val="22"/>
      </w:rPr>
      <w:t>Appendix D—Financial Statements 2016-2017</w:t>
    </w:r>
    <w:r w:rsidRPr="00DC7B00">
      <w:rPr>
        <w:sz w:val="22"/>
      </w:rPr>
      <w:fldChar w:fldCharType="end"/>
    </w:r>
  </w:p>
  <w:p w:rsidR="00803F4E" w:rsidRDefault="00803F4E" w:rsidP="00007805">
    <w:pPr>
      <w:pStyle w:val="Header"/>
      <w:pBdr>
        <w:bottom w:val="single" w:sz="4" w:space="0" w:color="0000FF"/>
      </w:pBdr>
      <w:tabs>
        <w:tab w:val="left" w:pos="567"/>
      </w:tabs>
      <w:jc w:val="right"/>
      <w:rPr>
        <w:sz w:val="22"/>
      </w:rPr>
    </w:pPr>
  </w:p>
  <w:p w:rsidR="00803F4E" w:rsidRDefault="00803F4E" w:rsidP="00E61F4C">
    <w:pPr>
      <w:pStyle w:val="Header"/>
    </w:pPr>
  </w:p>
  <w:tbl>
    <w:tblPr>
      <w:tblW w:w="7110" w:type="dxa"/>
      <w:tblLayout w:type="fixed"/>
      <w:tblCellMar>
        <w:left w:w="30" w:type="dxa"/>
        <w:right w:w="30" w:type="dxa"/>
      </w:tblCellMar>
      <w:tblLook w:val="0000" w:firstRow="0" w:lastRow="0" w:firstColumn="0" w:lastColumn="0" w:noHBand="0" w:noVBand="0"/>
    </w:tblPr>
    <w:tblGrid>
      <w:gridCol w:w="7110"/>
    </w:tblGrid>
    <w:tr w:rsidR="00803F4E" w:rsidTr="008F4DD7">
      <w:trPr>
        <w:trHeight w:hRule="exact" w:val="198"/>
      </w:trPr>
      <w:tc>
        <w:tcPr>
          <w:tcW w:w="7110" w:type="dxa"/>
          <w:tcBorders>
            <w:top w:val="nil"/>
            <w:left w:val="nil"/>
            <w:bottom w:val="nil"/>
            <w:right w:val="nil"/>
          </w:tcBorders>
        </w:tcPr>
        <w:p w:rsidR="00803F4E" w:rsidRDefault="00803F4E" w:rsidP="008F4DD7">
          <w:pPr>
            <w:autoSpaceDE w:val="0"/>
            <w:autoSpaceDN w:val="0"/>
            <w:adjustRightInd w:val="0"/>
            <w:rPr>
              <w:rFonts w:ascii="Arial" w:hAnsi="Arial"/>
              <w:b/>
              <w:color w:val="000000"/>
              <w:sz w:val="16"/>
              <w:lang w:val="en-US"/>
            </w:rPr>
          </w:pPr>
          <w:r>
            <w:rPr>
              <w:rFonts w:ascii="Arial" w:hAnsi="Arial"/>
              <w:b/>
              <w:color w:val="000000"/>
              <w:sz w:val="16"/>
              <w:lang w:val="en-US"/>
            </w:rPr>
            <w:t>OFFICE OF PARLIAMENTARY COUNSEL</w:t>
          </w:r>
        </w:p>
      </w:tc>
    </w:tr>
    <w:tr w:rsidR="00803F4E" w:rsidTr="008F4DD7">
      <w:trPr>
        <w:trHeight w:hRule="exact" w:val="198"/>
      </w:trPr>
      <w:tc>
        <w:tcPr>
          <w:tcW w:w="7110" w:type="dxa"/>
          <w:tcBorders>
            <w:top w:val="nil"/>
            <w:left w:val="nil"/>
            <w:bottom w:val="nil"/>
            <w:right w:val="nil"/>
          </w:tcBorders>
        </w:tcPr>
        <w:p w:rsidR="00803F4E" w:rsidRDefault="00803F4E" w:rsidP="008F4DD7">
          <w:pPr>
            <w:autoSpaceDE w:val="0"/>
            <w:autoSpaceDN w:val="0"/>
            <w:adjustRightInd w:val="0"/>
            <w:rPr>
              <w:rFonts w:ascii="Arial" w:hAnsi="Arial"/>
              <w:b/>
              <w:color w:val="000000"/>
              <w:sz w:val="16"/>
              <w:lang w:val="en-US"/>
            </w:rPr>
          </w:pPr>
          <w:r>
            <w:rPr>
              <w:rFonts w:ascii="Arial" w:hAnsi="Arial"/>
              <w:b/>
              <w:color w:val="000000"/>
              <w:sz w:val="16"/>
              <w:lang w:val="en-US"/>
            </w:rPr>
            <w:t xml:space="preserve">NOTES TO AND FORMING PART OF THE FINANCIAL STATEMENTS </w:t>
          </w:r>
        </w:p>
      </w:tc>
    </w:tr>
    <w:tr w:rsidR="00803F4E" w:rsidTr="008F4DD7">
      <w:trPr>
        <w:trHeight w:hRule="exact" w:val="198"/>
      </w:trPr>
      <w:tc>
        <w:tcPr>
          <w:tcW w:w="7110" w:type="dxa"/>
          <w:tcBorders>
            <w:top w:val="nil"/>
            <w:left w:val="nil"/>
            <w:bottom w:val="nil"/>
            <w:right w:val="nil"/>
          </w:tcBorders>
        </w:tcPr>
        <w:p w:rsidR="00803F4E" w:rsidRDefault="00803F4E" w:rsidP="008F4DD7">
          <w:pPr>
            <w:autoSpaceDE w:val="0"/>
            <w:autoSpaceDN w:val="0"/>
            <w:adjustRightInd w:val="0"/>
            <w:rPr>
              <w:rFonts w:ascii="Arial" w:hAnsi="Arial"/>
              <w:b/>
              <w:color w:val="000000"/>
              <w:sz w:val="16"/>
              <w:lang w:val="en-US"/>
            </w:rPr>
          </w:pPr>
          <w:r>
            <w:rPr>
              <w:rFonts w:ascii="Arial" w:hAnsi="Arial"/>
              <w:b/>
              <w:color w:val="000000"/>
              <w:sz w:val="16"/>
              <w:lang w:val="en-US"/>
            </w:rPr>
            <w:t>for the year ended 30 June 2017</w:t>
          </w:r>
        </w:p>
      </w:tc>
    </w:tr>
  </w:tbl>
  <w:p w:rsidR="00803F4E" w:rsidRPr="00622094" w:rsidRDefault="00803F4E" w:rsidP="00E61F4C">
    <w:pPr>
      <w:pStyle w:val="Header"/>
      <w:rPr>
        <w:sz w:val="12"/>
        <w:szCs w:val="1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Pr="00DC7B00" w:rsidRDefault="00803F4E" w:rsidP="00E61F4C">
    <w:pPr>
      <w:pStyle w:val="Header"/>
      <w:tabs>
        <w:tab w:val="left" w:pos="567"/>
      </w:tabs>
      <w:rPr>
        <w:sz w:val="22"/>
      </w:rPr>
    </w:pPr>
    <w:r w:rsidRPr="00DC7B00">
      <w:rPr>
        <w:sz w:val="22"/>
      </w:rPr>
      <w:fldChar w:fldCharType="begin"/>
    </w:r>
    <w:r w:rsidRPr="00DC7B00">
      <w:rPr>
        <w:sz w:val="22"/>
      </w:rPr>
      <w:instrText xml:space="preserve"> STYLEREF "Head 2" </w:instrText>
    </w:r>
    <w:r w:rsidRPr="00DC7B00">
      <w:rPr>
        <w:sz w:val="22"/>
      </w:rPr>
      <w:fldChar w:fldCharType="separate"/>
    </w:r>
    <w:r w:rsidR="00A6158F">
      <w:rPr>
        <w:noProof/>
        <w:sz w:val="22"/>
      </w:rPr>
      <w:t>Appendix E—List of requirements</w:t>
    </w:r>
    <w:r w:rsidRPr="00DC7B00">
      <w:rPr>
        <w:sz w:val="22"/>
      </w:rPr>
      <w:fldChar w:fldCharType="end"/>
    </w:r>
  </w:p>
  <w:p w:rsidR="00803F4E" w:rsidRDefault="00803F4E" w:rsidP="00007805">
    <w:pPr>
      <w:pStyle w:val="Header"/>
      <w:pBdr>
        <w:bottom w:val="single" w:sz="4" w:space="0" w:color="0000FF"/>
      </w:pBdr>
      <w:tabs>
        <w:tab w:val="left" w:pos="567"/>
      </w:tabs>
      <w:jc w:val="right"/>
      <w:rPr>
        <w:sz w:val="22"/>
      </w:rPr>
    </w:pPr>
  </w:p>
  <w:p w:rsidR="00803F4E" w:rsidRPr="00622094" w:rsidRDefault="00803F4E" w:rsidP="00E61F4C">
    <w:pPr>
      <w:pStyle w:val="Header"/>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t>Contents</w:t>
    </w:r>
  </w:p>
  <w:p w:rsidR="00803F4E" w:rsidRDefault="00803F4E">
    <w:pPr>
      <w:pStyle w:val="Header"/>
      <w:pBdr>
        <w:bottom w:val="single" w:sz="4" w:space="1" w:color="0000FF"/>
      </w:pBdr>
      <w:tabs>
        <w:tab w:val="left" w:pos="567"/>
      </w:tabs>
      <w:rPr>
        <w:sz w:val="22"/>
      </w:rPr>
    </w:pPr>
  </w:p>
  <w:p w:rsidR="00803F4E" w:rsidRDefault="00803F4E">
    <w:pPr>
      <w:pStyle w:val="Header"/>
      <w:tabs>
        <w:tab w:val="left" w:pos="567"/>
      </w:tabs>
      <w:rPr>
        <w:b/>
        <w:sz w:val="2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rsidP="001A63DB">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A6158F">
      <w:rPr>
        <w:noProof/>
        <w:sz w:val="22"/>
      </w:rPr>
      <w:t>Appendix E—List of requirements</w:t>
    </w:r>
    <w:r>
      <w:rPr>
        <w:sz w:val="22"/>
      </w:rPr>
      <w:fldChar w:fldCharType="end"/>
    </w:r>
  </w:p>
  <w:p w:rsidR="00803F4E" w:rsidRDefault="00803F4E" w:rsidP="001A63DB">
    <w:pPr>
      <w:pStyle w:val="Header"/>
      <w:pBdr>
        <w:bottom w:val="single" w:sz="4" w:space="1" w:color="0000FF"/>
      </w:pBdr>
      <w:tabs>
        <w:tab w:val="left" w:pos="567"/>
      </w:tabs>
      <w:jc w:val="right"/>
      <w:rPr>
        <w:sz w:val="22"/>
      </w:rPr>
    </w:pPr>
  </w:p>
  <w:p w:rsidR="00803F4E" w:rsidRDefault="00803F4E" w:rsidP="006A72B6">
    <w:pPr>
      <w:pStyle w:val="Header"/>
    </w:pPr>
  </w:p>
  <w:p w:rsidR="00803F4E" w:rsidRDefault="00803F4E" w:rsidP="00E42F6F">
    <w:pPr>
      <w:pStyle w:val="Header"/>
      <w:rPr>
        <w:sz w:val="12"/>
        <w:szCs w:val="1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Pr="00DC7B00" w:rsidRDefault="00803F4E" w:rsidP="00280743">
    <w:pPr>
      <w:pStyle w:val="Header"/>
      <w:widowControl w:val="0"/>
      <w:tabs>
        <w:tab w:val="clear" w:pos="4153"/>
        <w:tab w:val="clear" w:pos="4320"/>
        <w:tab w:val="clear" w:pos="8306"/>
        <w:tab w:val="clear" w:pos="8640"/>
      </w:tabs>
      <w:rPr>
        <w:sz w:val="22"/>
      </w:rPr>
    </w:pPr>
    <w:r w:rsidRPr="00DC7B00">
      <w:rPr>
        <w:sz w:val="22"/>
      </w:rPr>
      <w:fldChar w:fldCharType="begin"/>
    </w:r>
    <w:r w:rsidRPr="00DC7B00">
      <w:rPr>
        <w:sz w:val="22"/>
      </w:rPr>
      <w:instrText xml:space="preserve"> STYLEREF "Head </w:instrText>
    </w:r>
    <w:r>
      <w:rPr>
        <w:sz w:val="22"/>
      </w:rPr>
      <w:instrText>2</w:instrText>
    </w:r>
    <w:r w:rsidRPr="00DC7B00">
      <w:rPr>
        <w:sz w:val="22"/>
      </w:rPr>
      <w:instrText xml:space="preserve">" </w:instrText>
    </w:r>
    <w:r w:rsidRPr="00DC7B00">
      <w:rPr>
        <w:sz w:val="22"/>
      </w:rPr>
      <w:fldChar w:fldCharType="separate"/>
    </w:r>
    <w:r w:rsidR="00A6158F">
      <w:rPr>
        <w:noProof/>
        <w:sz w:val="22"/>
      </w:rPr>
      <w:t>Index</w:t>
    </w:r>
    <w:r w:rsidRPr="00DC7B00">
      <w:rPr>
        <w:sz w:val="22"/>
      </w:rPr>
      <w:fldChar w:fldCharType="end"/>
    </w:r>
  </w:p>
  <w:p w:rsidR="00803F4E" w:rsidRDefault="00803F4E" w:rsidP="00007805">
    <w:pPr>
      <w:pStyle w:val="Header"/>
      <w:pBdr>
        <w:bottom w:val="single" w:sz="4" w:space="0" w:color="0000FF"/>
      </w:pBdr>
      <w:tabs>
        <w:tab w:val="left" w:pos="567"/>
      </w:tabs>
      <w:jc w:val="right"/>
      <w:rPr>
        <w:sz w:val="22"/>
      </w:rPr>
    </w:pPr>
  </w:p>
  <w:p w:rsidR="00803F4E" w:rsidRDefault="00803F4E" w:rsidP="00E61F4C">
    <w:pPr>
      <w:pStyle w:val="Header"/>
    </w:pPr>
  </w:p>
  <w:p w:rsidR="00803F4E" w:rsidRDefault="00803F4E" w:rsidP="00E61F4C">
    <w:pPr>
      <w:pStyle w:val="Header"/>
      <w:rPr>
        <w:sz w:val="12"/>
        <w:szCs w:val="1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Pr="00DC7B00" w:rsidRDefault="00803F4E" w:rsidP="00280743">
    <w:pPr>
      <w:pStyle w:val="Header"/>
      <w:tabs>
        <w:tab w:val="clear" w:pos="8306"/>
        <w:tab w:val="clear" w:pos="8640"/>
        <w:tab w:val="left" w:pos="567"/>
      </w:tabs>
      <w:jc w:val="right"/>
      <w:rPr>
        <w:sz w:val="22"/>
      </w:rPr>
    </w:pPr>
    <w:r w:rsidRPr="00DC7B00">
      <w:rPr>
        <w:sz w:val="22"/>
      </w:rPr>
      <w:fldChar w:fldCharType="begin"/>
    </w:r>
    <w:r w:rsidRPr="00DC7B00">
      <w:rPr>
        <w:sz w:val="22"/>
      </w:rPr>
      <w:instrText xml:space="preserve"> STYLEREF "Head </w:instrText>
    </w:r>
    <w:r>
      <w:rPr>
        <w:sz w:val="22"/>
      </w:rPr>
      <w:instrText>2</w:instrText>
    </w:r>
    <w:r w:rsidRPr="00DC7B00">
      <w:rPr>
        <w:sz w:val="22"/>
      </w:rPr>
      <w:instrText xml:space="preserve">" </w:instrText>
    </w:r>
    <w:r w:rsidRPr="00DC7B00">
      <w:rPr>
        <w:sz w:val="22"/>
      </w:rPr>
      <w:fldChar w:fldCharType="separate"/>
    </w:r>
    <w:r w:rsidR="00A6158F">
      <w:rPr>
        <w:noProof/>
        <w:sz w:val="22"/>
      </w:rPr>
      <w:t>Index</w:t>
    </w:r>
    <w:r w:rsidRPr="00DC7B00">
      <w:rPr>
        <w:sz w:val="22"/>
      </w:rPr>
      <w:fldChar w:fldCharType="end"/>
    </w:r>
  </w:p>
  <w:p w:rsidR="00803F4E" w:rsidRDefault="00803F4E" w:rsidP="00007805">
    <w:pPr>
      <w:pStyle w:val="Header"/>
      <w:pBdr>
        <w:bottom w:val="single" w:sz="4" w:space="0" w:color="0000FF"/>
      </w:pBdr>
      <w:tabs>
        <w:tab w:val="left" w:pos="567"/>
      </w:tabs>
      <w:jc w:val="right"/>
      <w:rPr>
        <w:sz w:val="22"/>
      </w:rPr>
    </w:pPr>
  </w:p>
  <w:p w:rsidR="00803F4E" w:rsidRDefault="00803F4E" w:rsidP="00E61F4C">
    <w:pPr>
      <w:pStyle w:val="Header"/>
    </w:pPr>
  </w:p>
  <w:p w:rsidR="00803F4E" w:rsidRDefault="00803F4E" w:rsidP="00E61F4C">
    <w:pPr>
      <w:pStyle w:val="Header"/>
      <w:rPr>
        <w:sz w:val="12"/>
        <w:szCs w:val="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t>Contents</w:t>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rPr>
        <w:b/>
        <w:sz w:val="22"/>
      </w:rPr>
    </w:pPr>
    <w:r>
      <w:rPr>
        <w:sz w:val="22"/>
      </w:rPr>
      <w:fldChar w:fldCharType="begin"/>
    </w:r>
    <w:r>
      <w:rPr>
        <w:sz w:val="22"/>
      </w:rPr>
      <w:instrText xml:space="preserve"> STYLEREF "Head 2" </w:instrText>
    </w:r>
    <w:r>
      <w:rPr>
        <w:sz w:val="22"/>
      </w:rPr>
      <w:fldChar w:fldCharType="separate"/>
    </w:r>
    <w:r w:rsidR="0067044F">
      <w:rPr>
        <w:noProof/>
        <w:sz w:val="22"/>
      </w:rPr>
      <w:t>First Parliamentary Counsel’s Review</w:t>
    </w:r>
    <w:r>
      <w:rPr>
        <w:sz w:val="22"/>
      </w:rPr>
      <w:fldChar w:fldCharType="end"/>
    </w:r>
  </w:p>
  <w:p w:rsidR="00803F4E" w:rsidRDefault="00803F4E">
    <w:pPr>
      <w:pStyle w:val="Header"/>
      <w:pBdr>
        <w:bottom w:val="single" w:sz="4" w:space="1" w:color="0000FF"/>
      </w:pBdr>
      <w:tabs>
        <w:tab w:val="left" w:pos="567"/>
      </w:tabs>
      <w:rPr>
        <w:sz w:val="22"/>
      </w:rPr>
    </w:pPr>
  </w:p>
  <w:p w:rsidR="00803F4E" w:rsidRDefault="00803F4E">
    <w:pPr>
      <w:pStyle w:val="Header"/>
      <w:tabs>
        <w:tab w:val="left" w:pos="567"/>
      </w:tabs>
      <w:rPr>
        <w:b/>
        <w:sz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F4E" w:rsidRDefault="00803F4E">
    <w:pPr>
      <w:pStyle w:val="Header"/>
      <w:tabs>
        <w:tab w:val="left" w:pos="567"/>
      </w:tabs>
      <w:jc w:val="right"/>
      <w:rPr>
        <w:b/>
        <w:sz w:val="22"/>
      </w:rPr>
    </w:pPr>
    <w:r>
      <w:rPr>
        <w:sz w:val="22"/>
      </w:rPr>
      <w:fldChar w:fldCharType="begin"/>
    </w:r>
    <w:r>
      <w:rPr>
        <w:sz w:val="22"/>
      </w:rPr>
      <w:instrText xml:space="preserve"> STYLEREF "Head 2" </w:instrText>
    </w:r>
    <w:r>
      <w:rPr>
        <w:sz w:val="22"/>
      </w:rPr>
      <w:fldChar w:fldCharType="separate"/>
    </w:r>
    <w:r w:rsidR="008475CC">
      <w:rPr>
        <w:noProof/>
        <w:sz w:val="22"/>
      </w:rPr>
      <w:t>First Parliamentary Counsel’s Review</w:t>
    </w:r>
    <w:r>
      <w:rPr>
        <w:sz w:val="22"/>
      </w:rPr>
      <w:fldChar w:fldCharType="end"/>
    </w:r>
  </w:p>
  <w:p w:rsidR="00803F4E" w:rsidRDefault="00803F4E">
    <w:pPr>
      <w:pStyle w:val="Header"/>
      <w:pBdr>
        <w:bottom w:val="single" w:sz="4" w:space="1" w:color="0000FF"/>
      </w:pBdr>
      <w:tabs>
        <w:tab w:val="left" w:pos="567"/>
      </w:tabs>
      <w:jc w:val="right"/>
      <w:rPr>
        <w:sz w:val="22"/>
      </w:rPr>
    </w:pPr>
  </w:p>
  <w:p w:rsidR="00803F4E" w:rsidRDefault="00803F4E">
    <w:pPr>
      <w:pStyle w:val="Header"/>
      <w:tabs>
        <w:tab w:val="left" w:pos="567"/>
      </w:tabs>
      <w:jc w:val="right"/>
      <w:rPr>
        <w:b/>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A44985E"/>
    <w:lvl w:ilvl="0">
      <w:start w:val="1"/>
      <w:numFmt w:val="decimal"/>
      <w:lvlText w:val="%1."/>
      <w:lvlJc w:val="left"/>
      <w:pPr>
        <w:tabs>
          <w:tab w:val="num" w:pos="1492"/>
        </w:tabs>
        <w:ind w:left="1492" w:hanging="360"/>
      </w:pPr>
    </w:lvl>
  </w:abstractNum>
  <w:abstractNum w:abstractNumId="1">
    <w:nsid w:val="FFFFFF7D"/>
    <w:multiLevelType w:val="singleLevel"/>
    <w:tmpl w:val="720A46CC"/>
    <w:lvl w:ilvl="0">
      <w:start w:val="1"/>
      <w:numFmt w:val="decimal"/>
      <w:lvlText w:val="%1."/>
      <w:lvlJc w:val="left"/>
      <w:pPr>
        <w:tabs>
          <w:tab w:val="num" w:pos="1209"/>
        </w:tabs>
        <w:ind w:left="1209" w:hanging="360"/>
      </w:pPr>
    </w:lvl>
  </w:abstractNum>
  <w:abstractNum w:abstractNumId="2">
    <w:nsid w:val="FFFFFF7E"/>
    <w:multiLevelType w:val="singleLevel"/>
    <w:tmpl w:val="467EAD36"/>
    <w:lvl w:ilvl="0">
      <w:start w:val="1"/>
      <w:numFmt w:val="decimal"/>
      <w:lvlText w:val="%1."/>
      <w:lvlJc w:val="left"/>
      <w:pPr>
        <w:tabs>
          <w:tab w:val="num" w:pos="926"/>
        </w:tabs>
        <w:ind w:left="926" w:hanging="360"/>
      </w:pPr>
    </w:lvl>
  </w:abstractNum>
  <w:abstractNum w:abstractNumId="3">
    <w:nsid w:val="FFFFFF7F"/>
    <w:multiLevelType w:val="singleLevel"/>
    <w:tmpl w:val="0F28D962"/>
    <w:lvl w:ilvl="0">
      <w:start w:val="1"/>
      <w:numFmt w:val="decimal"/>
      <w:lvlText w:val="%1."/>
      <w:lvlJc w:val="left"/>
      <w:pPr>
        <w:tabs>
          <w:tab w:val="num" w:pos="643"/>
        </w:tabs>
        <w:ind w:left="643" w:hanging="360"/>
      </w:pPr>
    </w:lvl>
  </w:abstractNum>
  <w:abstractNum w:abstractNumId="4">
    <w:nsid w:val="FFFFFF80"/>
    <w:multiLevelType w:val="singleLevel"/>
    <w:tmpl w:val="BC3E4A2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2436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66B1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6847F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1E09250"/>
    <w:lvl w:ilvl="0">
      <w:start w:val="1"/>
      <w:numFmt w:val="decimal"/>
      <w:lvlText w:val="%1."/>
      <w:lvlJc w:val="left"/>
      <w:pPr>
        <w:tabs>
          <w:tab w:val="num" w:pos="360"/>
        </w:tabs>
        <w:ind w:left="360" w:hanging="360"/>
      </w:pPr>
    </w:lvl>
  </w:abstractNum>
  <w:abstractNum w:abstractNumId="9">
    <w:nsid w:val="FFFFFF89"/>
    <w:multiLevelType w:val="singleLevel"/>
    <w:tmpl w:val="24927AC0"/>
    <w:lvl w:ilvl="0">
      <w:start w:val="1"/>
      <w:numFmt w:val="bullet"/>
      <w:lvlText w:val=""/>
      <w:lvlJc w:val="left"/>
      <w:pPr>
        <w:tabs>
          <w:tab w:val="num" w:pos="360"/>
        </w:tabs>
        <w:ind w:left="360" w:hanging="360"/>
      </w:pPr>
      <w:rPr>
        <w:rFonts w:ascii="Symbol" w:hAnsi="Symbol" w:hint="default"/>
      </w:rPr>
    </w:lvl>
  </w:abstractNum>
  <w:abstractNum w:abstractNumId="10">
    <w:nsid w:val="02C90771"/>
    <w:multiLevelType w:val="hybridMultilevel"/>
    <w:tmpl w:val="B46E6FBA"/>
    <w:lvl w:ilvl="0" w:tplc="C1D46D30">
      <w:start w:val="1"/>
      <w:numFmt w:val="bullet"/>
      <w:lvlText w:val=""/>
      <w:lvlJc w:val="left"/>
      <w:pPr>
        <w:tabs>
          <w:tab w:val="num" w:pos="828"/>
        </w:tabs>
        <w:ind w:left="828"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87057E3"/>
    <w:multiLevelType w:val="hybridMultilevel"/>
    <w:tmpl w:val="E9E0EA3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2">
    <w:nsid w:val="0A2E45EF"/>
    <w:multiLevelType w:val="hybridMultilevel"/>
    <w:tmpl w:val="2E828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B601342"/>
    <w:multiLevelType w:val="multilevel"/>
    <w:tmpl w:val="99AA788A"/>
    <w:name w:val="OPC2"/>
    <w:lvl w:ilvl="0">
      <w:start w:val="1"/>
      <w:numFmt w:val="decimal"/>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bullet"/>
      <w:lvlText w:val=""/>
      <w:lvlJc w:val="left"/>
      <w:pPr>
        <w:tabs>
          <w:tab w:val="num" w:pos="1440"/>
        </w:tabs>
        <w:ind w:left="1440" w:hanging="720"/>
      </w:pPr>
      <w:rPr>
        <w:rFonts w:ascii="Symbol" w:hAnsi="Symbo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1B02DA6"/>
    <w:multiLevelType w:val="hybridMultilevel"/>
    <w:tmpl w:val="646600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7">
    <w:nsid w:val="21BD064C"/>
    <w:multiLevelType w:val="singleLevel"/>
    <w:tmpl w:val="0C090001"/>
    <w:name w:val="OPC33222"/>
    <w:lvl w:ilvl="0">
      <w:start w:val="1"/>
      <w:numFmt w:val="bullet"/>
      <w:lvlText w:val=""/>
      <w:lvlJc w:val="left"/>
      <w:pPr>
        <w:tabs>
          <w:tab w:val="num" w:pos="360"/>
        </w:tabs>
        <w:ind w:left="360" w:hanging="360"/>
      </w:pPr>
      <w:rPr>
        <w:rFonts w:ascii="Symbol" w:hAnsi="Symbol" w:hint="default"/>
      </w:rPr>
    </w:lvl>
  </w:abstractNum>
  <w:abstractNum w:abstractNumId="18">
    <w:nsid w:val="2BC97F51"/>
    <w:multiLevelType w:val="hybridMultilevel"/>
    <w:tmpl w:val="39D06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33E1FAE"/>
    <w:multiLevelType w:val="multilevel"/>
    <w:tmpl w:val="2F66AA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52D2CE7"/>
    <w:multiLevelType w:val="hybridMultilevel"/>
    <w:tmpl w:val="253EFF20"/>
    <w:lvl w:ilvl="0" w:tplc="757445B0">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672437E"/>
    <w:multiLevelType w:val="hybridMultilevel"/>
    <w:tmpl w:val="FB6635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D6C6164"/>
    <w:multiLevelType w:val="singleLevel"/>
    <w:tmpl w:val="0C090001"/>
    <w:name w:val="OPC332222"/>
    <w:lvl w:ilvl="0">
      <w:start w:val="1"/>
      <w:numFmt w:val="bullet"/>
      <w:lvlText w:val=""/>
      <w:lvlJc w:val="left"/>
      <w:pPr>
        <w:tabs>
          <w:tab w:val="num" w:pos="360"/>
        </w:tabs>
        <w:ind w:left="360" w:hanging="360"/>
      </w:pPr>
      <w:rPr>
        <w:rFonts w:ascii="Symbol" w:hAnsi="Symbol" w:hint="default"/>
      </w:rPr>
    </w:lvl>
  </w:abstractNum>
  <w:abstractNum w:abstractNumId="23">
    <w:nsid w:val="6B487937"/>
    <w:multiLevelType w:val="multilevel"/>
    <w:tmpl w:val="FE582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72945623"/>
    <w:multiLevelType w:val="singleLevel"/>
    <w:tmpl w:val="0C090001"/>
    <w:name w:val="OPC3322"/>
    <w:lvl w:ilvl="0">
      <w:start w:val="1"/>
      <w:numFmt w:val="bullet"/>
      <w:lvlText w:val=""/>
      <w:lvlJc w:val="left"/>
      <w:pPr>
        <w:tabs>
          <w:tab w:val="num" w:pos="360"/>
        </w:tabs>
        <w:ind w:left="360" w:hanging="360"/>
      </w:pPr>
      <w:rPr>
        <w:rFonts w:ascii="Symbol" w:hAnsi="Symbol" w:hint="default"/>
      </w:rPr>
    </w:lvl>
  </w:abstractNum>
  <w:abstractNum w:abstractNumId="25">
    <w:nsid w:val="7F460351"/>
    <w:multiLevelType w:val="multilevel"/>
    <w:tmpl w:val="A3AA4898"/>
    <w:lvl w:ilvl="0">
      <w:start w:val="1"/>
      <w:numFmt w:val="decimal"/>
      <w:pStyle w:val="BodyNum"/>
      <w:lvlText w:val="%1"/>
      <w:lvlJc w:val="left"/>
      <w:pPr>
        <w:tabs>
          <w:tab w:val="num" w:pos="720"/>
        </w:tabs>
        <w:ind w:left="0" w:firstLine="0"/>
      </w:pPr>
      <w:rPr>
        <w:rFonts w:hint="default"/>
        <w:i w:val="0"/>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0"/>
  </w:num>
  <w:num w:numId="4">
    <w:abstractNumId w:val="2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5"/>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5"/>
  </w:num>
  <w:num w:numId="20">
    <w:abstractNumId w:val="25"/>
  </w:num>
  <w:num w:numId="21">
    <w:abstractNumId w:val="25"/>
  </w:num>
  <w:num w:numId="22">
    <w:abstractNumId w:val="25"/>
  </w:num>
  <w:num w:numId="23">
    <w:abstractNumId w:val="11"/>
  </w:num>
  <w:num w:numId="24">
    <w:abstractNumId w:val="20"/>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5"/>
    <w:lvlOverride w:ilvl="0">
      <w:startOverride w:val="14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5"/>
  </w:num>
  <w:num w:numId="30">
    <w:abstractNumId w:val="14"/>
  </w:num>
  <w:num w:numId="31">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1"/>
  </w:num>
  <w:num w:numId="43">
    <w:abstractNumId w:val="25"/>
  </w:num>
  <w:num w:numId="44">
    <w:abstractNumId w:val="25"/>
  </w:num>
  <w:num w:numId="45">
    <w:abstractNumId w:val="23"/>
  </w:num>
  <w:num w:numId="46">
    <w:abstractNumId w:val="19"/>
  </w:num>
  <w:num w:numId="47">
    <w:abstractNumId w:val="25"/>
  </w:num>
  <w:num w:numId="4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1"/>
  <w:defaultTabStop w:val="720"/>
  <w:evenAndOddHeaders/>
  <w:drawingGridHorizontalSpacing w:val="120"/>
  <w:displayHorizontalDrawingGridEvery w:val="2"/>
  <w:noPunctuationKerning/>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B92"/>
    <w:rsid w:val="00000055"/>
    <w:rsid w:val="0000012B"/>
    <w:rsid w:val="0000229B"/>
    <w:rsid w:val="00002397"/>
    <w:rsid w:val="00004AB1"/>
    <w:rsid w:val="00004EF1"/>
    <w:rsid w:val="00006DD5"/>
    <w:rsid w:val="00007739"/>
    <w:rsid w:val="00007805"/>
    <w:rsid w:val="0001035D"/>
    <w:rsid w:val="00010396"/>
    <w:rsid w:val="000106D8"/>
    <w:rsid w:val="00011721"/>
    <w:rsid w:val="00011948"/>
    <w:rsid w:val="00011CD1"/>
    <w:rsid w:val="00012F96"/>
    <w:rsid w:val="00014B7B"/>
    <w:rsid w:val="000155D2"/>
    <w:rsid w:val="00015835"/>
    <w:rsid w:val="00015DF6"/>
    <w:rsid w:val="00015FB0"/>
    <w:rsid w:val="00016DBE"/>
    <w:rsid w:val="000171B4"/>
    <w:rsid w:val="00017656"/>
    <w:rsid w:val="0002050A"/>
    <w:rsid w:val="00021B13"/>
    <w:rsid w:val="0002249B"/>
    <w:rsid w:val="000229E4"/>
    <w:rsid w:val="00025559"/>
    <w:rsid w:val="000257CA"/>
    <w:rsid w:val="000277B4"/>
    <w:rsid w:val="00027D76"/>
    <w:rsid w:val="00030A00"/>
    <w:rsid w:val="00031644"/>
    <w:rsid w:val="00032052"/>
    <w:rsid w:val="00032C39"/>
    <w:rsid w:val="00035006"/>
    <w:rsid w:val="00035258"/>
    <w:rsid w:val="000352B8"/>
    <w:rsid w:val="00035839"/>
    <w:rsid w:val="000361A4"/>
    <w:rsid w:val="0003769C"/>
    <w:rsid w:val="000402BB"/>
    <w:rsid w:val="00040D38"/>
    <w:rsid w:val="00041D15"/>
    <w:rsid w:val="000421AF"/>
    <w:rsid w:val="000431EF"/>
    <w:rsid w:val="00043C4A"/>
    <w:rsid w:val="000444E1"/>
    <w:rsid w:val="00044EE1"/>
    <w:rsid w:val="00046404"/>
    <w:rsid w:val="0004648A"/>
    <w:rsid w:val="00047ACD"/>
    <w:rsid w:val="00047FA0"/>
    <w:rsid w:val="00050EFF"/>
    <w:rsid w:val="00051103"/>
    <w:rsid w:val="00051211"/>
    <w:rsid w:val="00051B62"/>
    <w:rsid w:val="000528F1"/>
    <w:rsid w:val="00052E2B"/>
    <w:rsid w:val="00053ABA"/>
    <w:rsid w:val="00054E30"/>
    <w:rsid w:val="00055728"/>
    <w:rsid w:val="000571B5"/>
    <w:rsid w:val="0005787A"/>
    <w:rsid w:val="00057E5A"/>
    <w:rsid w:val="000604A0"/>
    <w:rsid w:val="00061910"/>
    <w:rsid w:val="000621C7"/>
    <w:rsid w:val="000622BB"/>
    <w:rsid w:val="0006306B"/>
    <w:rsid w:val="00063F47"/>
    <w:rsid w:val="0006683E"/>
    <w:rsid w:val="00066B66"/>
    <w:rsid w:val="0007019A"/>
    <w:rsid w:val="00071BE9"/>
    <w:rsid w:val="00073028"/>
    <w:rsid w:val="0007442B"/>
    <w:rsid w:val="000749B7"/>
    <w:rsid w:val="00074C6A"/>
    <w:rsid w:val="000808D5"/>
    <w:rsid w:val="0008139E"/>
    <w:rsid w:val="00081BED"/>
    <w:rsid w:val="00081ED7"/>
    <w:rsid w:val="00082D5A"/>
    <w:rsid w:val="00082FE4"/>
    <w:rsid w:val="0008441C"/>
    <w:rsid w:val="00084574"/>
    <w:rsid w:val="000845E3"/>
    <w:rsid w:val="00084901"/>
    <w:rsid w:val="00085F91"/>
    <w:rsid w:val="000865B1"/>
    <w:rsid w:val="00086647"/>
    <w:rsid w:val="00087B90"/>
    <w:rsid w:val="00087BE0"/>
    <w:rsid w:val="00087F6B"/>
    <w:rsid w:val="000905E7"/>
    <w:rsid w:val="00090B37"/>
    <w:rsid w:val="00090C9B"/>
    <w:rsid w:val="00091EDB"/>
    <w:rsid w:val="000942E5"/>
    <w:rsid w:val="00094D49"/>
    <w:rsid w:val="00095D52"/>
    <w:rsid w:val="00096049"/>
    <w:rsid w:val="00096157"/>
    <w:rsid w:val="00096535"/>
    <w:rsid w:val="000966D5"/>
    <w:rsid w:val="00097526"/>
    <w:rsid w:val="000A03F4"/>
    <w:rsid w:val="000A2433"/>
    <w:rsid w:val="000A3390"/>
    <w:rsid w:val="000A396C"/>
    <w:rsid w:val="000A3A7F"/>
    <w:rsid w:val="000A5141"/>
    <w:rsid w:val="000A58F2"/>
    <w:rsid w:val="000A7177"/>
    <w:rsid w:val="000A778F"/>
    <w:rsid w:val="000B0045"/>
    <w:rsid w:val="000B04DE"/>
    <w:rsid w:val="000B2ED1"/>
    <w:rsid w:val="000B3B26"/>
    <w:rsid w:val="000B5385"/>
    <w:rsid w:val="000B60C4"/>
    <w:rsid w:val="000C0A3A"/>
    <w:rsid w:val="000C12E3"/>
    <w:rsid w:val="000C202B"/>
    <w:rsid w:val="000C3160"/>
    <w:rsid w:val="000C3E91"/>
    <w:rsid w:val="000C5418"/>
    <w:rsid w:val="000C5713"/>
    <w:rsid w:val="000C61BE"/>
    <w:rsid w:val="000C6E50"/>
    <w:rsid w:val="000C6FCB"/>
    <w:rsid w:val="000C77FF"/>
    <w:rsid w:val="000C7A07"/>
    <w:rsid w:val="000D06D0"/>
    <w:rsid w:val="000D0908"/>
    <w:rsid w:val="000D1223"/>
    <w:rsid w:val="000D19D6"/>
    <w:rsid w:val="000D1D6E"/>
    <w:rsid w:val="000D37E4"/>
    <w:rsid w:val="000D3951"/>
    <w:rsid w:val="000D4957"/>
    <w:rsid w:val="000D77B9"/>
    <w:rsid w:val="000E09EB"/>
    <w:rsid w:val="000E11D6"/>
    <w:rsid w:val="000E1DF9"/>
    <w:rsid w:val="000E29A8"/>
    <w:rsid w:val="000E3211"/>
    <w:rsid w:val="000E5B22"/>
    <w:rsid w:val="000E65CD"/>
    <w:rsid w:val="000E6860"/>
    <w:rsid w:val="000E6A2C"/>
    <w:rsid w:val="000E6E29"/>
    <w:rsid w:val="000F3C07"/>
    <w:rsid w:val="000F4760"/>
    <w:rsid w:val="000F5520"/>
    <w:rsid w:val="000F6462"/>
    <w:rsid w:val="000F65F5"/>
    <w:rsid w:val="000F7B31"/>
    <w:rsid w:val="0010089E"/>
    <w:rsid w:val="001024C6"/>
    <w:rsid w:val="00104921"/>
    <w:rsid w:val="00105300"/>
    <w:rsid w:val="00105644"/>
    <w:rsid w:val="00105C2A"/>
    <w:rsid w:val="00106A66"/>
    <w:rsid w:val="00107AA3"/>
    <w:rsid w:val="00107B09"/>
    <w:rsid w:val="00110778"/>
    <w:rsid w:val="00110EA7"/>
    <w:rsid w:val="00111347"/>
    <w:rsid w:val="00111AD7"/>
    <w:rsid w:val="001127A5"/>
    <w:rsid w:val="00112998"/>
    <w:rsid w:val="00113A02"/>
    <w:rsid w:val="001145AA"/>
    <w:rsid w:val="0011534B"/>
    <w:rsid w:val="00115F72"/>
    <w:rsid w:val="00116C1D"/>
    <w:rsid w:val="00117B5E"/>
    <w:rsid w:val="00121DB9"/>
    <w:rsid w:val="00122E39"/>
    <w:rsid w:val="0012505E"/>
    <w:rsid w:val="00125AF0"/>
    <w:rsid w:val="00125DB9"/>
    <w:rsid w:val="00126428"/>
    <w:rsid w:val="0013040A"/>
    <w:rsid w:val="0013041A"/>
    <w:rsid w:val="00131148"/>
    <w:rsid w:val="00131DE7"/>
    <w:rsid w:val="00132228"/>
    <w:rsid w:val="00132892"/>
    <w:rsid w:val="00133158"/>
    <w:rsid w:val="00133743"/>
    <w:rsid w:val="001347F6"/>
    <w:rsid w:val="00135249"/>
    <w:rsid w:val="00135990"/>
    <w:rsid w:val="0013601D"/>
    <w:rsid w:val="001369BD"/>
    <w:rsid w:val="001401C1"/>
    <w:rsid w:val="00141EF8"/>
    <w:rsid w:val="00142B4F"/>
    <w:rsid w:val="001451A7"/>
    <w:rsid w:val="001456A7"/>
    <w:rsid w:val="0014749D"/>
    <w:rsid w:val="0014749F"/>
    <w:rsid w:val="00147666"/>
    <w:rsid w:val="0015016C"/>
    <w:rsid w:val="00151D07"/>
    <w:rsid w:val="00151EAE"/>
    <w:rsid w:val="001545B7"/>
    <w:rsid w:val="00155A21"/>
    <w:rsid w:val="00156726"/>
    <w:rsid w:val="001643DB"/>
    <w:rsid w:val="00166A20"/>
    <w:rsid w:val="001673C9"/>
    <w:rsid w:val="00167530"/>
    <w:rsid w:val="00167D7B"/>
    <w:rsid w:val="001708ED"/>
    <w:rsid w:val="0017157F"/>
    <w:rsid w:val="00171C1B"/>
    <w:rsid w:val="00172639"/>
    <w:rsid w:val="001734CC"/>
    <w:rsid w:val="001774CC"/>
    <w:rsid w:val="00180251"/>
    <w:rsid w:val="00180929"/>
    <w:rsid w:val="00180FE1"/>
    <w:rsid w:val="00181139"/>
    <w:rsid w:val="00181801"/>
    <w:rsid w:val="00181A4D"/>
    <w:rsid w:val="00183143"/>
    <w:rsid w:val="0018435F"/>
    <w:rsid w:val="001860CC"/>
    <w:rsid w:val="00186B42"/>
    <w:rsid w:val="001907D7"/>
    <w:rsid w:val="00191B88"/>
    <w:rsid w:val="00192522"/>
    <w:rsid w:val="00193359"/>
    <w:rsid w:val="00193F64"/>
    <w:rsid w:val="00196A95"/>
    <w:rsid w:val="00196E05"/>
    <w:rsid w:val="00197736"/>
    <w:rsid w:val="001A00FF"/>
    <w:rsid w:val="001A0529"/>
    <w:rsid w:val="001A06D5"/>
    <w:rsid w:val="001A0E48"/>
    <w:rsid w:val="001A153E"/>
    <w:rsid w:val="001A1A12"/>
    <w:rsid w:val="001A3EEA"/>
    <w:rsid w:val="001A6234"/>
    <w:rsid w:val="001A63DB"/>
    <w:rsid w:val="001A6A81"/>
    <w:rsid w:val="001A6BA0"/>
    <w:rsid w:val="001A711A"/>
    <w:rsid w:val="001A75FD"/>
    <w:rsid w:val="001B00F3"/>
    <w:rsid w:val="001B0C2B"/>
    <w:rsid w:val="001B1A0A"/>
    <w:rsid w:val="001B28F6"/>
    <w:rsid w:val="001B3D54"/>
    <w:rsid w:val="001B449D"/>
    <w:rsid w:val="001B4683"/>
    <w:rsid w:val="001B48CB"/>
    <w:rsid w:val="001B5428"/>
    <w:rsid w:val="001B5B96"/>
    <w:rsid w:val="001C0556"/>
    <w:rsid w:val="001C0E41"/>
    <w:rsid w:val="001C11B9"/>
    <w:rsid w:val="001C1900"/>
    <w:rsid w:val="001C19A1"/>
    <w:rsid w:val="001C2ADB"/>
    <w:rsid w:val="001C30DC"/>
    <w:rsid w:val="001C3402"/>
    <w:rsid w:val="001C417C"/>
    <w:rsid w:val="001C4B61"/>
    <w:rsid w:val="001C5EF4"/>
    <w:rsid w:val="001C6802"/>
    <w:rsid w:val="001C69F3"/>
    <w:rsid w:val="001C6DD1"/>
    <w:rsid w:val="001C7F89"/>
    <w:rsid w:val="001D136C"/>
    <w:rsid w:val="001D14D6"/>
    <w:rsid w:val="001D21CD"/>
    <w:rsid w:val="001D2E9F"/>
    <w:rsid w:val="001D3D25"/>
    <w:rsid w:val="001D3DA1"/>
    <w:rsid w:val="001D42AE"/>
    <w:rsid w:val="001D74F3"/>
    <w:rsid w:val="001D7662"/>
    <w:rsid w:val="001D776D"/>
    <w:rsid w:val="001D78A0"/>
    <w:rsid w:val="001D7A25"/>
    <w:rsid w:val="001E17F6"/>
    <w:rsid w:val="001E19AC"/>
    <w:rsid w:val="001E2BF5"/>
    <w:rsid w:val="001E3222"/>
    <w:rsid w:val="001E3A70"/>
    <w:rsid w:val="001E4735"/>
    <w:rsid w:val="001E49C6"/>
    <w:rsid w:val="001E50FC"/>
    <w:rsid w:val="001E53D1"/>
    <w:rsid w:val="001E5F06"/>
    <w:rsid w:val="001E64E6"/>
    <w:rsid w:val="001E67F4"/>
    <w:rsid w:val="001E69BC"/>
    <w:rsid w:val="001E6CA4"/>
    <w:rsid w:val="001F048F"/>
    <w:rsid w:val="001F1AA7"/>
    <w:rsid w:val="001F4A59"/>
    <w:rsid w:val="001F4B60"/>
    <w:rsid w:val="001F543F"/>
    <w:rsid w:val="001F5E11"/>
    <w:rsid w:val="001F5EBB"/>
    <w:rsid w:val="001F7984"/>
    <w:rsid w:val="00201E1D"/>
    <w:rsid w:val="00203AD7"/>
    <w:rsid w:val="00203D8D"/>
    <w:rsid w:val="00203E14"/>
    <w:rsid w:val="00203E8F"/>
    <w:rsid w:val="002040DE"/>
    <w:rsid w:val="00205542"/>
    <w:rsid w:val="0020604E"/>
    <w:rsid w:val="00206BBD"/>
    <w:rsid w:val="002117A5"/>
    <w:rsid w:val="00211BA1"/>
    <w:rsid w:val="00213202"/>
    <w:rsid w:val="002133B3"/>
    <w:rsid w:val="00213C61"/>
    <w:rsid w:val="00214C23"/>
    <w:rsid w:val="00215B59"/>
    <w:rsid w:val="002169D2"/>
    <w:rsid w:val="00216FDA"/>
    <w:rsid w:val="00217EF1"/>
    <w:rsid w:val="00220797"/>
    <w:rsid w:val="00221F34"/>
    <w:rsid w:val="00221F63"/>
    <w:rsid w:val="002242CF"/>
    <w:rsid w:val="0022550B"/>
    <w:rsid w:val="00225737"/>
    <w:rsid w:val="00225F86"/>
    <w:rsid w:val="002261BE"/>
    <w:rsid w:val="00226656"/>
    <w:rsid w:val="002274D1"/>
    <w:rsid w:val="00231784"/>
    <w:rsid w:val="0023282C"/>
    <w:rsid w:val="00234E36"/>
    <w:rsid w:val="00234FF0"/>
    <w:rsid w:val="00236242"/>
    <w:rsid w:val="00236973"/>
    <w:rsid w:val="00237BA9"/>
    <w:rsid w:val="00237F0A"/>
    <w:rsid w:val="00240762"/>
    <w:rsid w:val="00242E71"/>
    <w:rsid w:val="00242E88"/>
    <w:rsid w:val="002434D9"/>
    <w:rsid w:val="00243B3E"/>
    <w:rsid w:val="00244DF6"/>
    <w:rsid w:val="002457A5"/>
    <w:rsid w:val="00246266"/>
    <w:rsid w:val="0024627C"/>
    <w:rsid w:val="002466B8"/>
    <w:rsid w:val="00246C20"/>
    <w:rsid w:val="00246F18"/>
    <w:rsid w:val="002470FB"/>
    <w:rsid w:val="00250B99"/>
    <w:rsid w:val="00252D0F"/>
    <w:rsid w:val="00254EE3"/>
    <w:rsid w:val="00255084"/>
    <w:rsid w:val="002554AC"/>
    <w:rsid w:val="002554B3"/>
    <w:rsid w:val="00255AC1"/>
    <w:rsid w:val="0025665C"/>
    <w:rsid w:val="00256A92"/>
    <w:rsid w:val="00256E02"/>
    <w:rsid w:val="00257CA0"/>
    <w:rsid w:val="002616AD"/>
    <w:rsid w:val="0026185D"/>
    <w:rsid w:val="00263859"/>
    <w:rsid w:val="00263FBB"/>
    <w:rsid w:val="00264C1B"/>
    <w:rsid w:val="00264C44"/>
    <w:rsid w:val="002656E0"/>
    <w:rsid w:val="00266BEB"/>
    <w:rsid w:val="00270506"/>
    <w:rsid w:val="00271104"/>
    <w:rsid w:val="002712B4"/>
    <w:rsid w:val="00272080"/>
    <w:rsid w:val="00272A6B"/>
    <w:rsid w:val="0027348B"/>
    <w:rsid w:val="00274348"/>
    <w:rsid w:val="00276F19"/>
    <w:rsid w:val="002770AD"/>
    <w:rsid w:val="00280743"/>
    <w:rsid w:val="00280F8A"/>
    <w:rsid w:val="002814B1"/>
    <w:rsid w:val="002815D1"/>
    <w:rsid w:val="0028215A"/>
    <w:rsid w:val="002858E9"/>
    <w:rsid w:val="00290F08"/>
    <w:rsid w:val="00291394"/>
    <w:rsid w:val="00291AD1"/>
    <w:rsid w:val="0029331D"/>
    <w:rsid w:val="00294E26"/>
    <w:rsid w:val="00295E16"/>
    <w:rsid w:val="002966F8"/>
    <w:rsid w:val="0029670A"/>
    <w:rsid w:val="002972A2"/>
    <w:rsid w:val="002A0B49"/>
    <w:rsid w:val="002A315C"/>
    <w:rsid w:val="002A4B77"/>
    <w:rsid w:val="002A5F8D"/>
    <w:rsid w:val="002A6931"/>
    <w:rsid w:val="002A6B53"/>
    <w:rsid w:val="002A6BC7"/>
    <w:rsid w:val="002B35B4"/>
    <w:rsid w:val="002B4F24"/>
    <w:rsid w:val="002B5622"/>
    <w:rsid w:val="002B689B"/>
    <w:rsid w:val="002B72DB"/>
    <w:rsid w:val="002C0CC9"/>
    <w:rsid w:val="002C46EE"/>
    <w:rsid w:val="002C5148"/>
    <w:rsid w:val="002C6022"/>
    <w:rsid w:val="002C7CBF"/>
    <w:rsid w:val="002D1BE0"/>
    <w:rsid w:val="002D1EF2"/>
    <w:rsid w:val="002D2BAD"/>
    <w:rsid w:val="002D3757"/>
    <w:rsid w:val="002D3AB9"/>
    <w:rsid w:val="002D3B0E"/>
    <w:rsid w:val="002D3D96"/>
    <w:rsid w:val="002D48EF"/>
    <w:rsid w:val="002D490C"/>
    <w:rsid w:val="002D5079"/>
    <w:rsid w:val="002D7998"/>
    <w:rsid w:val="002E007C"/>
    <w:rsid w:val="002E0AC6"/>
    <w:rsid w:val="002E1090"/>
    <w:rsid w:val="002E10D1"/>
    <w:rsid w:val="002E13FA"/>
    <w:rsid w:val="002E22DE"/>
    <w:rsid w:val="002E22E0"/>
    <w:rsid w:val="002E296F"/>
    <w:rsid w:val="002E3084"/>
    <w:rsid w:val="002E30EA"/>
    <w:rsid w:val="002E5A15"/>
    <w:rsid w:val="002E62E3"/>
    <w:rsid w:val="002E6446"/>
    <w:rsid w:val="002E6B27"/>
    <w:rsid w:val="002E6B66"/>
    <w:rsid w:val="002E6BC6"/>
    <w:rsid w:val="002E6CDE"/>
    <w:rsid w:val="002E7623"/>
    <w:rsid w:val="002F0009"/>
    <w:rsid w:val="002F03FF"/>
    <w:rsid w:val="002F43C6"/>
    <w:rsid w:val="002F4DFE"/>
    <w:rsid w:val="002F6CCB"/>
    <w:rsid w:val="00301173"/>
    <w:rsid w:val="00302166"/>
    <w:rsid w:val="00303703"/>
    <w:rsid w:val="00305D1C"/>
    <w:rsid w:val="00306D83"/>
    <w:rsid w:val="00306FEC"/>
    <w:rsid w:val="003103CF"/>
    <w:rsid w:val="003150BB"/>
    <w:rsid w:val="00315A1E"/>
    <w:rsid w:val="003162FA"/>
    <w:rsid w:val="003166E3"/>
    <w:rsid w:val="003207DE"/>
    <w:rsid w:val="00320AA3"/>
    <w:rsid w:val="0032113F"/>
    <w:rsid w:val="00322375"/>
    <w:rsid w:val="00322765"/>
    <w:rsid w:val="00322B90"/>
    <w:rsid w:val="00322CC3"/>
    <w:rsid w:val="00325D04"/>
    <w:rsid w:val="00326B14"/>
    <w:rsid w:val="00326C23"/>
    <w:rsid w:val="00326EEB"/>
    <w:rsid w:val="0033082F"/>
    <w:rsid w:val="00330A0B"/>
    <w:rsid w:val="00330E26"/>
    <w:rsid w:val="0033174F"/>
    <w:rsid w:val="00332D57"/>
    <w:rsid w:val="00333584"/>
    <w:rsid w:val="00335154"/>
    <w:rsid w:val="0033706C"/>
    <w:rsid w:val="0034379D"/>
    <w:rsid w:val="00343CBF"/>
    <w:rsid w:val="00343E0C"/>
    <w:rsid w:val="0034582F"/>
    <w:rsid w:val="0034646F"/>
    <w:rsid w:val="00350DA3"/>
    <w:rsid w:val="003515F7"/>
    <w:rsid w:val="00351C2E"/>
    <w:rsid w:val="00351CBC"/>
    <w:rsid w:val="00352888"/>
    <w:rsid w:val="003528CE"/>
    <w:rsid w:val="003534D7"/>
    <w:rsid w:val="003544A9"/>
    <w:rsid w:val="00354D14"/>
    <w:rsid w:val="00356BEB"/>
    <w:rsid w:val="003577D1"/>
    <w:rsid w:val="00360086"/>
    <w:rsid w:val="0036202E"/>
    <w:rsid w:val="00363D7F"/>
    <w:rsid w:val="003644D0"/>
    <w:rsid w:val="0036457C"/>
    <w:rsid w:val="00364A43"/>
    <w:rsid w:val="003660FD"/>
    <w:rsid w:val="003661AE"/>
    <w:rsid w:val="0036627C"/>
    <w:rsid w:val="0037168D"/>
    <w:rsid w:val="003738D9"/>
    <w:rsid w:val="003756FC"/>
    <w:rsid w:val="00375BE7"/>
    <w:rsid w:val="00375CC2"/>
    <w:rsid w:val="00375F3E"/>
    <w:rsid w:val="003768F9"/>
    <w:rsid w:val="003769B8"/>
    <w:rsid w:val="00376F85"/>
    <w:rsid w:val="00377259"/>
    <w:rsid w:val="00377785"/>
    <w:rsid w:val="00381D24"/>
    <w:rsid w:val="00382705"/>
    <w:rsid w:val="00383B8C"/>
    <w:rsid w:val="00384943"/>
    <w:rsid w:val="0038537B"/>
    <w:rsid w:val="003856B0"/>
    <w:rsid w:val="00385BE6"/>
    <w:rsid w:val="00386DCC"/>
    <w:rsid w:val="0038796F"/>
    <w:rsid w:val="00387C01"/>
    <w:rsid w:val="00390DF1"/>
    <w:rsid w:val="00391033"/>
    <w:rsid w:val="00391F07"/>
    <w:rsid w:val="00391FD5"/>
    <w:rsid w:val="003937B5"/>
    <w:rsid w:val="0039443A"/>
    <w:rsid w:val="00396D84"/>
    <w:rsid w:val="00397115"/>
    <w:rsid w:val="00397392"/>
    <w:rsid w:val="003A1B7C"/>
    <w:rsid w:val="003A5458"/>
    <w:rsid w:val="003A7B2C"/>
    <w:rsid w:val="003B0CF6"/>
    <w:rsid w:val="003B1A26"/>
    <w:rsid w:val="003B22F3"/>
    <w:rsid w:val="003B4E0E"/>
    <w:rsid w:val="003B50D0"/>
    <w:rsid w:val="003B532D"/>
    <w:rsid w:val="003B561A"/>
    <w:rsid w:val="003B5CB1"/>
    <w:rsid w:val="003B5D37"/>
    <w:rsid w:val="003B6BC0"/>
    <w:rsid w:val="003B75E9"/>
    <w:rsid w:val="003B7C12"/>
    <w:rsid w:val="003B7E2D"/>
    <w:rsid w:val="003C2EB0"/>
    <w:rsid w:val="003C39D9"/>
    <w:rsid w:val="003C661D"/>
    <w:rsid w:val="003C6CE5"/>
    <w:rsid w:val="003C6E71"/>
    <w:rsid w:val="003D018E"/>
    <w:rsid w:val="003D0C17"/>
    <w:rsid w:val="003D0C7D"/>
    <w:rsid w:val="003D1548"/>
    <w:rsid w:val="003D2CB1"/>
    <w:rsid w:val="003D3EB6"/>
    <w:rsid w:val="003D424D"/>
    <w:rsid w:val="003D4793"/>
    <w:rsid w:val="003D57FF"/>
    <w:rsid w:val="003D5FCA"/>
    <w:rsid w:val="003D5FF4"/>
    <w:rsid w:val="003D7658"/>
    <w:rsid w:val="003E05B2"/>
    <w:rsid w:val="003E12A7"/>
    <w:rsid w:val="003E150D"/>
    <w:rsid w:val="003E2529"/>
    <w:rsid w:val="003E284D"/>
    <w:rsid w:val="003E2FF0"/>
    <w:rsid w:val="003E47C1"/>
    <w:rsid w:val="003E47DB"/>
    <w:rsid w:val="003E53AB"/>
    <w:rsid w:val="003E580F"/>
    <w:rsid w:val="003F0368"/>
    <w:rsid w:val="003F1079"/>
    <w:rsid w:val="003F1198"/>
    <w:rsid w:val="003F12EF"/>
    <w:rsid w:val="003F207B"/>
    <w:rsid w:val="003F24BF"/>
    <w:rsid w:val="003F29E0"/>
    <w:rsid w:val="003F34A4"/>
    <w:rsid w:val="003F4320"/>
    <w:rsid w:val="003F4F0C"/>
    <w:rsid w:val="003F5441"/>
    <w:rsid w:val="003F5A76"/>
    <w:rsid w:val="003F5A92"/>
    <w:rsid w:val="003F6FC0"/>
    <w:rsid w:val="003F7379"/>
    <w:rsid w:val="003F74D1"/>
    <w:rsid w:val="003F7A9D"/>
    <w:rsid w:val="003F7CDE"/>
    <w:rsid w:val="004003FE"/>
    <w:rsid w:val="004007F5"/>
    <w:rsid w:val="004009B3"/>
    <w:rsid w:val="004014BE"/>
    <w:rsid w:val="0040499F"/>
    <w:rsid w:val="00404A0C"/>
    <w:rsid w:val="0040583F"/>
    <w:rsid w:val="00407F9A"/>
    <w:rsid w:val="00410362"/>
    <w:rsid w:val="0041070F"/>
    <w:rsid w:val="004122CF"/>
    <w:rsid w:val="004137E1"/>
    <w:rsid w:val="00413CE0"/>
    <w:rsid w:val="0041424C"/>
    <w:rsid w:val="0041482C"/>
    <w:rsid w:val="00415A4C"/>
    <w:rsid w:val="0041733C"/>
    <w:rsid w:val="0042038D"/>
    <w:rsid w:val="00420FC4"/>
    <w:rsid w:val="00422E9B"/>
    <w:rsid w:val="00425369"/>
    <w:rsid w:val="004256D5"/>
    <w:rsid w:val="00425E3B"/>
    <w:rsid w:val="0042653C"/>
    <w:rsid w:val="00426AA8"/>
    <w:rsid w:val="0042777C"/>
    <w:rsid w:val="00431103"/>
    <w:rsid w:val="00432334"/>
    <w:rsid w:val="004326BE"/>
    <w:rsid w:val="00432CD6"/>
    <w:rsid w:val="00433AE5"/>
    <w:rsid w:val="00434DB9"/>
    <w:rsid w:val="00436141"/>
    <w:rsid w:val="004368BC"/>
    <w:rsid w:val="004373A8"/>
    <w:rsid w:val="0044008C"/>
    <w:rsid w:val="00440108"/>
    <w:rsid w:val="00440515"/>
    <w:rsid w:val="004415EB"/>
    <w:rsid w:val="00441C41"/>
    <w:rsid w:val="00441F3F"/>
    <w:rsid w:val="004420CB"/>
    <w:rsid w:val="0044239B"/>
    <w:rsid w:val="004429A5"/>
    <w:rsid w:val="00443546"/>
    <w:rsid w:val="00443B83"/>
    <w:rsid w:val="00444403"/>
    <w:rsid w:val="00444B88"/>
    <w:rsid w:val="0044516B"/>
    <w:rsid w:val="004458FC"/>
    <w:rsid w:val="004462E1"/>
    <w:rsid w:val="004475F5"/>
    <w:rsid w:val="004532A4"/>
    <w:rsid w:val="00453AF7"/>
    <w:rsid w:val="00457167"/>
    <w:rsid w:val="004574CA"/>
    <w:rsid w:val="00457530"/>
    <w:rsid w:val="00460BEA"/>
    <w:rsid w:val="0046106D"/>
    <w:rsid w:val="00461E6D"/>
    <w:rsid w:val="0046330E"/>
    <w:rsid w:val="00463958"/>
    <w:rsid w:val="00465B1B"/>
    <w:rsid w:val="00465ECA"/>
    <w:rsid w:val="0046662C"/>
    <w:rsid w:val="004667A8"/>
    <w:rsid w:val="00471088"/>
    <w:rsid w:val="0047298C"/>
    <w:rsid w:val="00473679"/>
    <w:rsid w:val="00474426"/>
    <w:rsid w:val="00474FE3"/>
    <w:rsid w:val="004751FF"/>
    <w:rsid w:val="00475240"/>
    <w:rsid w:val="00475AB2"/>
    <w:rsid w:val="00476B5C"/>
    <w:rsid w:val="00480A24"/>
    <w:rsid w:val="00481188"/>
    <w:rsid w:val="0048242C"/>
    <w:rsid w:val="0048355F"/>
    <w:rsid w:val="0048521F"/>
    <w:rsid w:val="0048685C"/>
    <w:rsid w:val="00487095"/>
    <w:rsid w:val="00487265"/>
    <w:rsid w:val="00487870"/>
    <w:rsid w:val="00487949"/>
    <w:rsid w:val="0049040E"/>
    <w:rsid w:val="00490C51"/>
    <w:rsid w:val="00493147"/>
    <w:rsid w:val="004947D6"/>
    <w:rsid w:val="00494D3A"/>
    <w:rsid w:val="00495C3E"/>
    <w:rsid w:val="00496328"/>
    <w:rsid w:val="0049781E"/>
    <w:rsid w:val="00497975"/>
    <w:rsid w:val="00497EAA"/>
    <w:rsid w:val="004A098F"/>
    <w:rsid w:val="004A0FDE"/>
    <w:rsid w:val="004A10D1"/>
    <w:rsid w:val="004A1D44"/>
    <w:rsid w:val="004A2843"/>
    <w:rsid w:val="004A2AF3"/>
    <w:rsid w:val="004A2CF1"/>
    <w:rsid w:val="004A3388"/>
    <w:rsid w:val="004A372D"/>
    <w:rsid w:val="004A43A7"/>
    <w:rsid w:val="004A5E4B"/>
    <w:rsid w:val="004A65FF"/>
    <w:rsid w:val="004A6790"/>
    <w:rsid w:val="004A68DE"/>
    <w:rsid w:val="004B0B96"/>
    <w:rsid w:val="004B2C06"/>
    <w:rsid w:val="004B4A2C"/>
    <w:rsid w:val="004B4BBC"/>
    <w:rsid w:val="004B604F"/>
    <w:rsid w:val="004B64AF"/>
    <w:rsid w:val="004B68F5"/>
    <w:rsid w:val="004B7D60"/>
    <w:rsid w:val="004C0F06"/>
    <w:rsid w:val="004C12DC"/>
    <w:rsid w:val="004C182F"/>
    <w:rsid w:val="004C2CB1"/>
    <w:rsid w:val="004C3699"/>
    <w:rsid w:val="004C447E"/>
    <w:rsid w:val="004C5051"/>
    <w:rsid w:val="004C6012"/>
    <w:rsid w:val="004C63AA"/>
    <w:rsid w:val="004C6854"/>
    <w:rsid w:val="004C7025"/>
    <w:rsid w:val="004C7C80"/>
    <w:rsid w:val="004C7FC2"/>
    <w:rsid w:val="004D0515"/>
    <w:rsid w:val="004D1329"/>
    <w:rsid w:val="004D225C"/>
    <w:rsid w:val="004D3239"/>
    <w:rsid w:val="004D45C0"/>
    <w:rsid w:val="004D466B"/>
    <w:rsid w:val="004D54F7"/>
    <w:rsid w:val="004D5F0F"/>
    <w:rsid w:val="004D6079"/>
    <w:rsid w:val="004D6D73"/>
    <w:rsid w:val="004D755D"/>
    <w:rsid w:val="004D76D4"/>
    <w:rsid w:val="004D7A61"/>
    <w:rsid w:val="004D7BCC"/>
    <w:rsid w:val="004E0436"/>
    <w:rsid w:val="004E0666"/>
    <w:rsid w:val="004E0CBC"/>
    <w:rsid w:val="004E2734"/>
    <w:rsid w:val="004E33A4"/>
    <w:rsid w:val="004E3E71"/>
    <w:rsid w:val="004E4DA7"/>
    <w:rsid w:val="004E564E"/>
    <w:rsid w:val="004E5F1E"/>
    <w:rsid w:val="004E62E3"/>
    <w:rsid w:val="004E6604"/>
    <w:rsid w:val="004E68DA"/>
    <w:rsid w:val="004E6E29"/>
    <w:rsid w:val="004E6FFB"/>
    <w:rsid w:val="004E721B"/>
    <w:rsid w:val="004E7E95"/>
    <w:rsid w:val="004F0018"/>
    <w:rsid w:val="004F0DFC"/>
    <w:rsid w:val="004F16F7"/>
    <w:rsid w:val="004F1EAF"/>
    <w:rsid w:val="004F3FC5"/>
    <w:rsid w:val="004F424D"/>
    <w:rsid w:val="004F680E"/>
    <w:rsid w:val="004F69FC"/>
    <w:rsid w:val="0050228A"/>
    <w:rsid w:val="00503299"/>
    <w:rsid w:val="00505A63"/>
    <w:rsid w:val="005065DC"/>
    <w:rsid w:val="00506F90"/>
    <w:rsid w:val="0050705A"/>
    <w:rsid w:val="00507EF1"/>
    <w:rsid w:val="00514271"/>
    <w:rsid w:val="00514877"/>
    <w:rsid w:val="0051579A"/>
    <w:rsid w:val="00515CEF"/>
    <w:rsid w:val="005167ED"/>
    <w:rsid w:val="0051723C"/>
    <w:rsid w:val="005173E6"/>
    <w:rsid w:val="00517A0C"/>
    <w:rsid w:val="00517EFE"/>
    <w:rsid w:val="00520707"/>
    <w:rsid w:val="00521820"/>
    <w:rsid w:val="00522B4F"/>
    <w:rsid w:val="00522E12"/>
    <w:rsid w:val="00523437"/>
    <w:rsid w:val="00524A6F"/>
    <w:rsid w:val="0052505C"/>
    <w:rsid w:val="00530096"/>
    <w:rsid w:val="005303FE"/>
    <w:rsid w:val="0053042D"/>
    <w:rsid w:val="00530708"/>
    <w:rsid w:val="00531DE8"/>
    <w:rsid w:val="00532494"/>
    <w:rsid w:val="00533491"/>
    <w:rsid w:val="0053422E"/>
    <w:rsid w:val="00540B24"/>
    <w:rsid w:val="005466B3"/>
    <w:rsid w:val="0055132B"/>
    <w:rsid w:val="0055279D"/>
    <w:rsid w:val="00552AE2"/>
    <w:rsid w:val="00554D86"/>
    <w:rsid w:val="00555666"/>
    <w:rsid w:val="005563BB"/>
    <w:rsid w:val="00557DF0"/>
    <w:rsid w:val="00560D48"/>
    <w:rsid w:val="00560FB9"/>
    <w:rsid w:val="005622A4"/>
    <w:rsid w:val="005624EA"/>
    <w:rsid w:val="00562B60"/>
    <w:rsid w:val="005637CF"/>
    <w:rsid w:val="0056433C"/>
    <w:rsid w:val="005645B7"/>
    <w:rsid w:val="00564638"/>
    <w:rsid w:val="00567454"/>
    <w:rsid w:val="0057050A"/>
    <w:rsid w:val="00570A9D"/>
    <w:rsid w:val="005710B8"/>
    <w:rsid w:val="005721C6"/>
    <w:rsid w:val="00573CF6"/>
    <w:rsid w:val="00573D75"/>
    <w:rsid w:val="005743A1"/>
    <w:rsid w:val="005745C2"/>
    <w:rsid w:val="005755FB"/>
    <w:rsid w:val="00577CA9"/>
    <w:rsid w:val="00580C08"/>
    <w:rsid w:val="0058103F"/>
    <w:rsid w:val="00581CCE"/>
    <w:rsid w:val="00581DB5"/>
    <w:rsid w:val="00582377"/>
    <w:rsid w:val="00582617"/>
    <w:rsid w:val="00582C08"/>
    <w:rsid w:val="00583E51"/>
    <w:rsid w:val="005842FD"/>
    <w:rsid w:val="00584502"/>
    <w:rsid w:val="005873B7"/>
    <w:rsid w:val="00591D8E"/>
    <w:rsid w:val="00591DCE"/>
    <w:rsid w:val="00592670"/>
    <w:rsid w:val="005945D8"/>
    <w:rsid w:val="00594BD9"/>
    <w:rsid w:val="00595462"/>
    <w:rsid w:val="005961C1"/>
    <w:rsid w:val="005977C7"/>
    <w:rsid w:val="005A04AB"/>
    <w:rsid w:val="005A073F"/>
    <w:rsid w:val="005A1218"/>
    <w:rsid w:val="005A176C"/>
    <w:rsid w:val="005A196A"/>
    <w:rsid w:val="005A2A58"/>
    <w:rsid w:val="005A2D00"/>
    <w:rsid w:val="005A31AD"/>
    <w:rsid w:val="005A4470"/>
    <w:rsid w:val="005A453F"/>
    <w:rsid w:val="005A63E1"/>
    <w:rsid w:val="005A6CBF"/>
    <w:rsid w:val="005A6F10"/>
    <w:rsid w:val="005A700F"/>
    <w:rsid w:val="005A7848"/>
    <w:rsid w:val="005A7860"/>
    <w:rsid w:val="005B0624"/>
    <w:rsid w:val="005B081F"/>
    <w:rsid w:val="005B0CF0"/>
    <w:rsid w:val="005B1C0F"/>
    <w:rsid w:val="005B3C9D"/>
    <w:rsid w:val="005B4D31"/>
    <w:rsid w:val="005B58C1"/>
    <w:rsid w:val="005B5A17"/>
    <w:rsid w:val="005B608B"/>
    <w:rsid w:val="005B75AB"/>
    <w:rsid w:val="005C06B5"/>
    <w:rsid w:val="005C0762"/>
    <w:rsid w:val="005C07D4"/>
    <w:rsid w:val="005C0B84"/>
    <w:rsid w:val="005C28BD"/>
    <w:rsid w:val="005C6858"/>
    <w:rsid w:val="005C72AD"/>
    <w:rsid w:val="005C7ADA"/>
    <w:rsid w:val="005D00DC"/>
    <w:rsid w:val="005D3518"/>
    <w:rsid w:val="005D4827"/>
    <w:rsid w:val="005D5BFD"/>
    <w:rsid w:val="005D5D36"/>
    <w:rsid w:val="005D66CE"/>
    <w:rsid w:val="005D6BE0"/>
    <w:rsid w:val="005D6C61"/>
    <w:rsid w:val="005D723E"/>
    <w:rsid w:val="005D793D"/>
    <w:rsid w:val="005E0D92"/>
    <w:rsid w:val="005E1843"/>
    <w:rsid w:val="005E1CCA"/>
    <w:rsid w:val="005E2ABF"/>
    <w:rsid w:val="005E364B"/>
    <w:rsid w:val="005E54C1"/>
    <w:rsid w:val="005E5AC6"/>
    <w:rsid w:val="005E5E79"/>
    <w:rsid w:val="005E7C24"/>
    <w:rsid w:val="005E7C9A"/>
    <w:rsid w:val="005F0731"/>
    <w:rsid w:val="005F569C"/>
    <w:rsid w:val="005F6FD9"/>
    <w:rsid w:val="005F740D"/>
    <w:rsid w:val="00600EB7"/>
    <w:rsid w:val="0060102F"/>
    <w:rsid w:val="00601564"/>
    <w:rsid w:val="006033A0"/>
    <w:rsid w:val="006033EA"/>
    <w:rsid w:val="0060573F"/>
    <w:rsid w:val="00606253"/>
    <w:rsid w:val="00607221"/>
    <w:rsid w:val="00607A8E"/>
    <w:rsid w:val="0061091B"/>
    <w:rsid w:val="006115CB"/>
    <w:rsid w:val="006119EA"/>
    <w:rsid w:val="00612D6E"/>
    <w:rsid w:val="00613DC1"/>
    <w:rsid w:val="006141AE"/>
    <w:rsid w:val="006145E3"/>
    <w:rsid w:val="00614CF3"/>
    <w:rsid w:val="00615AEA"/>
    <w:rsid w:val="00615DB7"/>
    <w:rsid w:val="00616FC7"/>
    <w:rsid w:val="006175AF"/>
    <w:rsid w:val="0062060E"/>
    <w:rsid w:val="00621531"/>
    <w:rsid w:val="00621DAB"/>
    <w:rsid w:val="00622022"/>
    <w:rsid w:val="00622094"/>
    <w:rsid w:val="0062250B"/>
    <w:rsid w:val="006242B0"/>
    <w:rsid w:val="00624931"/>
    <w:rsid w:val="0062546F"/>
    <w:rsid w:val="00626638"/>
    <w:rsid w:val="0063001B"/>
    <w:rsid w:val="00631984"/>
    <w:rsid w:val="00631C36"/>
    <w:rsid w:val="006321B0"/>
    <w:rsid w:val="00634A36"/>
    <w:rsid w:val="006350E8"/>
    <w:rsid w:val="0063518D"/>
    <w:rsid w:val="0063584E"/>
    <w:rsid w:val="00635D15"/>
    <w:rsid w:val="00636383"/>
    <w:rsid w:val="0063696F"/>
    <w:rsid w:val="00636CE1"/>
    <w:rsid w:val="006378C6"/>
    <w:rsid w:val="00640C09"/>
    <w:rsid w:val="00641B45"/>
    <w:rsid w:val="00642158"/>
    <w:rsid w:val="00642A28"/>
    <w:rsid w:val="00645FBB"/>
    <w:rsid w:val="00646243"/>
    <w:rsid w:val="006465BB"/>
    <w:rsid w:val="006465DF"/>
    <w:rsid w:val="00650CAD"/>
    <w:rsid w:val="0065268D"/>
    <w:rsid w:val="006526F2"/>
    <w:rsid w:val="0065385A"/>
    <w:rsid w:val="00654A5A"/>
    <w:rsid w:val="006551C7"/>
    <w:rsid w:val="00656C0D"/>
    <w:rsid w:val="00656F33"/>
    <w:rsid w:val="006571A6"/>
    <w:rsid w:val="006576F4"/>
    <w:rsid w:val="00662267"/>
    <w:rsid w:val="006638E2"/>
    <w:rsid w:val="006648BC"/>
    <w:rsid w:val="00664905"/>
    <w:rsid w:val="00664ADE"/>
    <w:rsid w:val="00664B84"/>
    <w:rsid w:val="00665499"/>
    <w:rsid w:val="0066572D"/>
    <w:rsid w:val="00665AFC"/>
    <w:rsid w:val="006675E2"/>
    <w:rsid w:val="00667DFF"/>
    <w:rsid w:val="0067044F"/>
    <w:rsid w:val="00672940"/>
    <w:rsid w:val="00672EA9"/>
    <w:rsid w:val="00672F1B"/>
    <w:rsid w:val="00675543"/>
    <w:rsid w:val="00675BC6"/>
    <w:rsid w:val="00676A53"/>
    <w:rsid w:val="00676D17"/>
    <w:rsid w:val="00677335"/>
    <w:rsid w:val="00677744"/>
    <w:rsid w:val="00680638"/>
    <w:rsid w:val="006806C2"/>
    <w:rsid w:val="00680FB5"/>
    <w:rsid w:val="00682286"/>
    <w:rsid w:val="006830CB"/>
    <w:rsid w:val="00683B9D"/>
    <w:rsid w:val="006846A3"/>
    <w:rsid w:val="006848C2"/>
    <w:rsid w:val="00685443"/>
    <w:rsid w:val="006863FB"/>
    <w:rsid w:val="00687358"/>
    <w:rsid w:val="0069002A"/>
    <w:rsid w:val="0069015A"/>
    <w:rsid w:val="00690B5C"/>
    <w:rsid w:val="00690EC9"/>
    <w:rsid w:val="006930E1"/>
    <w:rsid w:val="00694223"/>
    <w:rsid w:val="00694281"/>
    <w:rsid w:val="00694EFF"/>
    <w:rsid w:val="00695A73"/>
    <w:rsid w:val="006963BB"/>
    <w:rsid w:val="006967E8"/>
    <w:rsid w:val="00696BFB"/>
    <w:rsid w:val="00697078"/>
    <w:rsid w:val="00697CAA"/>
    <w:rsid w:val="006A126B"/>
    <w:rsid w:val="006A2CFD"/>
    <w:rsid w:val="006A2FD4"/>
    <w:rsid w:val="006A3CB4"/>
    <w:rsid w:val="006A44B1"/>
    <w:rsid w:val="006A4A14"/>
    <w:rsid w:val="006A4EAA"/>
    <w:rsid w:val="006A5D96"/>
    <w:rsid w:val="006A72B6"/>
    <w:rsid w:val="006A7671"/>
    <w:rsid w:val="006A7943"/>
    <w:rsid w:val="006B1AA1"/>
    <w:rsid w:val="006B2223"/>
    <w:rsid w:val="006B3CAA"/>
    <w:rsid w:val="006B45FC"/>
    <w:rsid w:val="006B550D"/>
    <w:rsid w:val="006B567E"/>
    <w:rsid w:val="006C0510"/>
    <w:rsid w:val="006C19A2"/>
    <w:rsid w:val="006C1CC2"/>
    <w:rsid w:val="006C28A6"/>
    <w:rsid w:val="006C2BCA"/>
    <w:rsid w:val="006C308D"/>
    <w:rsid w:val="006C3A7E"/>
    <w:rsid w:val="006C41B7"/>
    <w:rsid w:val="006C4405"/>
    <w:rsid w:val="006C48AF"/>
    <w:rsid w:val="006C6997"/>
    <w:rsid w:val="006C6D69"/>
    <w:rsid w:val="006C79FA"/>
    <w:rsid w:val="006D00F4"/>
    <w:rsid w:val="006D0411"/>
    <w:rsid w:val="006D1268"/>
    <w:rsid w:val="006D1A4E"/>
    <w:rsid w:val="006D2292"/>
    <w:rsid w:val="006D362E"/>
    <w:rsid w:val="006D45AC"/>
    <w:rsid w:val="006D521B"/>
    <w:rsid w:val="006D5417"/>
    <w:rsid w:val="006D55AF"/>
    <w:rsid w:val="006D7891"/>
    <w:rsid w:val="006D7E9B"/>
    <w:rsid w:val="006E0822"/>
    <w:rsid w:val="006E0878"/>
    <w:rsid w:val="006E0F1B"/>
    <w:rsid w:val="006E1208"/>
    <w:rsid w:val="006E1F95"/>
    <w:rsid w:val="006E227F"/>
    <w:rsid w:val="006E4A12"/>
    <w:rsid w:val="006E4F60"/>
    <w:rsid w:val="006E5EE5"/>
    <w:rsid w:val="006E6ACE"/>
    <w:rsid w:val="006E6DF2"/>
    <w:rsid w:val="006E763A"/>
    <w:rsid w:val="006E79E6"/>
    <w:rsid w:val="006F05A3"/>
    <w:rsid w:val="006F1595"/>
    <w:rsid w:val="006F2C4A"/>
    <w:rsid w:val="006F3F5C"/>
    <w:rsid w:val="006F40BF"/>
    <w:rsid w:val="006F4316"/>
    <w:rsid w:val="006F432C"/>
    <w:rsid w:val="006F7FD4"/>
    <w:rsid w:val="00701AF7"/>
    <w:rsid w:val="0070395C"/>
    <w:rsid w:val="00703A7F"/>
    <w:rsid w:val="00704134"/>
    <w:rsid w:val="00704634"/>
    <w:rsid w:val="00704A0A"/>
    <w:rsid w:val="007061F5"/>
    <w:rsid w:val="00706D5E"/>
    <w:rsid w:val="0071032E"/>
    <w:rsid w:val="007111BF"/>
    <w:rsid w:val="00711940"/>
    <w:rsid w:val="00711E69"/>
    <w:rsid w:val="00711EF3"/>
    <w:rsid w:val="00712202"/>
    <w:rsid w:val="0071418E"/>
    <w:rsid w:val="00714890"/>
    <w:rsid w:val="00714D06"/>
    <w:rsid w:val="00714D8B"/>
    <w:rsid w:val="0072016B"/>
    <w:rsid w:val="0072048B"/>
    <w:rsid w:val="00720642"/>
    <w:rsid w:val="00721A6A"/>
    <w:rsid w:val="00722618"/>
    <w:rsid w:val="00723014"/>
    <w:rsid w:val="00723B83"/>
    <w:rsid w:val="00725C78"/>
    <w:rsid w:val="007261DF"/>
    <w:rsid w:val="00727098"/>
    <w:rsid w:val="00727EC8"/>
    <w:rsid w:val="007304F8"/>
    <w:rsid w:val="00730754"/>
    <w:rsid w:val="00730C9B"/>
    <w:rsid w:val="00731DEA"/>
    <w:rsid w:val="00732453"/>
    <w:rsid w:val="007327BF"/>
    <w:rsid w:val="00733453"/>
    <w:rsid w:val="00734DFE"/>
    <w:rsid w:val="007375A2"/>
    <w:rsid w:val="0073784D"/>
    <w:rsid w:val="00740C3C"/>
    <w:rsid w:val="00740D35"/>
    <w:rsid w:val="00741AB0"/>
    <w:rsid w:val="007427A4"/>
    <w:rsid w:val="00742815"/>
    <w:rsid w:val="0074353D"/>
    <w:rsid w:val="007443BF"/>
    <w:rsid w:val="00744EE4"/>
    <w:rsid w:val="00745338"/>
    <w:rsid w:val="007471AD"/>
    <w:rsid w:val="00747A99"/>
    <w:rsid w:val="00747C88"/>
    <w:rsid w:val="00750220"/>
    <w:rsid w:val="0075035D"/>
    <w:rsid w:val="007504FF"/>
    <w:rsid w:val="007509C9"/>
    <w:rsid w:val="0075278F"/>
    <w:rsid w:val="00753EC0"/>
    <w:rsid w:val="00754345"/>
    <w:rsid w:val="00754ABB"/>
    <w:rsid w:val="00756DCA"/>
    <w:rsid w:val="00761B07"/>
    <w:rsid w:val="00762035"/>
    <w:rsid w:val="007632CE"/>
    <w:rsid w:val="00767C51"/>
    <w:rsid w:val="00767F92"/>
    <w:rsid w:val="00767FBD"/>
    <w:rsid w:val="00771B5C"/>
    <w:rsid w:val="00771D5F"/>
    <w:rsid w:val="00773A15"/>
    <w:rsid w:val="007755AE"/>
    <w:rsid w:val="00775B35"/>
    <w:rsid w:val="007764FA"/>
    <w:rsid w:val="0077686A"/>
    <w:rsid w:val="007770C4"/>
    <w:rsid w:val="00781E38"/>
    <w:rsid w:val="00781E41"/>
    <w:rsid w:val="007821D6"/>
    <w:rsid w:val="00782322"/>
    <w:rsid w:val="007824F0"/>
    <w:rsid w:val="007830DC"/>
    <w:rsid w:val="00783776"/>
    <w:rsid w:val="00783858"/>
    <w:rsid w:val="00784D1F"/>
    <w:rsid w:val="0078561E"/>
    <w:rsid w:val="007869D1"/>
    <w:rsid w:val="00790E21"/>
    <w:rsid w:val="00791A08"/>
    <w:rsid w:val="00791A76"/>
    <w:rsid w:val="00794A11"/>
    <w:rsid w:val="007952E5"/>
    <w:rsid w:val="00795463"/>
    <w:rsid w:val="00795FB3"/>
    <w:rsid w:val="0079645D"/>
    <w:rsid w:val="007A04DD"/>
    <w:rsid w:val="007A05D9"/>
    <w:rsid w:val="007A14D8"/>
    <w:rsid w:val="007A2453"/>
    <w:rsid w:val="007A2694"/>
    <w:rsid w:val="007A2DEE"/>
    <w:rsid w:val="007A3DA9"/>
    <w:rsid w:val="007A44F5"/>
    <w:rsid w:val="007A4B8C"/>
    <w:rsid w:val="007A4BF1"/>
    <w:rsid w:val="007A57C0"/>
    <w:rsid w:val="007A68AA"/>
    <w:rsid w:val="007A6BEA"/>
    <w:rsid w:val="007A7784"/>
    <w:rsid w:val="007B05DB"/>
    <w:rsid w:val="007B101C"/>
    <w:rsid w:val="007B1B58"/>
    <w:rsid w:val="007B1CB1"/>
    <w:rsid w:val="007B24E8"/>
    <w:rsid w:val="007B2862"/>
    <w:rsid w:val="007B2E4B"/>
    <w:rsid w:val="007B54C7"/>
    <w:rsid w:val="007B6032"/>
    <w:rsid w:val="007B6847"/>
    <w:rsid w:val="007B6CA4"/>
    <w:rsid w:val="007B7A1A"/>
    <w:rsid w:val="007B7E67"/>
    <w:rsid w:val="007C1606"/>
    <w:rsid w:val="007C2411"/>
    <w:rsid w:val="007C3896"/>
    <w:rsid w:val="007C4661"/>
    <w:rsid w:val="007C4FEA"/>
    <w:rsid w:val="007C5E97"/>
    <w:rsid w:val="007C67F6"/>
    <w:rsid w:val="007C764F"/>
    <w:rsid w:val="007C7753"/>
    <w:rsid w:val="007C7980"/>
    <w:rsid w:val="007D15A2"/>
    <w:rsid w:val="007D18E5"/>
    <w:rsid w:val="007D2C47"/>
    <w:rsid w:val="007D4E07"/>
    <w:rsid w:val="007D5E19"/>
    <w:rsid w:val="007D6198"/>
    <w:rsid w:val="007D61AB"/>
    <w:rsid w:val="007D79F1"/>
    <w:rsid w:val="007D7CD5"/>
    <w:rsid w:val="007E2085"/>
    <w:rsid w:val="007E2C84"/>
    <w:rsid w:val="007E3161"/>
    <w:rsid w:val="007E5114"/>
    <w:rsid w:val="007E5243"/>
    <w:rsid w:val="007E5C6B"/>
    <w:rsid w:val="007E5D3E"/>
    <w:rsid w:val="007E755B"/>
    <w:rsid w:val="007F2A9C"/>
    <w:rsid w:val="007F2AD9"/>
    <w:rsid w:val="007F2D9B"/>
    <w:rsid w:val="007F3DC4"/>
    <w:rsid w:val="007F41B1"/>
    <w:rsid w:val="007F50FD"/>
    <w:rsid w:val="007F6CA3"/>
    <w:rsid w:val="007F75F6"/>
    <w:rsid w:val="007F7697"/>
    <w:rsid w:val="00800584"/>
    <w:rsid w:val="00800847"/>
    <w:rsid w:val="00801987"/>
    <w:rsid w:val="00801BB4"/>
    <w:rsid w:val="00801F83"/>
    <w:rsid w:val="00802448"/>
    <w:rsid w:val="008032FA"/>
    <w:rsid w:val="008038B7"/>
    <w:rsid w:val="00803F4E"/>
    <w:rsid w:val="0080674E"/>
    <w:rsid w:val="00811A9F"/>
    <w:rsid w:val="00811BCB"/>
    <w:rsid w:val="00811F79"/>
    <w:rsid w:val="008124EB"/>
    <w:rsid w:val="008128FA"/>
    <w:rsid w:val="00812C1B"/>
    <w:rsid w:val="008136EA"/>
    <w:rsid w:val="008137DA"/>
    <w:rsid w:val="008138AB"/>
    <w:rsid w:val="00813E05"/>
    <w:rsid w:val="00814442"/>
    <w:rsid w:val="008146B4"/>
    <w:rsid w:val="00814AD9"/>
    <w:rsid w:val="008161CD"/>
    <w:rsid w:val="008165F3"/>
    <w:rsid w:val="00816D27"/>
    <w:rsid w:val="00817117"/>
    <w:rsid w:val="0082031B"/>
    <w:rsid w:val="00820FBB"/>
    <w:rsid w:val="00821ED2"/>
    <w:rsid w:val="0082366A"/>
    <w:rsid w:val="00823E66"/>
    <w:rsid w:val="008243F7"/>
    <w:rsid w:val="0082442E"/>
    <w:rsid w:val="00824C54"/>
    <w:rsid w:val="00824CC2"/>
    <w:rsid w:val="0082539F"/>
    <w:rsid w:val="00825871"/>
    <w:rsid w:val="00826ED7"/>
    <w:rsid w:val="00831735"/>
    <w:rsid w:val="008339B8"/>
    <w:rsid w:val="00834284"/>
    <w:rsid w:val="008408A3"/>
    <w:rsid w:val="00842405"/>
    <w:rsid w:val="00842F53"/>
    <w:rsid w:val="00843579"/>
    <w:rsid w:val="0084370B"/>
    <w:rsid w:val="00844178"/>
    <w:rsid w:val="00845C9B"/>
    <w:rsid w:val="00846B84"/>
    <w:rsid w:val="008475CC"/>
    <w:rsid w:val="00847C3E"/>
    <w:rsid w:val="00852773"/>
    <w:rsid w:val="0085297A"/>
    <w:rsid w:val="00852A37"/>
    <w:rsid w:val="00852BD5"/>
    <w:rsid w:val="00855013"/>
    <w:rsid w:val="00855502"/>
    <w:rsid w:val="00857E9D"/>
    <w:rsid w:val="008610A0"/>
    <w:rsid w:val="00861A7C"/>
    <w:rsid w:val="00865500"/>
    <w:rsid w:val="0086642A"/>
    <w:rsid w:val="00866761"/>
    <w:rsid w:val="00866AD6"/>
    <w:rsid w:val="00866C0E"/>
    <w:rsid w:val="00867622"/>
    <w:rsid w:val="008704B4"/>
    <w:rsid w:val="00871B50"/>
    <w:rsid w:val="00872462"/>
    <w:rsid w:val="008730ED"/>
    <w:rsid w:val="00873ADA"/>
    <w:rsid w:val="0087493A"/>
    <w:rsid w:val="00874B63"/>
    <w:rsid w:val="00875135"/>
    <w:rsid w:val="00875C34"/>
    <w:rsid w:val="00877123"/>
    <w:rsid w:val="008778B0"/>
    <w:rsid w:val="008778EA"/>
    <w:rsid w:val="0088023D"/>
    <w:rsid w:val="00880487"/>
    <w:rsid w:val="008805BA"/>
    <w:rsid w:val="008809A9"/>
    <w:rsid w:val="00880E02"/>
    <w:rsid w:val="00881C40"/>
    <w:rsid w:val="00882196"/>
    <w:rsid w:val="0088265E"/>
    <w:rsid w:val="00882701"/>
    <w:rsid w:val="00883875"/>
    <w:rsid w:val="00885363"/>
    <w:rsid w:val="008853BB"/>
    <w:rsid w:val="00885EF6"/>
    <w:rsid w:val="008873BB"/>
    <w:rsid w:val="008912B2"/>
    <w:rsid w:val="00893AED"/>
    <w:rsid w:val="0089440B"/>
    <w:rsid w:val="00894430"/>
    <w:rsid w:val="008946ED"/>
    <w:rsid w:val="00896A69"/>
    <w:rsid w:val="008A2DA5"/>
    <w:rsid w:val="008A3B32"/>
    <w:rsid w:val="008A41E2"/>
    <w:rsid w:val="008A428D"/>
    <w:rsid w:val="008A483F"/>
    <w:rsid w:val="008A49A1"/>
    <w:rsid w:val="008A5075"/>
    <w:rsid w:val="008A6117"/>
    <w:rsid w:val="008A65CB"/>
    <w:rsid w:val="008A7129"/>
    <w:rsid w:val="008B23F8"/>
    <w:rsid w:val="008B37A3"/>
    <w:rsid w:val="008B4231"/>
    <w:rsid w:val="008B4C16"/>
    <w:rsid w:val="008B50CC"/>
    <w:rsid w:val="008B5BC1"/>
    <w:rsid w:val="008B746B"/>
    <w:rsid w:val="008B7F83"/>
    <w:rsid w:val="008C1733"/>
    <w:rsid w:val="008C2295"/>
    <w:rsid w:val="008C3C98"/>
    <w:rsid w:val="008C496D"/>
    <w:rsid w:val="008C5EDA"/>
    <w:rsid w:val="008C6756"/>
    <w:rsid w:val="008C6E61"/>
    <w:rsid w:val="008D133B"/>
    <w:rsid w:val="008D1D0E"/>
    <w:rsid w:val="008D1F1D"/>
    <w:rsid w:val="008D37DF"/>
    <w:rsid w:val="008D5428"/>
    <w:rsid w:val="008D5482"/>
    <w:rsid w:val="008D6A42"/>
    <w:rsid w:val="008D6A73"/>
    <w:rsid w:val="008E0AF3"/>
    <w:rsid w:val="008E0CDB"/>
    <w:rsid w:val="008E137C"/>
    <w:rsid w:val="008E4250"/>
    <w:rsid w:val="008E7470"/>
    <w:rsid w:val="008F08E2"/>
    <w:rsid w:val="008F1EC4"/>
    <w:rsid w:val="008F2CDA"/>
    <w:rsid w:val="008F301E"/>
    <w:rsid w:val="008F3539"/>
    <w:rsid w:val="008F3D9B"/>
    <w:rsid w:val="008F4DD7"/>
    <w:rsid w:val="008F5A8C"/>
    <w:rsid w:val="008F5E43"/>
    <w:rsid w:val="008F7596"/>
    <w:rsid w:val="008F7C42"/>
    <w:rsid w:val="008F7C8D"/>
    <w:rsid w:val="008F7D54"/>
    <w:rsid w:val="00901635"/>
    <w:rsid w:val="00906986"/>
    <w:rsid w:val="00906D6F"/>
    <w:rsid w:val="0091025E"/>
    <w:rsid w:val="00910DA3"/>
    <w:rsid w:val="0091218C"/>
    <w:rsid w:val="00912C80"/>
    <w:rsid w:val="00913079"/>
    <w:rsid w:val="0091332B"/>
    <w:rsid w:val="00913E30"/>
    <w:rsid w:val="00914F18"/>
    <w:rsid w:val="00915788"/>
    <w:rsid w:val="00916C49"/>
    <w:rsid w:val="00917308"/>
    <w:rsid w:val="00917BAF"/>
    <w:rsid w:val="00920C20"/>
    <w:rsid w:val="00925783"/>
    <w:rsid w:val="00926E12"/>
    <w:rsid w:val="00926EA4"/>
    <w:rsid w:val="00926F22"/>
    <w:rsid w:val="00930022"/>
    <w:rsid w:val="00931882"/>
    <w:rsid w:val="00932052"/>
    <w:rsid w:val="00932E55"/>
    <w:rsid w:val="00933765"/>
    <w:rsid w:val="00933CBA"/>
    <w:rsid w:val="00934C4E"/>
    <w:rsid w:val="009351A1"/>
    <w:rsid w:val="009351E1"/>
    <w:rsid w:val="009359D5"/>
    <w:rsid w:val="00936014"/>
    <w:rsid w:val="00936A64"/>
    <w:rsid w:val="0093714F"/>
    <w:rsid w:val="0093755B"/>
    <w:rsid w:val="00937758"/>
    <w:rsid w:val="00937B4A"/>
    <w:rsid w:val="00940B40"/>
    <w:rsid w:val="00940BC3"/>
    <w:rsid w:val="00940CBE"/>
    <w:rsid w:val="00940D69"/>
    <w:rsid w:val="00941455"/>
    <w:rsid w:val="009416EC"/>
    <w:rsid w:val="0094173E"/>
    <w:rsid w:val="00944C0F"/>
    <w:rsid w:val="00944D16"/>
    <w:rsid w:val="009479E1"/>
    <w:rsid w:val="00950334"/>
    <w:rsid w:val="00951D23"/>
    <w:rsid w:val="009542FC"/>
    <w:rsid w:val="009551EE"/>
    <w:rsid w:val="00955601"/>
    <w:rsid w:val="00956B71"/>
    <w:rsid w:val="00957939"/>
    <w:rsid w:val="00957B04"/>
    <w:rsid w:val="0096024F"/>
    <w:rsid w:val="009602E2"/>
    <w:rsid w:val="00960AC6"/>
    <w:rsid w:val="00960B1B"/>
    <w:rsid w:val="00960EFA"/>
    <w:rsid w:val="0096254C"/>
    <w:rsid w:val="00964744"/>
    <w:rsid w:val="00965624"/>
    <w:rsid w:val="009657D5"/>
    <w:rsid w:val="009666A1"/>
    <w:rsid w:val="00966CF8"/>
    <w:rsid w:val="00967139"/>
    <w:rsid w:val="0097052C"/>
    <w:rsid w:val="0097056B"/>
    <w:rsid w:val="00971000"/>
    <w:rsid w:val="009717C7"/>
    <w:rsid w:val="00972031"/>
    <w:rsid w:val="00973675"/>
    <w:rsid w:val="00973BC7"/>
    <w:rsid w:val="00974794"/>
    <w:rsid w:val="00974C33"/>
    <w:rsid w:val="009755FB"/>
    <w:rsid w:val="0097592A"/>
    <w:rsid w:val="00980BA1"/>
    <w:rsid w:val="0098121C"/>
    <w:rsid w:val="00981CAB"/>
    <w:rsid w:val="009828CF"/>
    <w:rsid w:val="0098330D"/>
    <w:rsid w:val="00983B3C"/>
    <w:rsid w:val="00984199"/>
    <w:rsid w:val="009842E7"/>
    <w:rsid w:val="00984916"/>
    <w:rsid w:val="00984C60"/>
    <w:rsid w:val="00985C0F"/>
    <w:rsid w:val="0098792D"/>
    <w:rsid w:val="00991570"/>
    <w:rsid w:val="0099161B"/>
    <w:rsid w:val="00991DAB"/>
    <w:rsid w:val="00991E3E"/>
    <w:rsid w:val="00992880"/>
    <w:rsid w:val="00993484"/>
    <w:rsid w:val="00993589"/>
    <w:rsid w:val="00994AD4"/>
    <w:rsid w:val="00994E33"/>
    <w:rsid w:val="00995577"/>
    <w:rsid w:val="009A042B"/>
    <w:rsid w:val="009A0C07"/>
    <w:rsid w:val="009A21DE"/>
    <w:rsid w:val="009A2691"/>
    <w:rsid w:val="009A2C05"/>
    <w:rsid w:val="009A36C1"/>
    <w:rsid w:val="009A3843"/>
    <w:rsid w:val="009A387E"/>
    <w:rsid w:val="009A39C4"/>
    <w:rsid w:val="009A4F0B"/>
    <w:rsid w:val="009A4FFC"/>
    <w:rsid w:val="009A584E"/>
    <w:rsid w:val="009A5FDD"/>
    <w:rsid w:val="009A7857"/>
    <w:rsid w:val="009A7D6C"/>
    <w:rsid w:val="009B0314"/>
    <w:rsid w:val="009B0E54"/>
    <w:rsid w:val="009B318B"/>
    <w:rsid w:val="009B3B29"/>
    <w:rsid w:val="009B4A7F"/>
    <w:rsid w:val="009B4F97"/>
    <w:rsid w:val="009B5914"/>
    <w:rsid w:val="009B6B05"/>
    <w:rsid w:val="009B72A6"/>
    <w:rsid w:val="009B73FB"/>
    <w:rsid w:val="009B7902"/>
    <w:rsid w:val="009C046D"/>
    <w:rsid w:val="009C1C22"/>
    <w:rsid w:val="009C2082"/>
    <w:rsid w:val="009C2BEB"/>
    <w:rsid w:val="009C3150"/>
    <w:rsid w:val="009C36E4"/>
    <w:rsid w:val="009C3C58"/>
    <w:rsid w:val="009C5061"/>
    <w:rsid w:val="009C58D7"/>
    <w:rsid w:val="009C5B26"/>
    <w:rsid w:val="009C60D6"/>
    <w:rsid w:val="009C7095"/>
    <w:rsid w:val="009C7638"/>
    <w:rsid w:val="009D20CD"/>
    <w:rsid w:val="009D226F"/>
    <w:rsid w:val="009D381C"/>
    <w:rsid w:val="009D407E"/>
    <w:rsid w:val="009D4CF7"/>
    <w:rsid w:val="009D5AD7"/>
    <w:rsid w:val="009D6191"/>
    <w:rsid w:val="009D798C"/>
    <w:rsid w:val="009D7E95"/>
    <w:rsid w:val="009E0F5B"/>
    <w:rsid w:val="009E3078"/>
    <w:rsid w:val="009E5951"/>
    <w:rsid w:val="009E6D4C"/>
    <w:rsid w:val="009E7E37"/>
    <w:rsid w:val="009F0E8B"/>
    <w:rsid w:val="009F1528"/>
    <w:rsid w:val="009F1ECF"/>
    <w:rsid w:val="009F2433"/>
    <w:rsid w:val="009F3E67"/>
    <w:rsid w:val="009F6A06"/>
    <w:rsid w:val="00A0057E"/>
    <w:rsid w:val="00A01DA3"/>
    <w:rsid w:val="00A024DA"/>
    <w:rsid w:val="00A053E7"/>
    <w:rsid w:val="00A05864"/>
    <w:rsid w:val="00A068F6"/>
    <w:rsid w:val="00A06BD4"/>
    <w:rsid w:val="00A06CB9"/>
    <w:rsid w:val="00A06CDE"/>
    <w:rsid w:val="00A07370"/>
    <w:rsid w:val="00A07A1F"/>
    <w:rsid w:val="00A11C74"/>
    <w:rsid w:val="00A13355"/>
    <w:rsid w:val="00A13A11"/>
    <w:rsid w:val="00A13C36"/>
    <w:rsid w:val="00A202E5"/>
    <w:rsid w:val="00A21E32"/>
    <w:rsid w:val="00A229E3"/>
    <w:rsid w:val="00A23580"/>
    <w:rsid w:val="00A2362F"/>
    <w:rsid w:val="00A23768"/>
    <w:rsid w:val="00A2391F"/>
    <w:rsid w:val="00A24256"/>
    <w:rsid w:val="00A24B43"/>
    <w:rsid w:val="00A24B63"/>
    <w:rsid w:val="00A26F5B"/>
    <w:rsid w:val="00A27E9C"/>
    <w:rsid w:val="00A302D9"/>
    <w:rsid w:val="00A30CD3"/>
    <w:rsid w:val="00A30CED"/>
    <w:rsid w:val="00A31A27"/>
    <w:rsid w:val="00A31ED2"/>
    <w:rsid w:val="00A34160"/>
    <w:rsid w:val="00A34926"/>
    <w:rsid w:val="00A34A61"/>
    <w:rsid w:val="00A35F6A"/>
    <w:rsid w:val="00A36D0C"/>
    <w:rsid w:val="00A37263"/>
    <w:rsid w:val="00A37283"/>
    <w:rsid w:val="00A4307F"/>
    <w:rsid w:val="00A43CDA"/>
    <w:rsid w:val="00A44ACC"/>
    <w:rsid w:val="00A45B87"/>
    <w:rsid w:val="00A47A0B"/>
    <w:rsid w:val="00A52AAE"/>
    <w:rsid w:val="00A52FD3"/>
    <w:rsid w:val="00A53DE0"/>
    <w:rsid w:val="00A54906"/>
    <w:rsid w:val="00A55675"/>
    <w:rsid w:val="00A5568B"/>
    <w:rsid w:val="00A5596F"/>
    <w:rsid w:val="00A6047A"/>
    <w:rsid w:val="00A60F35"/>
    <w:rsid w:val="00A6158F"/>
    <w:rsid w:val="00A6313D"/>
    <w:rsid w:val="00A64949"/>
    <w:rsid w:val="00A649D5"/>
    <w:rsid w:val="00A64BFA"/>
    <w:rsid w:val="00A655F7"/>
    <w:rsid w:val="00A65A0C"/>
    <w:rsid w:val="00A65A83"/>
    <w:rsid w:val="00A66A16"/>
    <w:rsid w:val="00A66E60"/>
    <w:rsid w:val="00A7278C"/>
    <w:rsid w:val="00A737F2"/>
    <w:rsid w:val="00A76439"/>
    <w:rsid w:val="00A76D1D"/>
    <w:rsid w:val="00A77D8B"/>
    <w:rsid w:val="00A80292"/>
    <w:rsid w:val="00A8097B"/>
    <w:rsid w:val="00A838EF"/>
    <w:rsid w:val="00A83FDA"/>
    <w:rsid w:val="00A8455F"/>
    <w:rsid w:val="00A84B11"/>
    <w:rsid w:val="00A862FB"/>
    <w:rsid w:val="00A87AEB"/>
    <w:rsid w:val="00A87E6A"/>
    <w:rsid w:val="00A901D2"/>
    <w:rsid w:val="00A90704"/>
    <w:rsid w:val="00A936DA"/>
    <w:rsid w:val="00A945CF"/>
    <w:rsid w:val="00A95450"/>
    <w:rsid w:val="00A963FE"/>
    <w:rsid w:val="00A96F40"/>
    <w:rsid w:val="00A97B2D"/>
    <w:rsid w:val="00AA0893"/>
    <w:rsid w:val="00AA20FD"/>
    <w:rsid w:val="00AA2875"/>
    <w:rsid w:val="00AA292A"/>
    <w:rsid w:val="00AA384C"/>
    <w:rsid w:val="00AA50C8"/>
    <w:rsid w:val="00AA6DC1"/>
    <w:rsid w:val="00AB01E4"/>
    <w:rsid w:val="00AB0A67"/>
    <w:rsid w:val="00AB1A65"/>
    <w:rsid w:val="00AB1D76"/>
    <w:rsid w:val="00AB3494"/>
    <w:rsid w:val="00AB55E3"/>
    <w:rsid w:val="00AB6D5A"/>
    <w:rsid w:val="00AB7390"/>
    <w:rsid w:val="00AC1F36"/>
    <w:rsid w:val="00AC3339"/>
    <w:rsid w:val="00AC33CA"/>
    <w:rsid w:val="00AC519C"/>
    <w:rsid w:val="00AC5701"/>
    <w:rsid w:val="00AC659B"/>
    <w:rsid w:val="00AC6992"/>
    <w:rsid w:val="00AC751F"/>
    <w:rsid w:val="00AC7839"/>
    <w:rsid w:val="00AD0771"/>
    <w:rsid w:val="00AD12AA"/>
    <w:rsid w:val="00AD176F"/>
    <w:rsid w:val="00AD1931"/>
    <w:rsid w:val="00AD3C9E"/>
    <w:rsid w:val="00AD4488"/>
    <w:rsid w:val="00AD50FF"/>
    <w:rsid w:val="00AD7810"/>
    <w:rsid w:val="00AE0B90"/>
    <w:rsid w:val="00AE2749"/>
    <w:rsid w:val="00AE2B09"/>
    <w:rsid w:val="00AE4030"/>
    <w:rsid w:val="00AE6A0E"/>
    <w:rsid w:val="00AE7888"/>
    <w:rsid w:val="00AF0584"/>
    <w:rsid w:val="00AF06EF"/>
    <w:rsid w:val="00AF0B55"/>
    <w:rsid w:val="00AF1580"/>
    <w:rsid w:val="00AF3BA1"/>
    <w:rsid w:val="00AF3F7F"/>
    <w:rsid w:val="00AF4733"/>
    <w:rsid w:val="00AF4A39"/>
    <w:rsid w:val="00AF4D08"/>
    <w:rsid w:val="00AF5ABB"/>
    <w:rsid w:val="00AF65B6"/>
    <w:rsid w:val="00AF787F"/>
    <w:rsid w:val="00B012DA"/>
    <w:rsid w:val="00B029C6"/>
    <w:rsid w:val="00B04A0A"/>
    <w:rsid w:val="00B05999"/>
    <w:rsid w:val="00B0618A"/>
    <w:rsid w:val="00B0676B"/>
    <w:rsid w:val="00B1009B"/>
    <w:rsid w:val="00B11613"/>
    <w:rsid w:val="00B12F42"/>
    <w:rsid w:val="00B1326B"/>
    <w:rsid w:val="00B14051"/>
    <w:rsid w:val="00B14E5D"/>
    <w:rsid w:val="00B16FF5"/>
    <w:rsid w:val="00B1755C"/>
    <w:rsid w:val="00B17966"/>
    <w:rsid w:val="00B20021"/>
    <w:rsid w:val="00B217DA"/>
    <w:rsid w:val="00B26556"/>
    <w:rsid w:val="00B2783E"/>
    <w:rsid w:val="00B27950"/>
    <w:rsid w:val="00B27F18"/>
    <w:rsid w:val="00B30358"/>
    <w:rsid w:val="00B30378"/>
    <w:rsid w:val="00B310CE"/>
    <w:rsid w:val="00B313AD"/>
    <w:rsid w:val="00B318CB"/>
    <w:rsid w:val="00B3192B"/>
    <w:rsid w:val="00B32762"/>
    <w:rsid w:val="00B33A5F"/>
    <w:rsid w:val="00B34EB9"/>
    <w:rsid w:val="00B35BE9"/>
    <w:rsid w:val="00B35CEA"/>
    <w:rsid w:val="00B3698C"/>
    <w:rsid w:val="00B37353"/>
    <w:rsid w:val="00B374B5"/>
    <w:rsid w:val="00B40940"/>
    <w:rsid w:val="00B415F9"/>
    <w:rsid w:val="00B44751"/>
    <w:rsid w:val="00B450A4"/>
    <w:rsid w:val="00B45F4E"/>
    <w:rsid w:val="00B462E1"/>
    <w:rsid w:val="00B46D7C"/>
    <w:rsid w:val="00B47C50"/>
    <w:rsid w:val="00B47E23"/>
    <w:rsid w:val="00B50968"/>
    <w:rsid w:val="00B5099F"/>
    <w:rsid w:val="00B51D7C"/>
    <w:rsid w:val="00B52342"/>
    <w:rsid w:val="00B52465"/>
    <w:rsid w:val="00B52E6D"/>
    <w:rsid w:val="00B53017"/>
    <w:rsid w:val="00B531D6"/>
    <w:rsid w:val="00B534B5"/>
    <w:rsid w:val="00B549EB"/>
    <w:rsid w:val="00B54AB8"/>
    <w:rsid w:val="00B54F87"/>
    <w:rsid w:val="00B55F72"/>
    <w:rsid w:val="00B626AA"/>
    <w:rsid w:val="00B62C9C"/>
    <w:rsid w:val="00B63214"/>
    <w:rsid w:val="00B63471"/>
    <w:rsid w:val="00B63EB3"/>
    <w:rsid w:val="00B6715E"/>
    <w:rsid w:val="00B6787F"/>
    <w:rsid w:val="00B7009E"/>
    <w:rsid w:val="00B714DC"/>
    <w:rsid w:val="00B723CA"/>
    <w:rsid w:val="00B72921"/>
    <w:rsid w:val="00B72CD2"/>
    <w:rsid w:val="00B73299"/>
    <w:rsid w:val="00B73AE9"/>
    <w:rsid w:val="00B73DC2"/>
    <w:rsid w:val="00B747DC"/>
    <w:rsid w:val="00B749E1"/>
    <w:rsid w:val="00B74B17"/>
    <w:rsid w:val="00B74C78"/>
    <w:rsid w:val="00B77A79"/>
    <w:rsid w:val="00B80F03"/>
    <w:rsid w:val="00B83156"/>
    <w:rsid w:val="00B8358A"/>
    <w:rsid w:val="00B8402C"/>
    <w:rsid w:val="00B846C2"/>
    <w:rsid w:val="00B85581"/>
    <w:rsid w:val="00B85680"/>
    <w:rsid w:val="00B867B6"/>
    <w:rsid w:val="00B86F6B"/>
    <w:rsid w:val="00B8704B"/>
    <w:rsid w:val="00B872A7"/>
    <w:rsid w:val="00B8792A"/>
    <w:rsid w:val="00B87D7C"/>
    <w:rsid w:val="00B87E0C"/>
    <w:rsid w:val="00B903B1"/>
    <w:rsid w:val="00B909E2"/>
    <w:rsid w:val="00B90F40"/>
    <w:rsid w:val="00B913CB"/>
    <w:rsid w:val="00B91611"/>
    <w:rsid w:val="00B936B5"/>
    <w:rsid w:val="00B94189"/>
    <w:rsid w:val="00B94A79"/>
    <w:rsid w:val="00B94F07"/>
    <w:rsid w:val="00B9625B"/>
    <w:rsid w:val="00B970EB"/>
    <w:rsid w:val="00B97B2B"/>
    <w:rsid w:val="00BA06C1"/>
    <w:rsid w:val="00BA0936"/>
    <w:rsid w:val="00BA13DA"/>
    <w:rsid w:val="00BA192B"/>
    <w:rsid w:val="00BA3C59"/>
    <w:rsid w:val="00BA4702"/>
    <w:rsid w:val="00BA711C"/>
    <w:rsid w:val="00BB06DC"/>
    <w:rsid w:val="00BB0AE7"/>
    <w:rsid w:val="00BB12FF"/>
    <w:rsid w:val="00BB1D74"/>
    <w:rsid w:val="00BB2E85"/>
    <w:rsid w:val="00BB38CC"/>
    <w:rsid w:val="00BB39A1"/>
    <w:rsid w:val="00BB4E67"/>
    <w:rsid w:val="00BB4F78"/>
    <w:rsid w:val="00BB5E83"/>
    <w:rsid w:val="00BC1C91"/>
    <w:rsid w:val="00BC2062"/>
    <w:rsid w:val="00BC2482"/>
    <w:rsid w:val="00BC3944"/>
    <w:rsid w:val="00BC5822"/>
    <w:rsid w:val="00BC5E0B"/>
    <w:rsid w:val="00BC7445"/>
    <w:rsid w:val="00BD2DA1"/>
    <w:rsid w:val="00BD4EE2"/>
    <w:rsid w:val="00BD5B72"/>
    <w:rsid w:val="00BD6537"/>
    <w:rsid w:val="00BD7482"/>
    <w:rsid w:val="00BE070C"/>
    <w:rsid w:val="00BE087B"/>
    <w:rsid w:val="00BE2009"/>
    <w:rsid w:val="00BE2967"/>
    <w:rsid w:val="00BE3CFD"/>
    <w:rsid w:val="00BE4A33"/>
    <w:rsid w:val="00BE782C"/>
    <w:rsid w:val="00BE7E7D"/>
    <w:rsid w:val="00BF06ED"/>
    <w:rsid w:val="00BF1E7F"/>
    <w:rsid w:val="00BF22BD"/>
    <w:rsid w:val="00BF2F49"/>
    <w:rsid w:val="00BF3A89"/>
    <w:rsid w:val="00BF3B3C"/>
    <w:rsid w:val="00BF4CF4"/>
    <w:rsid w:val="00BF56FF"/>
    <w:rsid w:val="00BF57DF"/>
    <w:rsid w:val="00BF6B4E"/>
    <w:rsid w:val="00BF7185"/>
    <w:rsid w:val="00BF76CC"/>
    <w:rsid w:val="00BF7D19"/>
    <w:rsid w:val="00C00746"/>
    <w:rsid w:val="00C01C05"/>
    <w:rsid w:val="00C01EBB"/>
    <w:rsid w:val="00C02954"/>
    <w:rsid w:val="00C03556"/>
    <w:rsid w:val="00C039A0"/>
    <w:rsid w:val="00C03B92"/>
    <w:rsid w:val="00C0426D"/>
    <w:rsid w:val="00C045DF"/>
    <w:rsid w:val="00C059A4"/>
    <w:rsid w:val="00C064AE"/>
    <w:rsid w:val="00C0677E"/>
    <w:rsid w:val="00C069E0"/>
    <w:rsid w:val="00C10173"/>
    <w:rsid w:val="00C10BE5"/>
    <w:rsid w:val="00C116AC"/>
    <w:rsid w:val="00C11C77"/>
    <w:rsid w:val="00C137E7"/>
    <w:rsid w:val="00C13810"/>
    <w:rsid w:val="00C13F19"/>
    <w:rsid w:val="00C14F8A"/>
    <w:rsid w:val="00C16A0B"/>
    <w:rsid w:val="00C2021E"/>
    <w:rsid w:val="00C21EB9"/>
    <w:rsid w:val="00C221DE"/>
    <w:rsid w:val="00C223A2"/>
    <w:rsid w:val="00C239BB"/>
    <w:rsid w:val="00C26C99"/>
    <w:rsid w:val="00C3048D"/>
    <w:rsid w:val="00C317D0"/>
    <w:rsid w:val="00C32B6C"/>
    <w:rsid w:val="00C33E1D"/>
    <w:rsid w:val="00C345B9"/>
    <w:rsid w:val="00C36B60"/>
    <w:rsid w:val="00C378BC"/>
    <w:rsid w:val="00C407A6"/>
    <w:rsid w:val="00C41661"/>
    <w:rsid w:val="00C419CF"/>
    <w:rsid w:val="00C41AF0"/>
    <w:rsid w:val="00C4318A"/>
    <w:rsid w:val="00C4771B"/>
    <w:rsid w:val="00C51461"/>
    <w:rsid w:val="00C514F3"/>
    <w:rsid w:val="00C52C2F"/>
    <w:rsid w:val="00C52E11"/>
    <w:rsid w:val="00C550C8"/>
    <w:rsid w:val="00C62087"/>
    <w:rsid w:val="00C623CD"/>
    <w:rsid w:val="00C62D61"/>
    <w:rsid w:val="00C63BB9"/>
    <w:rsid w:val="00C659A7"/>
    <w:rsid w:val="00C665AC"/>
    <w:rsid w:val="00C66759"/>
    <w:rsid w:val="00C6754E"/>
    <w:rsid w:val="00C67B6E"/>
    <w:rsid w:val="00C72590"/>
    <w:rsid w:val="00C72777"/>
    <w:rsid w:val="00C72BE6"/>
    <w:rsid w:val="00C732E4"/>
    <w:rsid w:val="00C74A04"/>
    <w:rsid w:val="00C753C2"/>
    <w:rsid w:val="00C75408"/>
    <w:rsid w:val="00C75936"/>
    <w:rsid w:val="00C768D1"/>
    <w:rsid w:val="00C76B6B"/>
    <w:rsid w:val="00C77D0A"/>
    <w:rsid w:val="00C77D13"/>
    <w:rsid w:val="00C823D3"/>
    <w:rsid w:val="00C82FEF"/>
    <w:rsid w:val="00C8396D"/>
    <w:rsid w:val="00C86FD2"/>
    <w:rsid w:val="00C90246"/>
    <w:rsid w:val="00C91508"/>
    <w:rsid w:val="00C927E9"/>
    <w:rsid w:val="00C93AF7"/>
    <w:rsid w:val="00C95047"/>
    <w:rsid w:val="00C9504F"/>
    <w:rsid w:val="00C95644"/>
    <w:rsid w:val="00C95A40"/>
    <w:rsid w:val="00C95AED"/>
    <w:rsid w:val="00C968F0"/>
    <w:rsid w:val="00C9756F"/>
    <w:rsid w:val="00C979AB"/>
    <w:rsid w:val="00C97B3D"/>
    <w:rsid w:val="00C97DDD"/>
    <w:rsid w:val="00CA049A"/>
    <w:rsid w:val="00CA0A86"/>
    <w:rsid w:val="00CA0D23"/>
    <w:rsid w:val="00CA0ECB"/>
    <w:rsid w:val="00CA1472"/>
    <w:rsid w:val="00CA3D1E"/>
    <w:rsid w:val="00CA6A2D"/>
    <w:rsid w:val="00CB04EE"/>
    <w:rsid w:val="00CB1118"/>
    <w:rsid w:val="00CB3EA0"/>
    <w:rsid w:val="00CB4249"/>
    <w:rsid w:val="00CB5214"/>
    <w:rsid w:val="00CB530E"/>
    <w:rsid w:val="00CB54FE"/>
    <w:rsid w:val="00CB554F"/>
    <w:rsid w:val="00CB5BA3"/>
    <w:rsid w:val="00CB6110"/>
    <w:rsid w:val="00CB6862"/>
    <w:rsid w:val="00CB6C07"/>
    <w:rsid w:val="00CB6DF3"/>
    <w:rsid w:val="00CB76DF"/>
    <w:rsid w:val="00CB785B"/>
    <w:rsid w:val="00CC0035"/>
    <w:rsid w:val="00CC0970"/>
    <w:rsid w:val="00CC0BFC"/>
    <w:rsid w:val="00CC0EFD"/>
    <w:rsid w:val="00CC10FA"/>
    <w:rsid w:val="00CC37CC"/>
    <w:rsid w:val="00CC3CCC"/>
    <w:rsid w:val="00CC45CF"/>
    <w:rsid w:val="00CC517F"/>
    <w:rsid w:val="00CC5DAF"/>
    <w:rsid w:val="00CC62D5"/>
    <w:rsid w:val="00CC7AEC"/>
    <w:rsid w:val="00CC7ECC"/>
    <w:rsid w:val="00CC7FC2"/>
    <w:rsid w:val="00CD2061"/>
    <w:rsid w:val="00CD254D"/>
    <w:rsid w:val="00CD263C"/>
    <w:rsid w:val="00CD2AFC"/>
    <w:rsid w:val="00CD39C8"/>
    <w:rsid w:val="00CD3CB5"/>
    <w:rsid w:val="00CD5A38"/>
    <w:rsid w:val="00CD5B13"/>
    <w:rsid w:val="00CD5F72"/>
    <w:rsid w:val="00CD79AF"/>
    <w:rsid w:val="00CE0571"/>
    <w:rsid w:val="00CE09FF"/>
    <w:rsid w:val="00CE112F"/>
    <w:rsid w:val="00CE15C5"/>
    <w:rsid w:val="00CE1CC8"/>
    <w:rsid w:val="00CE42ED"/>
    <w:rsid w:val="00CE5B55"/>
    <w:rsid w:val="00CE7BD5"/>
    <w:rsid w:val="00CF0E6A"/>
    <w:rsid w:val="00CF1970"/>
    <w:rsid w:val="00CF1FC5"/>
    <w:rsid w:val="00CF2154"/>
    <w:rsid w:val="00CF228C"/>
    <w:rsid w:val="00CF2390"/>
    <w:rsid w:val="00CF2564"/>
    <w:rsid w:val="00CF38F0"/>
    <w:rsid w:val="00CF3DCC"/>
    <w:rsid w:val="00CF50ED"/>
    <w:rsid w:val="00CF5241"/>
    <w:rsid w:val="00CF5D75"/>
    <w:rsid w:val="00CF5D8A"/>
    <w:rsid w:val="00CF611A"/>
    <w:rsid w:val="00CF6727"/>
    <w:rsid w:val="00CF77A0"/>
    <w:rsid w:val="00CF7B4E"/>
    <w:rsid w:val="00D008F4"/>
    <w:rsid w:val="00D01382"/>
    <w:rsid w:val="00D015F3"/>
    <w:rsid w:val="00D038A2"/>
    <w:rsid w:val="00D03DAA"/>
    <w:rsid w:val="00D05305"/>
    <w:rsid w:val="00D056EC"/>
    <w:rsid w:val="00D06402"/>
    <w:rsid w:val="00D06746"/>
    <w:rsid w:val="00D06E21"/>
    <w:rsid w:val="00D10445"/>
    <w:rsid w:val="00D10B7E"/>
    <w:rsid w:val="00D113FD"/>
    <w:rsid w:val="00D11534"/>
    <w:rsid w:val="00D1225E"/>
    <w:rsid w:val="00D127FB"/>
    <w:rsid w:val="00D138BC"/>
    <w:rsid w:val="00D13C13"/>
    <w:rsid w:val="00D14293"/>
    <w:rsid w:val="00D14F24"/>
    <w:rsid w:val="00D154A9"/>
    <w:rsid w:val="00D17273"/>
    <w:rsid w:val="00D17434"/>
    <w:rsid w:val="00D20D8A"/>
    <w:rsid w:val="00D20F79"/>
    <w:rsid w:val="00D2209E"/>
    <w:rsid w:val="00D223CB"/>
    <w:rsid w:val="00D226C5"/>
    <w:rsid w:val="00D227D7"/>
    <w:rsid w:val="00D247EE"/>
    <w:rsid w:val="00D249B0"/>
    <w:rsid w:val="00D26547"/>
    <w:rsid w:val="00D2708B"/>
    <w:rsid w:val="00D3001C"/>
    <w:rsid w:val="00D3130C"/>
    <w:rsid w:val="00D3195A"/>
    <w:rsid w:val="00D32271"/>
    <w:rsid w:val="00D33F09"/>
    <w:rsid w:val="00D34211"/>
    <w:rsid w:val="00D3424C"/>
    <w:rsid w:val="00D3439E"/>
    <w:rsid w:val="00D34D71"/>
    <w:rsid w:val="00D34EBE"/>
    <w:rsid w:val="00D35884"/>
    <w:rsid w:val="00D3676F"/>
    <w:rsid w:val="00D37911"/>
    <w:rsid w:val="00D40119"/>
    <w:rsid w:val="00D4063B"/>
    <w:rsid w:val="00D40BC5"/>
    <w:rsid w:val="00D41E98"/>
    <w:rsid w:val="00D422B1"/>
    <w:rsid w:val="00D42DEF"/>
    <w:rsid w:val="00D43157"/>
    <w:rsid w:val="00D433ED"/>
    <w:rsid w:val="00D439AB"/>
    <w:rsid w:val="00D43B3B"/>
    <w:rsid w:val="00D50B61"/>
    <w:rsid w:val="00D51035"/>
    <w:rsid w:val="00D51906"/>
    <w:rsid w:val="00D52C7D"/>
    <w:rsid w:val="00D54D60"/>
    <w:rsid w:val="00D555B3"/>
    <w:rsid w:val="00D557CE"/>
    <w:rsid w:val="00D56569"/>
    <w:rsid w:val="00D56795"/>
    <w:rsid w:val="00D6019F"/>
    <w:rsid w:val="00D60B9B"/>
    <w:rsid w:val="00D61439"/>
    <w:rsid w:val="00D62A3F"/>
    <w:rsid w:val="00D65937"/>
    <w:rsid w:val="00D65CB5"/>
    <w:rsid w:val="00D65D9D"/>
    <w:rsid w:val="00D70A74"/>
    <w:rsid w:val="00D718DA"/>
    <w:rsid w:val="00D71AA8"/>
    <w:rsid w:val="00D71D9F"/>
    <w:rsid w:val="00D72306"/>
    <w:rsid w:val="00D72337"/>
    <w:rsid w:val="00D73499"/>
    <w:rsid w:val="00D73706"/>
    <w:rsid w:val="00D741D9"/>
    <w:rsid w:val="00D74723"/>
    <w:rsid w:val="00D76D1F"/>
    <w:rsid w:val="00D76E90"/>
    <w:rsid w:val="00D77BA9"/>
    <w:rsid w:val="00D81F5D"/>
    <w:rsid w:val="00D820EE"/>
    <w:rsid w:val="00D824AB"/>
    <w:rsid w:val="00D82CC2"/>
    <w:rsid w:val="00D832DA"/>
    <w:rsid w:val="00D83B9C"/>
    <w:rsid w:val="00D8526E"/>
    <w:rsid w:val="00D861F0"/>
    <w:rsid w:val="00D86C19"/>
    <w:rsid w:val="00D86DB4"/>
    <w:rsid w:val="00D90B32"/>
    <w:rsid w:val="00D91CF4"/>
    <w:rsid w:val="00D93245"/>
    <w:rsid w:val="00D94222"/>
    <w:rsid w:val="00D95428"/>
    <w:rsid w:val="00D95A19"/>
    <w:rsid w:val="00D95C0F"/>
    <w:rsid w:val="00D967EA"/>
    <w:rsid w:val="00DA21F7"/>
    <w:rsid w:val="00DA22CF"/>
    <w:rsid w:val="00DA25C3"/>
    <w:rsid w:val="00DA26FB"/>
    <w:rsid w:val="00DA2887"/>
    <w:rsid w:val="00DA3070"/>
    <w:rsid w:val="00DA3B8A"/>
    <w:rsid w:val="00DA5904"/>
    <w:rsid w:val="00DA5B83"/>
    <w:rsid w:val="00DA67D2"/>
    <w:rsid w:val="00DA69A0"/>
    <w:rsid w:val="00DA7446"/>
    <w:rsid w:val="00DA7569"/>
    <w:rsid w:val="00DB15A6"/>
    <w:rsid w:val="00DB1912"/>
    <w:rsid w:val="00DB20F7"/>
    <w:rsid w:val="00DB2624"/>
    <w:rsid w:val="00DB3B1E"/>
    <w:rsid w:val="00DB3CCC"/>
    <w:rsid w:val="00DB4CAD"/>
    <w:rsid w:val="00DB4FDA"/>
    <w:rsid w:val="00DB5203"/>
    <w:rsid w:val="00DB533C"/>
    <w:rsid w:val="00DB5EF4"/>
    <w:rsid w:val="00DB6119"/>
    <w:rsid w:val="00DB62F6"/>
    <w:rsid w:val="00DB722D"/>
    <w:rsid w:val="00DC1C90"/>
    <w:rsid w:val="00DC2406"/>
    <w:rsid w:val="00DC2CA4"/>
    <w:rsid w:val="00DC2CC3"/>
    <w:rsid w:val="00DC4574"/>
    <w:rsid w:val="00DC6D3D"/>
    <w:rsid w:val="00DC7B00"/>
    <w:rsid w:val="00DD2112"/>
    <w:rsid w:val="00DD28B3"/>
    <w:rsid w:val="00DD2E47"/>
    <w:rsid w:val="00DD32A7"/>
    <w:rsid w:val="00DD345E"/>
    <w:rsid w:val="00DD3EF1"/>
    <w:rsid w:val="00DD4DD8"/>
    <w:rsid w:val="00DD7193"/>
    <w:rsid w:val="00DD75A2"/>
    <w:rsid w:val="00DD78C6"/>
    <w:rsid w:val="00DE027F"/>
    <w:rsid w:val="00DE03CF"/>
    <w:rsid w:val="00DE1A49"/>
    <w:rsid w:val="00DE1E69"/>
    <w:rsid w:val="00DE3137"/>
    <w:rsid w:val="00DE340C"/>
    <w:rsid w:val="00DE3ED3"/>
    <w:rsid w:val="00DE444B"/>
    <w:rsid w:val="00DE4767"/>
    <w:rsid w:val="00DE4C1F"/>
    <w:rsid w:val="00DE5495"/>
    <w:rsid w:val="00DE623D"/>
    <w:rsid w:val="00DE6365"/>
    <w:rsid w:val="00DE689A"/>
    <w:rsid w:val="00DE68ED"/>
    <w:rsid w:val="00DE6F4C"/>
    <w:rsid w:val="00DF001F"/>
    <w:rsid w:val="00DF0B23"/>
    <w:rsid w:val="00DF1729"/>
    <w:rsid w:val="00DF1A6C"/>
    <w:rsid w:val="00DF28AF"/>
    <w:rsid w:val="00DF3FA4"/>
    <w:rsid w:val="00DF49AF"/>
    <w:rsid w:val="00DF4A3D"/>
    <w:rsid w:val="00DF4D70"/>
    <w:rsid w:val="00DF57C8"/>
    <w:rsid w:val="00DF6297"/>
    <w:rsid w:val="00DF6305"/>
    <w:rsid w:val="00DF6873"/>
    <w:rsid w:val="00DF6B92"/>
    <w:rsid w:val="00DF7C4F"/>
    <w:rsid w:val="00E00140"/>
    <w:rsid w:val="00E00F5B"/>
    <w:rsid w:val="00E01C62"/>
    <w:rsid w:val="00E01E61"/>
    <w:rsid w:val="00E024DF"/>
    <w:rsid w:val="00E02924"/>
    <w:rsid w:val="00E038E7"/>
    <w:rsid w:val="00E03B52"/>
    <w:rsid w:val="00E0463D"/>
    <w:rsid w:val="00E04A15"/>
    <w:rsid w:val="00E06674"/>
    <w:rsid w:val="00E06D16"/>
    <w:rsid w:val="00E0717F"/>
    <w:rsid w:val="00E074CA"/>
    <w:rsid w:val="00E07A6B"/>
    <w:rsid w:val="00E106EA"/>
    <w:rsid w:val="00E1335C"/>
    <w:rsid w:val="00E134BE"/>
    <w:rsid w:val="00E138AA"/>
    <w:rsid w:val="00E20C40"/>
    <w:rsid w:val="00E20FA1"/>
    <w:rsid w:val="00E22429"/>
    <w:rsid w:val="00E24CAA"/>
    <w:rsid w:val="00E2595B"/>
    <w:rsid w:val="00E2732D"/>
    <w:rsid w:val="00E302B5"/>
    <w:rsid w:val="00E317E4"/>
    <w:rsid w:val="00E31D14"/>
    <w:rsid w:val="00E334CF"/>
    <w:rsid w:val="00E340E2"/>
    <w:rsid w:val="00E344F8"/>
    <w:rsid w:val="00E351BD"/>
    <w:rsid w:val="00E355BB"/>
    <w:rsid w:val="00E35A64"/>
    <w:rsid w:val="00E40051"/>
    <w:rsid w:val="00E402ED"/>
    <w:rsid w:val="00E41B1D"/>
    <w:rsid w:val="00E429E5"/>
    <w:rsid w:val="00E42E01"/>
    <w:rsid w:val="00E42F6F"/>
    <w:rsid w:val="00E43C1F"/>
    <w:rsid w:val="00E44440"/>
    <w:rsid w:val="00E46572"/>
    <w:rsid w:val="00E4744D"/>
    <w:rsid w:val="00E47738"/>
    <w:rsid w:val="00E47E9E"/>
    <w:rsid w:val="00E50518"/>
    <w:rsid w:val="00E51E3E"/>
    <w:rsid w:val="00E53D3E"/>
    <w:rsid w:val="00E53E69"/>
    <w:rsid w:val="00E559E5"/>
    <w:rsid w:val="00E5632D"/>
    <w:rsid w:val="00E57038"/>
    <w:rsid w:val="00E574FE"/>
    <w:rsid w:val="00E57EDA"/>
    <w:rsid w:val="00E605FA"/>
    <w:rsid w:val="00E608F6"/>
    <w:rsid w:val="00E612B1"/>
    <w:rsid w:val="00E61C2A"/>
    <w:rsid w:val="00E61F4C"/>
    <w:rsid w:val="00E62160"/>
    <w:rsid w:val="00E62388"/>
    <w:rsid w:val="00E634BE"/>
    <w:rsid w:val="00E640A6"/>
    <w:rsid w:val="00E643A6"/>
    <w:rsid w:val="00E64D40"/>
    <w:rsid w:val="00E65DC5"/>
    <w:rsid w:val="00E65FB5"/>
    <w:rsid w:val="00E66693"/>
    <w:rsid w:val="00E670F1"/>
    <w:rsid w:val="00E70323"/>
    <w:rsid w:val="00E73967"/>
    <w:rsid w:val="00E73E6D"/>
    <w:rsid w:val="00E74C8E"/>
    <w:rsid w:val="00E74E04"/>
    <w:rsid w:val="00E75961"/>
    <w:rsid w:val="00E76551"/>
    <w:rsid w:val="00E771C4"/>
    <w:rsid w:val="00E7776B"/>
    <w:rsid w:val="00E80961"/>
    <w:rsid w:val="00E825C7"/>
    <w:rsid w:val="00E83666"/>
    <w:rsid w:val="00E83693"/>
    <w:rsid w:val="00E8400B"/>
    <w:rsid w:val="00E8465A"/>
    <w:rsid w:val="00E90742"/>
    <w:rsid w:val="00E9096E"/>
    <w:rsid w:val="00E90D5B"/>
    <w:rsid w:val="00E90FC6"/>
    <w:rsid w:val="00E92691"/>
    <w:rsid w:val="00E92A4B"/>
    <w:rsid w:val="00E947E8"/>
    <w:rsid w:val="00E9498A"/>
    <w:rsid w:val="00E959B6"/>
    <w:rsid w:val="00E95C09"/>
    <w:rsid w:val="00EA0571"/>
    <w:rsid w:val="00EA0AF3"/>
    <w:rsid w:val="00EA14F0"/>
    <w:rsid w:val="00EA29E0"/>
    <w:rsid w:val="00EA29F5"/>
    <w:rsid w:val="00EA3AC1"/>
    <w:rsid w:val="00EA4FCB"/>
    <w:rsid w:val="00EA5888"/>
    <w:rsid w:val="00EA5E29"/>
    <w:rsid w:val="00EA61A2"/>
    <w:rsid w:val="00EA6594"/>
    <w:rsid w:val="00EA6E4E"/>
    <w:rsid w:val="00EB0A03"/>
    <w:rsid w:val="00EB49FB"/>
    <w:rsid w:val="00EB57FC"/>
    <w:rsid w:val="00EB585C"/>
    <w:rsid w:val="00EB600E"/>
    <w:rsid w:val="00EB6CB8"/>
    <w:rsid w:val="00EB7909"/>
    <w:rsid w:val="00EC0372"/>
    <w:rsid w:val="00EC037B"/>
    <w:rsid w:val="00EC1A62"/>
    <w:rsid w:val="00EC240B"/>
    <w:rsid w:val="00EC4491"/>
    <w:rsid w:val="00EC44C1"/>
    <w:rsid w:val="00EC53A6"/>
    <w:rsid w:val="00EC58BB"/>
    <w:rsid w:val="00EC6358"/>
    <w:rsid w:val="00EC6799"/>
    <w:rsid w:val="00EC6BA2"/>
    <w:rsid w:val="00EC6E6B"/>
    <w:rsid w:val="00EC700F"/>
    <w:rsid w:val="00EC7B3F"/>
    <w:rsid w:val="00ED045A"/>
    <w:rsid w:val="00ED2013"/>
    <w:rsid w:val="00ED21DC"/>
    <w:rsid w:val="00ED31CF"/>
    <w:rsid w:val="00ED3E69"/>
    <w:rsid w:val="00ED5DD4"/>
    <w:rsid w:val="00ED5F81"/>
    <w:rsid w:val="00ED635F"/>
    <w:rsid w:val="00ED7274"/>
    <w:rsid w:val="00ED7963"/>
    <w:rsid w:val="00EE076A"/>
    <w:rsid w:val="00EE0E1E"/>
    <w:rsid w:val="00EE1FF7"/>
    <w:rsid w:val="00EE54FC"/>
    <w:rsid w:val="00EE61EA"/>
    <w:rsid w:val="00EE6F57"/>
    <w:rsid w:val="00EE72EF"/>
    <w:rsid w:val="00EE7705"/>
    <w:rsid w:val="00EF0F06"/>
    <w:rsid w:val="00EF1C91"/>
    <w:rsid w:val="00EF2EF3"/>
    <w:rsid w:val="00EF4314"/>
    <w:rsid w:val="00EF47E8"/>
    <w:rsid w:val="00EF4A72"/>
    <w:rsid w:val="00EF4D9E"/>
    <w:rsid w:val="00EF4FB7"/>
    <w:rsid w:val="00EF519B"/>
    <w:rsid w:val="00EF6ED0"/>
    <w:rsid w:val="00EF7943"/>
    <w:rsid w:val="00EF7A51"/>
    <w:rsid w:val="00EF7F1C"/>
    <w:rsid w:val="00F01B8F"/>
    <w:rsid w:val="00F01C34"/>
    <w:rsid w:val="00F03AA5"/>
    <w:rsid w:val="00F05DF7"/>
    <w:rsid w:val="00F06F98"/>
    <w:rsid w:val="00F072CF"/>
    <w:rsid w:val="00F075A4"/>
    <w:rsid w:val="00F07DD2"/>
    <w:rsid w:val="00F11BE3"/>
    <w:rsid w:val="00F14168"/>
    <w:rsid w:val="00F14D50"/>
    <w:rsid w:val="00F15D4F"/>
    <w:rsid w:val="00F17A47"/>
    <w:rsid w:val="00F17C9C"/>
    <w:rsid w:val="00F20135"/>
    <w:rsid w:val="00F20FBB"/>
    <w:rsid w:val="00F21FD6"/>
    <w:rsid w:val="00F221E2"/>
    <w:rsid w:val="00F22C78"/>
    <w:rsid w:val="00F22E1F"/>
    <w:rsid w:val="00F241D9"/>
    <w:rsid w:val="00F24971"/>
    <w:rsid w:val="00F2574A"/>
    <w:rsid w:val="00F26F39"/>
    <w:rsid w:val="00F305D9"/>
    <w:rsid w:val="00F31BC3"/>
    <w:rsid w:val="00F32069"/>
    <w:rsid w:val="00F33151"/>
    <w:rsid w:val="00F35362"/>
    <w:rsid w:val="00F358F9"/>
    <w:rsid w:val="00F36877"/>
    <w:rsid w:val="00F402F1"/>
    <w:rsid w:val="00F40770"/>
    <w:rsid w:val="00F40AD9"/>
    <w:rsid w:val="00F422D4"/>
    <w:rsid w:val="00F42B76"/>
    <w:rsid w:val="00F4307B"/>
    <w:rsid w:val="00F43761"/>
    <w:rsid w:val="00F453AF"/>
    <w:rsid w:val="00F46984"/>
    <w:rsid w:val="00F46F07"/>
    <w:rsid w:val="00F47639"/>
    <w:rsid w:val="00F476CD"/>
    <w:rsid w:val="00F47B98"/>
    <w:rsid w:val="00F506A8"/>
    <w:rsid w:val="00F5079B"/>
    <w:rsid w:val="00F50B30"/>
    <w:rsid w:val="00F517B1"/>
    <w:rsid w:val="00F51860"/>
    <w:rsid w:val="00F526AB"/>
    <w:rsid w:val="00F53F6E"/>
    <w:rsid w:val="00F546F3"/>
    <w:rsid w:val="00F5520B"/>
    <w:rsid w:val="00F5525A"/>
    <w:rsid w:val="00F55E66"/>
    <w:rsid w:val="00F55F5C"/>
    <w:rsid w:val="00F57849"/>
    <w:rsid w:val="00F601EE"/>
    <w:rsid w:val="00F604A6"/>
    <w:rsid w:val="00F62023"/>
    <w:rsid w:val="00F62082"/>
    <w:rsid w:val="00F62726"/>
    <w:rsid w:val="00F6338E"/>
    <w:rsid w:val="00F635A2"/>
    <w:rsid w:val="00F63D43"/>
    <w:rsid w:val="00F65F2F"/>
    <w:rsid w:val="00F67C3F"/>
    <w:rsid w:val="00F70550"/>
    <w:rsid w:val="00F7097E"/>
    <w:rsid w:val="00F70BE4"/>
    <w:rsid w:val="00F71058"/>
    <w:rsid w:val="00F72FC8"/>
    <w:rsid w:val="00F733A7"/>
    <w:rsid w:val="00F733FC"/>
    <w:rsid w:val="00F7451A"/>
    <w:rsid w:val="00F76127"/>
    <w:rsid w:val="00F77759"/>
    <w:rsid w:val="00F8021E"/>
    <w:rsid w:val="00F80C44"/>
    <w:rsid w:val="00F813F0"/>
    <w:rsid w:val="00F815D0"/>
    <w:rsid w:val="00F83050"/>
    <w:rsid w:val="00F8382E"/>
    <w:rsid w:val="00F84D30"/>
    <w:rsid w:val="00F857FE"/>
    <w:rsid w:val="00F86110"/>
    <w:rsid w:val="00F908D3"/>
    <w:rsid w:val="00F91379"/>
    <w:rsid w:val="00F9249B"/>
    <w:rsid w:val="00F92A7D"/>
    <w:rsid w:val="00F92C61"/>
    <w:rsid w:val="00F969EF"/>
    <w:rsid w:val="00F97487"/>
    <w:rsid w:val="00F975BC"/>
    <w:rsid w:val="00F97690"/>
    <w:rsid w:val="00F976F6"/>
    <w:rsid w:val="00F97821"/>
    <w:rsid w:val="00FA257A"/>
    <w:rsid w:val="00FA27B8"/>
    <w:rsid w:val="00FA5099"/>
    <w:rsid w:val="00FA5323"/>
    <w:rsid w:val="00FA5353"/>
    <w:rsid w:val="00FA5C72"/>
    <w:rsid w:val="00FA5D12"/>
    <w:rsid w:val="00FA6B4C"/>
    <w:rsid w:val="00FA6BBF"/>
    <w:rsid w:val="00FA6D2F"/>
    <w:rsid w:val="00FA7725"/>
    <w:rsid w:val="00FB01A9"/>
    <w:rsid w:val="00FB069A"/>
    <w:rsid w:val="00FB1477"/>
    <w:rsid w:val="00FB17F4"/>
    <w:rsid w:val="00FB1A63"/>
    <w:rsid w:val="00FB2479"/>
    <w:rsid w:val="00FB2677"/>
    <w:rsid w:val="00FB2F79"/>
    <w:rsid w:val="00FB3E00"/>
    <w:rsid w:val="00FB5F76"/>
    <w:rsid w:val="00FB64DD"/>
    <w:rsid w:val="00FB764B"/>
    <w:rsid w:val="00FC0555"/>
    <w:rsid w:val="00FC0D73"/>
    <w:rsid w:val="00FC21F2"/>
    <w:rsid w:val="00FC2CC4"/>
    <w:rsid w:val="00FC35E8"/>
    <w:rsid w:val="00FC4221"/>
    <w:rsid w:val="00FC45FF"/>
    <w:rsid w:val="00FC65F4"/>
    <w:rsid w:val="00FC6B2E"/>
    <w:rsid w:val="00FC70A1"/>
    <w:rsid w:val="00FC74E2"/>
    <w:rsid w:val="00FD0ECA"/>
    <w:rsid w:val="00FD1434"/>
    <w:rsid w:val="00FD226E"/>
    <w:rsid w:val="00FD232C"/>
    <w:rsid w:val="00FD546C"/>
    <w:rsid w:val="00FD5ADF"/>
    <w:rsid w:val="00FD7100"/>
    <w:rsid w:val="00FD74D5"/>
    <w:rsid w:val="00FE0160"/>
    <w:rsid w:val="00FE03BF"/>
    <w:rsid w:val="00FE066A"/>
    <w:rsid w:val="00FE0CE5"/>
    <w:rsid w:val="00FE3E1C"/>
    <w:rsid w:val="00FE40EE"/>
    <w:rsid w:val="00FE49FC"/>
    <w:rsid w:val="00FE4F31"/>
    <w:rsid w:val="00FE5258"/>
    <w:rsid w:val="00FE5355"/>
    <w:rsid w:val="00FE5870"/>
    <w:rsid w:val="00FE5924"/>
    <w:rsid w:val="00FE6426"/>
    <w:rsid w:val="00FE650F"/>
    <w:rsid w:val="00FE6514"/>
    <w:rsid w:val="00FE7641"/>
    <w:rsid w:val="00FE7FAE"/>
    <w:rsid w:val="00FF0102"/>
    <w:rsid w:val="00FF0344"/>
    <w:rsid w:val="00FF153D"/>
    <w:rsid w:val="00FF19A4"/>
    <w:rsid w:val="00FF212E"/>
    <w:rsid w:val="00FF2BE2"/>
    <w:rsid w:val="00FF501A"/>
    <w:rsid w:val="00FF5965"/>
    <w:rsid w:val="00FF690F"/>
    <w:rsid w:val="00FF6992"/>
    <w:rsid w:val="00FF7AFF"/>
    <w:rsid w:val="00FF7D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caption" w:semiHidden="0" w:unhideWhenUsed="0"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C23"/>
    <w:rPr>
      <w:sz w:val="24"/>
      <w:szCs w:val="24"/>
    </w:rPr>
  </w:style>
  <w:style w:type="paragraph" w:styleId="Heading1">
    <w:name w:val="heading 1"/>
    <w:next w:val="Heading2"/>
    <w:qFormat/>
    <w:rsid w:val="00F72FC8"/>
    <w:pPr>
      <w:keepNext/>
      <w:keepLines/>
      <w:spacing w:line="260" w:lineRule="atLeast"/>
      <w:ind w:left="1134" w:hanging="1134"/>
      <w:outlineLvl w:val="0"/>
    </w:pPr>
    <w:rPr>
      <w:b/>
      <w:bCs/>
      <w:kern w:val="28"/>
      <w:sz w:val="36"/>
      <w:szCs w:val="32"/>
    </w:rPr>
  </w:style>
  <w:style w:type="paragraph" w:styleId="Heading2">
    <w:name w:val="heading 2"/>
    <w:basedOn w:val="Heading1"/>
    <w:next w:val="Heading3"/>
    <w:qFormat/>
    <w:rsid w:val="00F72FC8"/>
    <w:pPr>
      <w:spacing w:before="280"/>
      <w:outlineLvl w:val="1"/>
    </w:pPr>
    <w:rPr>
      <w:bCs w:val="0"/>
      <w:iCs/>
      <w:sz w:val="32"/>
      <w:szCs w:val="28"/>
    </w:rPr>
  </w:style>
  <w:style w:type="paragraph" w:styleId="Heading3">
    <w:name w:val="heading 3"/>
    <w:basedOn w:val="Heading1"/>
    <w:next w:val="Heading4"/>
    <w:qFormat/>
    <w:rsid w:val="00F72FC8"/>
    <w:pPr>
      <w:spacing w:before="240"/>
      <w:outlineLvl w:val="2"/>
    </w:pPr>
    <w:rPr>
      <w:bCs w:val="0"/>
      <w:sz w:val="28"/>
      <w:szCs w:val="26"/>
    </w:rPr>
  </w:style>
  <w:style w:type="paragraph" w:styleId="Heading4">
    <w:name w:val="heading 4"/>
    <w:basedOn w:val="Heading1"/>
    <w:next w:val="Heading5"/>
    <w:qFormat/>
    <w:rsid w:val="00F72FC8"/>
    <w:pPr>
      <w:spacing w:before="220"/>
      <w:outlineLvl w:val="3"/>
    </w:pPr>
    <w:rPr>
      <w:bCs w:val="0"/>
      <w:sz w:val="26"/>
      <w:szCs w:val="28"/>
    </w:rPr>
  </w:style>
  <w:style w:type="paragraph" w:styleId="Heading5">
    <w:name w:val="heading 5"/>
    <w:basedOn w:val="Heading1"/>
    <w:next w:val="subsection"/>
    <w:qFormat/>
    <w:rsid w:val="00F72FC8"/>
    <w:pPr>
      <w:spacing w:before="280"/>
      <w:outlineLvl w:val="4"/>
    </w:pPr>
    <w:rPr>
      <w:bCs w:val="0"/>
      <w:iCs/>
      <w:sz w:val="24"/>
      <w:szCs w:val="26"/>
    </w:rPr>
  </w:style>
  <w:style w:type="paragraph" w:styleId="Heading6">
    <w:name w:val="heading 6"/>
    <w:basedOn w:val="Heading1"/>
    <w:next w:val="Heading7"/>
    <w:qFormat/>
    <w:rsid w:val="00F72FC8"/>
    <w:pPr>
      <w:outlineLvl w:val="5"/>
    </w:pPr>
    <w:rPr>
      <w:rFonts w:ascii="Arial" w:hAnsi="Arial" w:cs="Arial"/>
      <w:bCs w:val="0"/>
      <w:sz w:val="32"/>
      <w:szCs w:val="22"/>
    </w:rPr>
  </w:style>
  <w:style w:type="paragraph" w:styleId="Heading7">
    <w:name w:val="heading 7"/>
    <w:basedOn w:val="Heading6"/>
    <w:next w:val="ItemHead"/>
    <w:qFormat/>
    <w:rsid w:val="00F72FC8"/>
    <w:pPr>
      <w:spacing w:before="280"/>
      <w:outlineLvl w:val="6"/>
    </w:pPr>
    <w:rPr>
      <w:sz w:val="28"/>
    </w:rPr>
  </w:style>
  <w:style w:type="paragraph" w:styleId="Heading8">
    <w:name w:val="heading 8"/>
    <w:basedOn w:val="Heading6"/>
    <w:next w:val="Normal"/>
    <w:qFormat/>
    <w:rsid w:val="00F72FC8"/>
    <w:pPr>
      <w:spacing w:before="240"/>
      <w:outlineLvl w:val="7"/>
    </w:pPr>
    <w:rPr>
      <w:iCs/>
      <w:sz w:val="26"/>
    </w:rPr>
  </w:style>
  <w:style w:type="paragraph" w:styleId="Heading9">
    <w:name w:val="heading 9"/>
    <w:basedOn w:val="Heading1"/>
    <w:next w:val="ItemHead"/>
    <w:qFormat/>
    <w:rsid w:val="00F72FC8"/>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s">
    <w:name w:val="Blocks"/>
    <w:aliases w:val="bb"/>
    <w:qFormat/>
    <w:rsid w:val="00F72FC8"/>
    <w:rPr>
      <w:sz w:val="24"/>
      <w:szCs w:val="24"/>
    </w:rPr>
  </w:style>
  <w:style w:type="paragraph" w:customStyle="1" w:styleId="BodyNum">
    <w:name w:val="BodyNum"/>
    <w:aliases w:val="b1"/>
    <w:basedOn w:val="Body"/>
    <w:link w:val="BodyNumChar"/>
    <w:rsid w:val="00A80292"/>
    <w:pPr>
      <w:numPr>
        <w:numId w:val="4"/>
      </w:numPr>
    </w:pPr>
  </w:style>
  <w:style w:type="paragraph" w:customStyle="1" w:styleId="BodyParaBullet">
    <w:name w:val="BodyParaBullet"/>
    <w:aliases w:val="bpb"/>
    <w:basedOn w:val="Body"/>
    <w:link w:val="BodyParaBulletChar"/>
    <w:rsid w:val="006B567E"/>
    <w:pPr>
      <w:tabs>
        <w:tab w:val="left" w:pos="2160"/>
      </w:tabs>
    </w:pPr>
    <w:rPr>
      <w:rFonts w:ascii="Times New Roman" w:hAnsi="Times New Roman"/>
      <w:sz w:val="18"/>
    </w:rPr>
  </w:style>
  <w:style w:type="paragraph" w:customStyle="1" w:styleId="Head1">
    <w:name w:val="Head 1"/>
    <w:aliases w:val="1"/>
    <w:basedOn w:val="Body"/>
    <w:next w:val="BodyNum"/>
    <w:rsid w:val="00F72FC8"/>
    <w:pPr>
      <w:keepNext/>
      <w:spacing w:after="60"/>
      <w:outlineLvl w:val="0"/>
    </w:pPr>
    <w:rPr>
      <w:rFonts w:cs="Arial"/>
      <w:b/>
      <w:color w:val="0000FF"/>
      <w:kern w:val="28"/>
      <w:sz w:val="36"/>
      <w:szCs w:val="36"/>
    </w:rPr>
  </w:style>
  <w:style w:type="paragraph" w:customStyle="1" w:styleId="Head3">
    <w:name w:val="Head 3"/>
    <w:aliases w:val="3"/>
    <w:basedOn w:val="Head2"/>
    <w:next w:val="BodyNum"/>
    <w:rsid w:val="00F72FC8"/>
    <w:pPr>
      <w:spacing w:before="240" w:line="300" w:lineRule="exact"/>
      <w:outlineLvl w:val="2"/>
    </w:pPr>
    <w:rPr>
      <w:i/>
      <w:sz w:val="26"/>
    </w:rPr>
  </w:style>
  <w:style w:type="paragraph" w:customStyle="1" w:styleId="Head5">
    <w:name w:val="Head 5"/>
    <w:aliases w:val="5"/>
    <w:basedOn w:val="Head4"/>
    <w:next w:val="BodyNum"/>
    <w:rsid w:val="00F72FC8"/>
    <w:pPr>
      <w:outlineLvl w:val="4"/>
    </w:pPr>
    <w:rPr>
      <w:i/>
    </w:rPr>
  </w:style>
  <w:style w:type="paragraph" w:customStyle="1" w:styleId="Body">
    <w:name w:val="Body"/>
    <w:aliases w:val="b"/>
    <w:link w:val="BodyChar"/>
    <w:rsid w:val="00F72FC8"/>
    <w:pPr>
      <w:spacing w:before="240" w:line="300" w:lineRule="exact"/>
    </w:pPr>
    <w:rPr>
      <w:rFonts w:ascii="Arial" w:hAnsi="Arial"/>
      <w:szCs w:val="24"/>
    </w:rPr>
  </w:style>
  <w:style w:type="paragraph" w:customStyle="1" w:styleId="BodyPara">
    <w:name w:val="BodyPara"/>
    <w:aliases w:val="ba"/>
    <w:basedOn w:val="Body"/>
    <w:rsid w:val="00893AED"/>
    <w:pPr>
      <w:tabs>
        <w:tab w:val="left" w:pos="567"/>
      </w:tabs>
    </w:pPr>
  </w:style>
  <w:style w:type="paragraph" w:customStyle="1" w:styleId="Head2">
    <w:name w:val="Head 2"/>
    <w:aliases w:val="2"/>
    <w:basedOn w:val="Head1"/>
    <w:next w:val="BodyNum"/>
    <w:rsid w:val="00F72FC8"/>
    <w:pPr>
      <w:spacing w:before="60" w:line="240" w:lineRule="auto"/>
      <w:outlineLvl w:val="1"/>
    </w:pPr>
    <w:rPr>
      <w:sz w:val="28"/>
    </w:rPr>
  </w:style>
  <w:style w:type="paragraph" w:customStyle="1" w:styleId="Head4">
    <w:name w:val="Head 4"/>
    <w:aliases w:val="4"/>
    <w:basedOn w:val="Head3"/>
    <w:next w:val="BodyNum"/>
    <w:rsid w:val="00F72FC8"/>
    <w:pPr>
      <w:outlineLvl w:val="3"/>
    </w:pPr>
    <w:rPr>
      <w:i w:val="0"/>
      <w:sz w:val="22"/>
    </w:rPr>
  </w:style>
  <w:style w:type="paragraph" w:customStyle="1" w:styleId="Tabletext">
    <w:name w:val="Tabletext"/>
    <w:aliases w:val="tt"/>
    <w:rsid w:val="00F72FC8"/>
    <w:pPr>
      <w:spacing w:before="240" w:line="240" w:lineRule="atLeast"/>
    </w:pPr>
    <w:rPr>
      <w:rFonts w:ascii="Arial" w:hAnsi="Arial"/>
      <w:szCs w:val="24"/>
    </w:rPr>
  </w:style>
  <w:style w:type="paragraph" w:styleId="BalloonText">
    <w:name w:val="Balloon Text"/>
    <w:rsid w:val="00F72FC8"/>
    <w:rPr>
      <w:rFonts w:ascii="Tahoma" w:hAnsi="Tahoma" w:cs="Tahoma"/>
      <w:sz w:val="16"/>
      <w:szCs w:val="16"/>
    </w:rPr>
  </w:style>
  <w:style w:type="paragraph" w:styleId="BlockText">
    <w:name w:val="Block Text"/>
    <w:rsid w:val="00F72FC8"/>
    <w:pPr>
      <w:spacing w:after="120"/>
      <w:ind w:left="1440" w:right="1440"/>
    </w:pPr>
    <w:rPr>
      <w:sz w:val="24"/>
      <w:szCs w:val="24"/>
    </w:rPr>
  </w:style>
  <w:style w:type="paragraph" w:styleId="BodyText">
    <w:name w:val="Body Text"/>
    <w:rsid w:val="00F72FC8"/>
    <w:pPr>
      <w:spacing w:after="120"/>
    </w:pPr>
    <w:rPr>
      <w:sz w:val="24"/>
      <w:szCs w:val="24"/>
    </w:rPr>
  </w:style>
  <w:style w:type="paragraph" w:styleId="BodyText2">
    <w:name w:val="Body Text 2"/>
    <w:rsid w:val="00F72FC8"/>
    <w:pPr>
      <w:spacing w:after="120" w:line="480" w:lineRule="auto"/>
    </w:pPr>
    <w:rPr>
      <w:sz w:val="24"/>
      <w:szCs w:val="24"/>
    </w:rPr>
  </w:style>
  <w:style w:type="paragraph" w:styleId="BodyText3">
    <w:name w:val="Body Text 3"/>
    <w:rsid w:val="00F72FC8"/>
    <w:pPr>
      <w:spacing w:after="120"/>
    </w:pPr>
    <w:rPr>
      <w:sz w:val="16"/>
      <w:szCs w:val="16"/>
    </w:rPr>
  </w:style>
  <w:style w:type="paragraph" w:styleId="BodyTextFirstIndent">
    <w:name w:val="Body Text First Indent"/>
    <w:rsid w:val="00F72FC8"/>
    <w:pPr>
      <w:spacing w:after="120"/>
      <w:ind w:firstLine="210"/>
    </w:pPr>
    <w:rPr>
      <w:sz w:val="24"/>
      <w:szCs w:val="24"/>
    </w:rPr>
  </w:style>
  <w:style w:type="paragraph" w:styleId="BodyTextIndent">
    <w:name w:val="Body Text Indent"/>
    <w:rsid w:val="00F72FC8"/>
    <w:pPr>
      <w:spacing w:after="120"/>
      <w:ind w:left="283"/>
    </w:pPr>
    <w:rPr>
      <w:sz w:val="24"/>
      <w:szCs w:val="24"/>
    </w:rPr>
  </w:style>
  <w:style w:type="paragraph" w:styleId="BodyTextFirstIndent2">
    <w:name w:val="Body Text First Indent 2"/>
    <w:rsid w:val="00F72FC8"/>
    <w:pPr>
      <w:spacing w:after="120"/>
      <w:ind w:left="283" w:firstLine="210"/>
    </w:pPr>
    <w:rPr>
      <w:sz w:val="24"/>
      <w:szCs w:val="24"/>
    </w:rPr>
  </w:style>
  <w:style w:type="paragraph" w:styleId="BodyTextIndent2">
    <w:name w:val="Body Text Indent 2"/>
    <w:rsid w:val="00F72FC8"/>
    <w:pPr>
      <w:spacing w:after="120" w:line="480" w:lineRule="auto"/>
      <w:ind w:left="283"/>
    </w:pPr>
    <w:rPr>
      <w:sz w:val="24"/>
      <w:szCs w:val="24"/>
    </w:rPr>
  </w:style>
  <w:style w:type="paragraph" w:styleId="BodyTextIndent3">
    <w:name w:val="Body Text Indent 3"/>
    <w:rsid w:val="00F72FC8"/>
    <w:pPr>
      <w:spacing w:after="120"/>
      <w:ind w:left="283"/>
    </w:pPr>
    <w:rPr>
      <w:sz w:val="16"/>
      <w:szCs w:val="16"/>
    </w:rPr>
  </w:style>
  <w:style w:type="paragraph" w:styleId="Caption">
    <w:name w:val="caption"/>
    <w:next w:val="Normal"/>
    <w:qFormat/>
    <w:rsid w:val="00F72FC8"/>
    <w:pPr>
      <w:spacing w:before="120" w:after="120"/>
    </w:pPr>
    <w:rPr>
      <w:b/>
      <w:bCs/>
    </w:rPr>
  </w:style>
  <w:style w:type="paragraph" w:styleId="Closing">
    <w:name w:val="Closing"/>
    <w:rsid w:val="00F72FC8"/>
    <w:pPr>
      <w:ind w:left="4252"/>
    </w:pPr>
    <w:rPr>
      <w:sz w:val="24"/>
      <w:szCs w:val="24"/>
    </w:rPr>
  </w:style>
  <w:style w:type="paragraph" w:styleId="CommentText">
    <w:name w:val="annotation text"/>
    <w:rsid w:val="00F72FC8"/>
  </w:style>
  <w:style w:type="paragraph" w:styleId="Date">
    <w:name w:val="Date"/>
    <w:next w:val="Normal"/>
    <w:rsid w:val="00F72FC8"/>
    <w:rPr>
      <w:sz w:val="24"/>
      <w:szCs w:val="24"/>
    </w:rPr>
  </w:style>
  <w:style w:type="paragraph" w:styleId="DocumentMap">
    <w:name w:val="Document Map"/>
    <w:rsid w:val="00F72FC8"/>
    <w:pPr>
      <w:shd w:val="clear" w:color="auto" w:fill="000080"/>
    </w:pPr>
    <w:rPr>
      <w:rFonts w:ascii="Tahoma" w:hAnsi="Tahoma" w:cs="Tahoma"/>
      <w:sz w:val="24"/>
      <w:szCs w:val="24"/>
    </w:rPr>
  </w:style>
  <w:style w:type="paragraph" w:styleId="E-mailSignature">
    <w:name w:val="E-mail Signature"/>
    <w:rsid w:val="00F72FC8"/>
    <w:rPr>
      <w:sz w:val="24"/>
      <w:szCs w:val="24"/>
    </w:rPr>
  </w:style>
  <w:style w:type="paragraph" w:styleId="EndnoteText">
    <w:name w:val="endnote text"/>
    <w:rsid w:val="00F72FC8"/>
  </w:style>
  <w:style w:type="paragraph" w:styleId="EnvelopeAddress">
    <w:name w:val="envelope address"/>
    <w:rsid w:val="00F72FC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72FC8"/>
    <w:rPr>
      <w:rFonts w:ascii="Arial" w:hAnsi="Arial" w:cs="Arial"/>
    </w:rPr>
  </w:style>
  <w:style w:type="paragraph" w:styleId="Footer">
    <w:name w:val="footer"/>
    <w:link w:val="FooterChar"/>
    <w:rsid w:val="00F72FC8"/>
    <w:pPr>
      <w:tabs>
        <w:tab w:val="center" w:pos="4153"/>
        <w:tab w:val="center" w:pos="4320"/>
        <w:tab w:val="right" w:pos="8306"/>
        <w:tab w:val="right" w:pos="8640"/>
      </w:tabs>
    </w:pPr>
    <w:rPr>
      <w:sz w:val="24"/>
      <w:szCs w:val="24"/>
    </w:rPr>
  </w:style>
  <w:style w:type="paragraph" w:styleId="FootnoteText">
    <w:name w:val="footnote text"/>
    <w:rsid w:val="00F72FC8"/>
  </w:style>
  <w:style w:type="paragraph" w:styleId="Header">
    <w:name w:val="header"/>
    <w:link w:val="HeaderChar"/>
    <w:rsid w:val="00F72FC8"/>
    <w:pPr>
      <w:tabs>
        <w:tab w:val="center" w:pos="4153"/>
        <w:tab w:val="center" w:pos="4320"/>
        <w:tab w:val="right" w:pos="8306"/>
        <w:tab w:val="right" w:pos="8640"/>
      </w:tabs>
    </w:pPr>
    <w:rPr>
      <w:rFonts w:ascii="Arial" w:hAnsi="Arial"/>
      <w:color w:val="0000FF"/>
    </w:rPr>
  </w:style>
  <w:style w:type="paragraph" w:styleId="HTMLAddress">
    <w:name w:val="HTML Address"/>
    <w:rsid w:val="00F72FC8"/>
    <w:rPr>
      <w:i/>
      <w:iCs/>
      <w:sz w:val="24"/>
      <w:szCs w:val="24"/>
    </w:rPr>
  </w:style>
  <w:style w:type="paragraph" w:styleId="HTMLPreformatted">
    <w:name w:val="HTML Preformatted"/>
    <w:rsid w:val="00F72FC8"/>
    <w:rPr>
      <w:rFonts w:ascii="Courier New" w:hAnsi="Courier New" w:cs="Courier New"/>
    </w:rPr>
  </w:style>
  <w:style w:type="paragraph" w:styleId="Index1">
    <w:name w:val="index 1"/>
    <w:next w:val="Normal"/>
    <w:rsid w:val="00F72FC8"/>
    <w:pPr>
      <w:ind w:left="240" w:hanging="240"/>
    </w:pPr>
    <w:rPr>
      <w:sz w:val="24"/>
      <w:szCs w:val="24"/>
    </w:rPr>
  </w:style>
  <w:style w:type="paragraph" w:styleId="Index2">
    <w:name w:val="index 2"/>
    <w:next w:val="Normal"/>
    <w:rsid w:val="00F72FC8"/>
    <w:pPr>
      <w:ind w:left="480" w:hanging="240"/>
    </w:pPr>
    <w:rPr>
      <w:sz w:val="24"/>
      <w:szCs w:val="24"/>
    </w:rPr>
  </w:style>
  <w:style w:type="paragraph" w:styleId="Index3">
    <w:name w:val="index 3"/>
    <w:next w:val="Normal"/>
    <w:rsid w:val="00F72FC8"/>
    <w:pPr>
      <w:ind w:left="720" w:hanging="240"/>
    </w:pPr>
    <w:rPr>
      <w:sz w:val="24"/>
      <w:szCs w:val="24"/>
    </w:rPr>
  </w:style>
  <w:style w:type="paragraph" w:styleId="Index4">
    <w:name w:val="index 4"/>
    <w:next w:val="Normal"/>
    <w:rsid w:val="00F72FC8"/>
    <w:pPr>
      <w:ind w:left="960" w:hanging="240"/>
    </w:pPr>
    <w:rPr>
      <w:sz w:val="24"/>
      <w:szCs w:val="24"/>
    </w:rPr>
  </w:style>
  <w:style w:type="paragraph" w:styleId="Index5">
    <w:name w:val="index 5"/>
    <w:next w:val="Normal"/>
    <w:rsid w:val="00F72FC8"/>
    <w:pPr>
      <w:ind w:left="1200" w:hanging="240"/>
    </w:pPr>
    <w:rPr>
      <w:sz w:val="24"/>
      <w:szCs w:val="24"/>
    </w:rPr>
  </w:style>
  <w:style w:type="paragraph" w:styleId="Index6">
    <w:name w:val="index 6"/>
    <w:next w:val="Normal"/>
    <w:rsid w:val="00F72FC8"/>
    <w:pPr>
      <w:ind w:left="1440" w:hanging="240"/>
    </w:pPr>
    <w:rPr>
      <w:sz w:val="24"/>
      <w:szCs w:val="24"/>
    </w:rPr>
  </w:style>
  <w:style w:type="paragraph" w:styleId="Index7">
    <w:name w:val="index 7"/>
    <w:next w:val="Normal"/>
    <w:rsid w:val="00F72FC8"/>
    <w:pPr>
      <w:ind w:left="1680" w:hanging="240"/>
    </w:pPr>
    <w:rPr>
      <w:sz w:val="24"/>
      <w:szCs w:val="24"/>
    </w:rPr>
  </w:style>
  <w:style w:type="paragraph" w:styleId="Index8">
    <w:name w:val="index 8"/>
    <w:next w:val="Normal"/>
    <w:rsid w:val="00F72FC8"/>
    <w:pPr>
      <w:ind w:left="1920" w:hanging="240"/>
    </w:pPr>
    <w:rPr>
      <w:sz w:val="24"/>
      <w:szCs w:val="24"/>
    </w:rPr>
  </w:style>
  <w:style w:type="paragraph" w:styleId="Index9">
    <w:name w:val="index 9"/>
    <w:next w:val="Normal"/>
    <w:rsid w:val="00F72FC8"/>
    <w:pPr>
      <w:ind w:left="2160" w:hanging="240"/>
    </w:pPr>
    <w:rPr>
      <w:sz w:val="24"/>
      <w:szCs w:val="24"/>
    </w:rPr>
  </w:style>
  <w:style w:type="paragraph" w:styleId="IndexHeading">
    <w:name w:val="index heading"/>
    <w:next w:val="Index1"/>
    <w:rsid w:val="00F72FC8"/>
    <w:rPr>
      <w:rFonts w:ascii="Arial" w:hAnsi="Arial" w:cs="Arial"/>
      <w:b/>
      <w:bCs/>
      <w:sz w:val="24"/>
      <w:szCs w:val="24"/>
    </w:rPr>
  </w:style>
  <w:style w:type="paragraph" w:styleId="List">
    <w:name w:val="List"/>
    <w:rsid w:val="00F72FC8"/>
    <w:pPr>
      <w:ind w:left="283" w:hanging="283"/>
    </w:pPr>
    <w:rPr>
      <w:sz w:val="24"/>
      <w:szCs w:val="24"/>
    </w:rPr>
  </w:style>
  <w:style w:type="paragraph" w:styleId="List2">
    <w:name w:val="List 2"/>
    <w:rsid w:val="00F72FC8"/>
    <w:pPr>
      <w:ind w:left="566" w:hanging="283"/>
    </w:pPr>
    <w:rPr>
      <w:sz w:val="24"/>
      <w:szCs w:val="24"/>
    </w:rPr>
  </w:style>
  <w:style w:type="paragraph" w:styleId="List3">
    <w:name w:val="List 3"/>
    <w:rsid w:val="00F72FC8"/>
    <w:pPr>
      <w:ind w:left="849" w:hanging="283"/>
    </w:pPr>
    <w:rPr>
      <w:sz w:val="24"/>
      <w:szCs w:val="24"/>
    </w:rPr>
  </w:style>
  <w:style w:type="paragraph" w:styleId="List4">
    <w:name w:val="List 4"/>
    <w:rsid w:val="00F72FC8"/>
    <w:pPr>
      <w:ind w:left="1132" w:hanging="283"/>
    </w:pPr>
    <w:rPr>
      <w:sz w:val="24"/>
      <w:szCs w:val="24"/>
    </w:rPr>
  </w:style>
  <w:style w:type="paragraph" w:styleId="List5">
    <w:name w:val="List 5"/>
    <w:rsid w:val="00F72FC8"/>
    <w:pPr>
      <w:ind w:left="1415" w:hanging="283"/>
    </w:pPr>
    <w:rPr>
      <w:sz w:val="24"/>
      <w:szCs w:val="24"/>
    </w:rPr>
  </w:style>
  <w:style w:type="paragraph" w:styleId="ListBullet">
    <w:name w:val="List Bullet"/>
    <w:rsid w:val="00893AED"/>
    <w:rPr>
      <w:sz w:val="24"/>
      <w:szCs w:val="24"/>
    </w:rPr>
  </w:style>
  <w:style w:type="paragraph" w:styleId="ListBullet2">
    <w:name w:val="List Bullet 2"/>
    <w:rsid w:val="00893AED"/>
    <w:rPr>
      <w:sz w:val="24"/>
      <w:szCs w:val="24"/>
    </w:rPr>
  </w:style>
  <w:style w:type="paragraph" w:styleId="ListBullet3">
    <w:name w:val="List Bullet 3"/>
    <w:rsid w:val="00893AED"/>
    <w:rPr>
      <w:sz w:val="24"/>
      <w:szCs w:val="24"/>
    </w:rPr>
  </w:style>
  <w:style w:type="paragraph" w:styleId="ListBullet4">
    <w:name w:val="List Bullet 4"/>
    <w:rsid w:val="00893AED"/>
    <w:rPr>
      <w:sz w:val="24"/>
      <w:szCs w:val="24"/>
    </w:rPr>
  </w:style>
  <w:style w:type="paragraph" w:styleId="ListBullet5">
    <w:name w:val="List Bullet 5"/>
    <w:rsid w:val="00893AED"/>
    <w:rPr>
      <w:sz w:val="24"/>
      <w:szCs w:val="24"/>
    </w:rPr>
  </w:style>
  <w:style w:type="paragraph" w:styleId="ListContinue">
    <w:name w:val="List Continue"/>
    <w:rsid w:val="00F72FC8"/>
    <w:pPr>
      <w:spacing w:after="120"/>
      <w:ind w:left="283"/>
    </w:pPr>
    <w:rPr>
      <w:sz w:val="24"/>
      <w:szCs w:val="24"/>
    </w:rPr>
  </w:style>
  <w:style w:type="paragraph" w:styleId="ListContinue2">
    <w:name w:val="List Continue 2"/>
    <w:rsid w:val="00F72FC8"/>
    <w:pPr>
      <w:spacing w:after="120"/>
      <w:ind w:left="566"/>
    </w:pPr>
    <w:rPr>
      <w:sz w:val="24"/>
      <w:szCs w:val="24"/>
    </w:rPr>
  </w:style>
  <w:style w:type="paragraph" w:styleId="ListContinue3">
    <w:name w:val="List Continue 3"/>
    <w:rsid w:val="00F72FC8"/>
    <w:pPr>
      <w:spacing w:after="120"/>
      <w:ind w:left="849"/>
    </w:pPr>
    <w:rPr>
      <w:sz w:val="24"/>
      <w:szCs w:val="24"/>
    </w:rPr>
  </w:style>
  <w:style w:type="paragraph" w:styleId="ListContinue4">
    <w:name w:val="List Continue 4"/>
    <w:rsid w:val="00F72FC8"/>
    <w:pPr>
      <w:spacing w:after="120"/>
      <w:ind w:left="1132"/>
    </w:pPr>
    <w:rPr>
      <w:sz w:val="24"/>
      <w:szCs w:val="24"/>
    </w:rPr>
  </w:style>
  <w:style w:type="paragraph" w:styleId="ListContinue5">
    <w:name w:val="List Continue 5"/>
    <w:rsid w:val="00F72FC8"/>
    <w:pPr>
      <w:spacing w:after="120"/>
      <w:ind w:left="1415"/>
    </w:pPr>
    <w:rPr>
      <w:sz w:val="24"/>
      <w:szCs w:val="24"/>
    </w:rPr>
  </w:style>
  <w:style w:type="paragraph" w:styleId="ListNumber">
    <w:name w:val="List Number"/>
    <w:rsid w:val="00893AED"/>
    <w:rPr>
      <w:sz w:val="24"/>
      <w:szCs w:val="24"/>
    </w:rPr>
  </w:style>
  <w:style w:type="paragraph" w:styleId="ListNumber2">
    <w:name w:val="List Number 2"/>
    <w:rsid w:val="00893AED"/>
    <w:rPr>
      <w:sz w:val="24"/>
      <w:szCs w:val="24"/>
    </w:rPr>
  </w:style>
  <w:style w:type="paragraph" w:styleId="ListNumber3">
    <w:name w:val="List Number 3"/>
    <w:rsid w:val="00893AED"/>
    <w:rPr>
      <w:sz w:val="24"/>
      <w:szCs w:val="24"/>
    </w:rPr>
  </w:style>
  <w:style w:type="paragraph" w:styleId="ListNumber4">
    <w:name w:val="List Number 4"/>
    <w:rsid w:val="00893AED"/>
    <w:rPr>
      <w:sz w:val="24"/>
      <w:szCs w:val="24"/>
    </w:rPr>
  </w:style>
  <w:style w:type="paragraph" w:styleId="ListNumber5">
    <w:name w:val="List Number 5"/>
    <w:rsid w:val="00893AED"/>
    <w:rPr>
      <w:sz w:val="24"/>
      <w:szCs w:val="24"/>
    </w:rPr>
  </w:style>
  <w:style w:type="paragraph" w:styleId="MessageHeader">
    <w:name w:val="Message Header"/>
    <w:rsid w:val="00F72F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F72FC8"/>
    <w:rPr>
      <w:sz w:val="24"/>
      <w:szCs w:val="24"/>
    </w:rPr>
  </w:style>
  <w:style w:type="paragraph" w:styleId="NormalIndent">
    <w:name w:val="Normal Indent"/>
    <w:rsid w:val="00F72FC8"/>
    <w:pPr>
      <w:ind w:left="720"/>
    </w:pPr>
    <w:rPr>
      <w:sz w:val="24"/>
      <w:szCs w:val="24"/>
    </w:rPr>
  </w:style>
  <w:style w:type="paragraph" w:styleId="NoteHeading">
    <w:name w:val="Note Heading"/>
    <w:next w:val="Normal"/>
    <w:rsid w:val="00F72FC8"/>
    <w:rPr>
      <w:sz w:val="24"/>
      <w:szCs w:val="24"/>
    </w:rPr>
  </w:style>
  <w:style w:type="paragraph" w:styleId="PlainText">
    <w:name w:val="Plain Text"/>
    <w:rsid w:val="00F72FC8"/>
    <w:rPr>
      <w:rFonts w:ascii="Courier New" w:hAnsi="Courier New" w:cs="Courier New"/>
    </w:rPr>
  </w:style>
  <w:style w:type="paragraph" w:styleId="Salutation">
    <w:name w:val="Salutation"/>
    <w:next w:val="Normal"/>
    <w:rsid w:val="00F72FC8"/>
    <w:rPr>
      <w:sz w:val="24"/>
      <w:szCs w:val="24"/>
    </w:rPr>
  </w:style>
  <w:style w:type="paragraph" w:styleId="Signature">
    <w:name w:val="Signature"/>
    <w:rsid w:val="00F72FC8"/>
    <w:pPr>
      <w:ind w:left="4252"/>
    </w:pPr>
    <w:rPr>
      <w:sz w:val="24"/>
      <w:szCs w:val="24"/>
    </w:rPr>
  </w:style>
  <w:style w:type="paragraph" w:styleId="Subtitle">
    <w:name w:val="Subtitle"/>
    <w:qFormat/>
    <w:rsid w:val="00F72FC8"/>
    <w:pPr>
      <w:spacing w:after="60"/>
      <w:jc w:val="center"/>
      <w:outlineLvl w:val="1"/>
    </w:pPr>
    <w:rPr>
      <w:rFonts w:ascii="Arial" w:hAnsi="Arial" w:cs="Arial"/>
      <w:sz w:val="24"/>
      <w:szCs w:val="24"/>
    </w:rPr>
  </w:style>
  <w:style w:type="paragraph" w:styleId="TableofAuthorities">
    <w:name w:val="table of authorities"/>
    <w:next w:val="Normal"/>
    <w:rsid w:val="00F72FC8"/>
    <w:pPr>
      <w:ind w:left="240" w:hanging="240"/>
    </w:pPr>
    <w:rPr>
      <w:sz w:val="24"/>
      <w:szCs w:val="24"/>
    </w:rPr>
  </w:style>
  <w:style w:type="paragraph" w:styleId="TableofFigures">
    <w:name w:val="table of figures"/>
    <w:next w:val="Normal"/>
    <w:rsid w:val="00F72FC8"/>
    <w:pPr>
      <w:ind w:left="480" w:hanging="480"/>
    </w:pPr>
    <w:rPr>
      <w:sz w:val="24"/>
      <w:szCs w:val="24"/>
    </w:rPr>
  </w:style>
  <w:style w:type="paragraph" w:styleId="Title">
    <w:name w:val="Title"/>
    <w:qFormat/>
    <w:rsid w:val="00F72FC8"/>
    <w:pPr>
      <w:spacing w:before="240" w:after="60"/>
      <w:jc w:val="center"/>
      <w:outlineLvl w:val="0"/>
    </w:pPr>
    <w:rPr>
      <w:rFonts w:ascii="Arial" w:hAnsi="Arial" w:cs="Arial"/>
      <w:b/>
      <w:bCs/>
      <w:kern w:val="28"/>
      <w:sz w:val="32"/>
      <w:szCs w:val="32"/>
    </w:rPr>
  </w:style>
  <w:style w:type="paragraph" w:styleId="TOAHeading">
    <w:name w:val="toa heading"/>
    <w:next w:val="Normal"/>
    <w:rsid w:val="00F72FC8"/>
    <w:pPr>
      <w:spacing w:before="120"/>
    </w:pPr>
    <w:rPr>
      <w:rFonts w:ascii="Arial" w:hAnsi="Arial" w:cs="Arial"/>
      <w:b/>
      <w:bCs/>
      <w:sz w:val="24"/>
      <w:szCs w:val="24"/>
    </w:rPr>
  </w:style>
  <w:style w:type="paragraph" w:styleId="TOC1">
    <w:name w:val="toc 1"/>
    <w:basedOn w:val="Heading1"/>
    <w:next w:val="Normal"/>
    <w:uiPriority w:val="39"/>
    <w:rsid w:val="00F72FC8"/>
    <w:pPr>
      <w:tabs>
        <w:tab w:val="right" w:pos="9000"/>
      </w:tabs>
      <w:spacing w:before="120" w:line="240" w:lineRule="auto"/>
      <w:ind w:left="1474" w:right="867" w:hanging="1474"/>
      <w:outlineLvl w:val="9"/>
    </w:pPr>
    <w:rPr>
      <w:sz w:val="28"/>
    </w:rPr>
  </w:style>
  <w:style w:type="paragraph" w:styleId="TOC2">
    <w:name w:val="toc 2"/>
    <w:basedOn w:val="Heading2"/>
    <w:next w:val="Normal"/>
    <w:uiPriority w:val="39"/>
    <w:rsid w:val="00F72FC8"/>
    <w:pPr>
      <w:tabs>
        <w:tab w:val="right" w:leader="dot" w:pos="7080"/>
      </w:tabs>
      <w:spacing w:before="120" w:line="240" w:lineRule="auto"/>
      <w:ind w:left="600" w:right="868" w:hanging="600"/>
      <w:outlineLvl w:val="9"/>
    </w:pPr>
    <w:rPr>
      <w:rFonts w:ascii="Arial" w:hAnsi="Arial" w:cs="Arial"/>
      <w:noProof/>
      <w:sz w:val="24"/>
    </w:rPr>
  </w:style>
  <w:style w:type="paragraph" w:styleId="TOC3">
    <w:name w:val="toc 3"/>
    <w:basedOn w:val="Heading3"/>
    <w:next w:val="Normal"/>
    <w:uiPriority w:val="39"/>
    <w:rsid w:val="00F72FC8"/>
    <w:pPr>
      <w:tabs>
        <w:tab w:val="right" w:leader="dot" w:pos="7080"/>
        <w:tab w:val="right" w:leader="dot" w:pos="9000"/>
      </w:tabs>
      <w:spacing w:before="80" w:line="240" w:lineRule="auto"/>
      <w:ind w:left="1200" w:right="867" w:hanging="775"/>
      <w:outlineLvl w:val="9"/>
    </w:pPr>
    <w:rPr>
      <w:rFonts w:ascii="Arial" w:hAnsi="Arial" w:cs="Arial"/>
      <w:noProof/>
      <w:sz w:val="18"/>
    </w:rPr>
  </w:style>
  <w:style w:type="paragraph" w:styleId="TOC4">
    <w:name w:val="toc 4"/>
    <w:basedOn w:val="Heading4"/>
    <w:next w:val="Normal"/>
    <w:uiPriority w:val="39"/>
    <w:rsid w:val="00F72FC8"/>
    <w:pPr>
      <w:keepNext w:val="0"/>
      <w:tabs>
        <w:tab w:val="right" w:pos="9000"/>
      </w:tabs>
      <w:spacing w:before="80" w:line="240" w:lineRule="auto"/>
      <w:ind w:left="2183" w:right="867" w:hanging="1332"/>
      <w:outlineLvl w:val="9"/>
    </w:pPr>
    <w:rPr>
      <w:sz w:val="20"/>
    </w:rPr>
  </w:style>
  <w:style w:type="paragraph" w:styleId="TOC5">
    <w:name w:val="toc 5"/>
    <w:basedOn w:val="Heading5"/>
    <w:next w:val="Normal"/>
    <w:uiPriority w:val="39"/>
    <w:rsid w:val="00F72FC8"/>
    <w:pPr>
      <w:keepNext w:val="0"/>
      <w:tabs>
        <w:tab w:val="right" w:leader="dot" w:pos="9000"/>
      </w:tabs>
      <w:spacing w:before="40" w:line="240" w:lineRule="auto"/>
      <w:ind w:left="2280" w:right="867" w:hanging="862"/>
      <w:outlineLvl w:val="9"/>
    </w:pPr>
    <w:rPr>
      <w:b w:val="0"/>
      <w:sz w:val="18"/>
    </w:rPr>
  </w:style>
  <w:style w:type="paragraph" w:styleId="TOC6">
    <w:name w:val="toc 6"/>
    <w:basedOn w:val="TOC1"/>
    <w:next w:val="Normal"/>
    <w:rsid w:val="00F72FC8"/>
    <w:pPr>
      <w:keepNext w:val="0"/>
      <w:ind w:left="1344" w:hanging="1344"/>
    </w:pPr>
    <w:rPr>
      <w:sz w:val="24"/>
    </w:rPr>
  </w:style>
  <w:style w:type="paragraph" w:styleId="TOC7">
    <w:name w:val="toc 7"/>
    <w:basedOn w:val="TOC2"/>
    <w:next w:val="Normal"/>
    <w:rsid w:val="00F72FC8"/>
    <w:pPr>
      <w:keepNext w:val="0"/>
      <w:ind w:left="1253" w:right="867" w:hanging="828"/>
    </w:pPr>
    <w:rPr>
      <w:b w:val="0"/>
    </w:rPr>
  </w:style>
  <w:style w:type="paragraph" w:styleId="TOC8">
    <w:name w:val="toc 8"/>
    <w:basedOn w:val="TOC3"/>
    <w:next w:val="Normal"/>
    <w:rsid w:val="00F72FC8"/>
    <w:pPr>
      <w:keepNext w:val="0"/>
      <w:tabs>
        <w:tab w:val="right" w:pos="9000"/>
      </w:tabs>
      <w:ind w:left="1900" w:hanging="1049"/>
    </w:pPr>
    <w:rPr>
      <w:b w:val="0"/>
      <w:sz w:val="20"/>
    </w:rPr>
  </w:style>
  <w:style w:type="paragraph" w:styleId="TOC9">
    <w:name w:val="toc 9"/>
    <w:basedOn w:val="Heading9"/>
    <w:next w:val="Normal"/>
    <w:rsid w:val="00F72FC8"/>
    <w:pPr>
      <w:tabs>
        <w:tab w:val="right" w:pos="9000"/>
      </w:tabs>
      <w:spacing w:before="80" w:line="240" w:lineRule="auto"/>
      <w:ind w:left="851" w:right="867" w:firstLine="0"/>
      <w:outlineLvl w:val="9"/>
    </w:pPr>
    <w:rPr>
      <w:b w:val="0"/>
      <w:sz w:val="20"/>
    </w:rPr>
  </w:style>
  <w:style w:type="character" w:styleId="CommentReference">
    <w:name w:val="annotation reference"/>
    <w:basedOn w:val="DefaultParagraphFont"/>
    <w:rsid w:val="00F72FC8"/>
    <w:rPr>
      <w:sz w:val="16"/>
      <w:szCs w:val="16"/>
    </w:rPr>
  </w:style>
  <w:style w:type="paragraph" w:styleId="CommentSubject">
    <w:name w:val="annotation subject"/>
    <w:basedOn w:val="TOC6"/>
    <w:next w:val="CommentText"/>
    <w:rsid w:val="00F72FC8"/>
    <w:pPr>
      <w:ind w:left="0"/>
    </w:pPr>
    <w:rPr>
      <w:b w:val="0"/>
      <w:bCs w:val="0"/>
      <w:sz w:val="20"/>
    </w:rPr>
  </w:style>
  <w:style w:type="character" w:styleId="Emphasis">
    <w:name w:val="Emphasis"/>
    <w:basedOn w:val="DefaultParagraphFont"/>
    <w:qFormat/>
    <w:rsid w:val="00F72FC8"/>
    <w:rPr>
      <w:i/>
      <w:iCs/>
    </w:rPr>
  </w:style>
  <w:style w:type="character" w:styleId="EndnoteReference">
    <w:name w:val="endnote reference"/>
    <w:basedOn w:val="DefaultParagraphFont"/>
    <w:rsid w:val="00F72FC8"/>
    <w:rPr>
      <w:vertAlign w:val="superscript"/>
    </w:rPr>
  </w:style>
  <w:style w:type="character" w:styleId="FollowedHyperlink">
    <w:name w:val="FollowedHyperlink"/>
    <w:basedOn w:val="DefaultParagraphFont"/>
    <w:rsid w:val="00F72FC8"/>
    <w:rPr>
      <w:color w:val="800080"/>
      <w:u w:val="single"/>
    </w:rPr>
  </w:style>
  <w:style w:type="character" w:styleId="FootnoteReference">
    <w:name w:val="footnote reference"/>
    <w:basedOn w:val="DefaultParagraphFont"/>
    <w:uiPriority w:val="99"/>
    <w:rsid w:val="00F72FC8"/>
    <w:rPr>
      <w:vertAlign w:val="superscript"/>
    </w:rPr>
  </w:style>
  <w:style w:type="character" w:styleId="HTMLAcronym">
    <w:name w:val="HTML Acronym"/>
    <w:basedOn w:val="DefaultParagraphFont"/>
    <w:rsid w:val="00F72FC8"/>
  </w:style>
  <w:style w:type="character" w:styleId="HTMLCite">
    <w:name w:val="HTML Cite"/>
    <w:basedOn w:val="DefaultParagraphFont"/>
    <w:rsid w:val="00F72FC8"/>
    <w:rPr>
      <w:i/>
      <w:iCs/>
    </w:rPr>
  </w:style>
  <w:style w:type="character" w:styleId="HTMLCode">
    <w:name w:val="HTML Code"/>
    <w:basedOn w:val="DefaultParagraphFont"/>
    <w:rsid w:val="00F72FC8"/>
    <w:rPr>
      <w:rFonts w:ascii="Courier New" w:hAnsi="Courier New" w:cs="Courier New"/>
      <w:sz w:val="20"/>
      <w:szCs w:val="20"/>
    </w:rPr>
  </w:style>
  <w:style w:type="character" w:styleId="HTMLDefinition">
    <w:name w:val="HTML Definition"/>
    <w:basedOn w:val="DefaultParagraphFont"/>
    <w:rsid w:val="00F72FC8"/>
    <w:rPr>
      <w:i/>
      <w:iCs/>
    </w:rPr>
  </w:style>
  <w:style w:type="character" w:styleId="HTMLKeyboard">
    <w:name w:val="HTML Keyboard"/>
    <w:basedOn w:val="HTMLDefinition"/>
    <w:rsid w:val="00F72FC8"/>
    <w:rPr>
      <w:rFonts w:ascii="Courier New" w:hAnsi="Courier New" w:cs="Courier New"/>
      <w:i/>
      <w:iCs/>
      <w:sz w:val="20"/>
      <w:szCs w:val="20"/>
    </w:rPr>
  </w:style>
  <w:style w:type="character" w:styleId="HTMLSample">
    <w:name w:val="HTML Sample"/>
    <w:basedOn w:val="HTMLDefinition"/>
    <w:rsid w:val="00F72FC8"/>
    <w:rPr>
      <w:rFonts w:ascii="Courier New" w:hAnsi="Courier New" w:cs="Courier New"/>
      <w:i/>
      <w:iCs/>
    </w:rPr>
  </w:style>
  <w:style w:type="character" w:styleId="HTMLTypewriter">
    <w:name w:val="HTML Typewriter"/>
    <w:basedOn w:val="HTMLDefinition"/>
    <w:rsid w:val="00F72FC8"/>
    <w:rPr>
      <w:rFonts w:ascii="Courier New" w:hAnsi="Courier New" w:cs="Courier New"/>
      <w:i/>
      <w:iCs/>
      <w:sz w:val="20"/>
      <w:szCs w:val="20"/>
    </w:rPr>
  </w:style>
  <w:style w:type="character" w:styleId="HTMLVariable">
    <w:name w:val="HTML Variable"/>
    <w:basedOn w:val="HTMLDefinition"/>
    <w:rsid w:val="00F72FC8"/>
    <w:rPr>
      <w:i/>
      <w:iCs/>
    </w:rPr>
  </w:style>
  <w:style w:type="character" w:styleId="Hyperlink">
    <w:name w:val="Hyperlink"/>
    <w:rsid w:val="00F72FC8"/>
    <w:rPr>
      <w:color w:val="0000FF"/>
      <w:u w:val="single"/>
    </w:rPr>
  </w:style>
  <w:style w:type="character" w:styleId="LineNumber">
    <w:name w:val="line number"/>
    <w:basedOn w:val="DefaultParagraphFont"/>
    <w:rsid w:val="00F72FC8"/>
    <w:rPr>
      <w:sz w:val="16"/>
    </w:rPr>
  </w:style>
  <w:style w:type="paragraph" w:styleId="MacroText">
    <w:name w:val="macro"/>
    <w:rsid w:val="00F72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PageNumber">
    <w:name w:val="page number"/>
    <w:basedOn w:val="DefaultParagraphFont"/>
    <w:rsid w:val="00F72FC8"/>
  </w:style>
  <w:style w:type="character" w:styleId="Strong">
    <w:name w:val="Strong"/>
    <w:basedOn w:val="HTMLDefinition"/>
    <w:qFormat/>
    <w:rsid w:val="00F72FC8"/>
    <w:rPr>
      <w:b/>
      <w:bCs/>
      <w:i/>
      <w:iCs/>
    </w:rPr>
  </w:style>
  <w:style w:type="paragraph" w:customStyle="1" w:styleId="BodySubPara">
    <w:name w:val="BodySubPara"/>
    <w:aliases w:val="bi"/>
    <w:basedOn w:val="Body"/>
    <w:rsid w:val="00893AED"/>
  </w:style>
  <w:style w:type="paragraph" w:customStyle="1" w:styleId="ShortT">
    <w:name w:val="ShortT"/>
    <w:next w:val="Normal"/>
    <w:rsid w:val="00F72FC8"/>
    <w:rPr>
      <w:b/>
      <w:sz w:val="40"/>
      <w:szCs w:val="24"/>
    </w:rPr>
  </w:style>
  <w:style w:type="paragraph" w:customStyle="1" w:styleId="Actno">
    <w:name w:val="Actno"/>
    <w:basedOn w:val="ShortT"/>
    <w:next w:val="Normal"/>
    <w:rsid w:val="00F72FC8"/>
  </w:style>
  <w:style w:type="paragraph" w:customStyle="1" w:styleId="BoxText">
    <w:name w:val="BoxText"/>
    <w:aliases w:val="bt"/>
    <w:rsid w:val="00F72FC8"/>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F72FC8"/>
    <w:rPr>
      <w:b/>
    </w:rPr>
  </w:style>
  <w:style w:type="paragraph" w:customStyle="1" w:styleId="BoxHeadItalic">
    <w:name w:val="BoxHeadItalic"/>
    <w:aliases w:val="bhi"/>
    <w:basedOn w:val="BoxHeadBold"/>
    <w:next w:val="BoxStep"/>
    <w:rsid w:val="00F72FC8"/>
    <w:pPr>
      <w:spacing w:line="260" w:lineRule="atLeast"/>
    </w:pPr>
    <w:rPr>
      <w:b w:val="0"/>
      <w:i/>
    </w:rPr>
  </w:style>
  <w:style w:type="paragraph" w:customStyle="1" w:styleId="BoxList">
    <w:name w:val="BoxList"/>
    <w:aliases w:val="bl"/>
    <w:basedOn w:val="BoxText"/>
    <w:rsid w:val="00F72FC8"/>
    <w:pPr>
      <w:ind w:left="1559" w:hanging="425"/>
    </w:pPr>
  </w:style>
  <w:style w:type="paragraph" w:customStyle="1" w:styleId="BoxNote">
    <w:name w:val="BoxNote"/>
    <w:aliases w:val="bn"/>
    <w:basedOn w:val="BoxText"/>
    <w:rsid w:val="00F72FC8"/>
    <w:pPr>
      <w:tabs>
        <w:tab w:val="left" w:pos="1985"/>
      </w:tabs>
      <w:spacing w:before="122" w:line="198" w:lineRule="exact"/>
      <w:ind w:left="2948" w:hanging="1814"/>
    </w:pPr>
    <w:rPr>
      <w:sz w:val="18"/>
    </w:rPr>
  </w:style>
  <w:style w:type="paragraph" w:customStyle="1" w:styleId="BoxPara">
    <w:name w:val="BoxPara"/>
    <w:aliases w:val="bp"/>
    <w:basedOn w:val="BoxText"/>
    <w:rsid w:val="00F72FC8"/>
    <w:pPr>
      <w:tabs>
        <w:tab w:val="right" w:pos="2268"/>
      </w:tabs>
      <w:ind w:left="2552" w:hanging="1418"/>
    </w:pPr>
  </w:style>
  <w:style w:type="paragraph" w:customStyle="1" w:styleId="BoxStep">
    <w:name w:val="BoxStep"/>
    <w:aliases w:val="bs"/>
    <w:basedOn w:val="BoxText"/>
    <w:rsid w:val="00F72FC8"/>
    <w:pPr>
      <w:ind w:left="1985" w:hanging="851"/>
    </w:pPr>
  </w:style>
  <w:style w:type="character" w:customStyle="1" w:styleId="CharAmPartNo">
    <w:name w:val="CharAmPartNo"/>
    <w:basedOn w:val="DefaultParagraphFont"/>
    <w:rsid w:val="00F72FC8"/>
  </w:style>
  <w:style w:type="character" w:customStyle="1" w:styleId="CharAmPartText">
    <w:name w:val="CharAmPartText"/>
    <w:basedOn w:val="DefaultParagraphFont"/>
    <w:rsid w:val="00F72FC8"/>
  </w:style>
  <w:style w:type="character" w:customStyle="1" w:styleId="CharAmSchNo">
    <w:name w:val="CharAmSchNo"/>
    <w:basedOn w:val="DefaultParagraphFont"/>
    <w:rsid w:val="00F72FC8"/>
  </w:style>
  <w:style w:type="character" w:customStyle="1" w:styleId="CharAmSchText">
    <w:name w:val="CharAmSchText"/>
    <w:basedOn w:val="DefaultParagraphFont"/>
    <w:rsid w:val="00F72FC8"/>
  </w:style>
  <w:style w:type="character" w:customStyle="1" w:styleId="CharChapNo">
    <w:name w:val="CharChapNo"/>
    <w:basedOn w:val="DefaultParagraphFont"/>
    <w:rsid w:val="00F72FC8"/>
  </w:style>
  <w:style w:type="character" w:customStyle="1" w:styleId="CharChapText">
    <w:name w:val="CharChapText"/>
    <w:basedOn w:val="DefaultParagraphFont"/>
    <w:rsid w:val="00F72FC8"/>
  </w:style>
  <w:style w:type="character" w:customStyle="1" w:styleId="CharDivNo">
    <w:name w:val="CharDivNo"/>
    <w:basedOn w:val="DefaultParagraphFont"/>
    <w:rsid w:val="00F72FC8"/>
  </w:style>
  <w:style w:type="character" w:customStyle="1" w:styleId="CharDivText">
    <w:name w:val="CharDivText"/>
    <w:basedOn w:val="DefaultParagraphFont"/>
    <w:rsid w:val="00F72FC8"/>
  </w:style>
  <w:style w:type="character" w:customStyle="1" w:styleId="CharPartNo">
    <w:name w:val="CharPartNo"/>
    <w:basedOn w:val="DefaultParagraphFont"/>
    <w:rsid w:val="00F72FC8"/>
  </w:style>
  <w:style w:type="character" w:customStyle="1" w:styleId="CharPartText">
    <w:name w:val="CharPartText"/>
    <w:basedOn w:val="DefaultParagraphFont"/>
    <w:rsid w:val="00F72FC8"/>
  </w:style>
  <w:style w:type="character" w:customStyle="1" w:styleId="CharSectno">
    <w:name w:val="CharSectno"/>
    <w:basedOn w:val="DefaultParagraphFont"/>
    <w:rsid w:val="00F72FC8"/>
  </w:style>
  <w:style w:type="character" w:customStyle="1" w:styleId="CharSubdNo">
    <w:name w:val="CharSubdNo"/>
    <w:basedOn w:val="DefaultParagraphFont"/>
    <w:rsid w:val="00F72FC8"/>
  </w:style>
  <w:style w:type="character" w:customStyle="1" w:styleId="CharSubdText">
    <w:name w:val="CharSubdText"/>
    <w:basedOn w:val="DefaultParagraphFont"/>
    <w:rsid w:val="00F72FC8"/>
  </w:style>
  <w:style w:type="paragraph" w:customStyle="1" w:styleId="subsection">
    <w:name w:val="subsection"/>
    <w:aliases w:val="ss"/>
    <w:rsid w:val="00F72FC8"/>
    <w:pPr>
      <w:tabs>
        <w:tab w:val="right" w:pos="1021"/>
      </w:tabs>
      <w:spacing w:before="180"/>
      <w:ind w:left="1134" w:hanging="1134"/>
    </w:pPr>
    <w:rPr>
      <w:sz w:val="22"/>
      <w:szCs w:val="24"/>
    </w:rPr>
  </w:style>
  <w:style w:type="paragraph" w:customStyle="1" w:styleId="Definition">
    <w:name w:val="Definition"/>
    <w:aliases w:val="dd"/>
    <w:basedOn w:val="subsection"/>
    <w:rsid w:val="00F72FC8"/>
    <w:pPr>
      <w:tabs>
        <w:tab w:val="clear" w:pos="1021"/>
      </w:tabs>
      <w:ind w:firstLine="0"/>
    </w:pPr>
  </w:style>
  <w:style w:type="paragraph" w:customStyle="1" w:styleId="Formula">
    <w:name w:val="Formula"/>
    <w:rsid w:val="00F72FC8"/>
    <w:pPr>
      <w:ind w:left="1134"/>
    </w:pPr>
    <w:rPr>
      <w:szCs w:val="24"/>
    </w:rPr>
  </w:style>
  <w:style w:type="paragraph" w:customStyle="1" w:styleId="House">
    <w:name w:val="House"/>
    <w:rsid w:val="00F72FC8"/>
    <w:rPr>
      <w:sz w:val="28"/>
      <w:szCs w:val="24"/>
    </w:rPr>
  </w:style>
  <w:style w:type="paragraph" w:customStyle="1" w:styleId="Item">
    <w:name w:val="Item"/>
    <w:aliases w:val="i"/>
    <w:basedOn w:val="subsection"/>
    <w:next w:val="Normal"/>
    <w:rsid w:val="00F72FC8"/>
    <w:pPr>
      <w:keepLines/>
      <w:tabs>
        <w:tab w:val="clear" w:pos="1021"/>
      </w:tabs>
      <w:spacing w:before="80"/>
      <w:ind w:left="709" w:firstLine="0"/>
    </w:pPr>
  </w:style>
  <w:style w:type="paragraph" w:customStyle="1" w:styleId="ItemHead">
    <w:name w:val="ItemHead"/>
    <w:aliases w:val="ih"/>
    <w:basedOn w:val="Heading1"/>
    <w:next w:val="Item"/>
    <w:rsid w:val="00F72FC8"/>
    <w:pPr>
      <w:keepNext w:val="0"/>
      <w:spacing w:before="220"/>
      <w:ind w:left="709" w:hanging="709"/>
      <w:outlineLvl w:val="9"/>
    </w:pPr>
    <w:rPr>
      <w:rFonts w:ascii="Arial" w:hAnsi="Arial" w:cs="Arial"/>
      <w:sz w:val="24"/>
    </w:rPr>
  </w:style>
  <w:style w:type="paragraph" w:customStyle="1" w:styleId="LongT">
    <w:name w:val="LongT"/>
    <w:rsid w:val="00F72FC8"/>
    <w:rPr>
      <w:b/>
      <w:sz w:val="32"/>
      <w:szCs w:val="24"/>
    </w:rPr>
  </w:style>
  <w:style w:type="paragraph" w:customStyle="1" w:styleId="notedraft">
    <w:name w:val="note(draft)"/>
    <w:aliases w:val="nd"/>
    <w:rsid w:val="00F72FC8"/>
    <w:pPr>
      <w:spacing w:before="240"/>
      <w:ind w:left="284" w:hanging="284"/>
    </w:pPr>
    <w:rPr>
      <w:i/>
      <w:sz w:val="24"/>
      <w:szCs w:val="24"/>
    </w:rPr>
  </w:style>
  <w:style w:type="paragraph" w:customStyle="1" w:styleId="notetext">
    <w:name w:val="note(text)"/>
    <w:aliases w:val="n"/>
    <w:rsid w:val="00F72FC8"/>
    <w:pPr>
      <w:spacing w:before="122" w:line="198" w:lineRule="exact"/>
      <w:ind w:left="1985" w:hanging="851"/>
    </w:pPr>
    <w:rPr>
      <w:sz w:val="18"/>
      <w:szCs w:val="24"/>
    </w:rPr>
  </w:style>
  <w:style w:type="paragraph" w:customStyle="1" w:styleId="notemargin">
    <w:name w:val="note(margin)"/>
    <w:aliases w:val="nm"/>
    <w:basedOn w:val="notetext"/>
    <w:rsid w:val="00F72FC8"/>
    <w:pPr>
      <w:tabs>
        <w:tab w:val="left" w:pos="709"/>
      </w:tabs>
      <w:ind w:left="709" w:hanging="709"/>
    </w:pPr>
  </w:style>
  <w:style w:type="paragraph" w:customStyle="1" w:styleId="notepara">
    <w:name w:val="note(para)"/>
    <w:aliases w:val="na"/>
    <w:basedOn w:val="notetext"/>
    <w:rsid w:val="00F72FC8"/>
    <w:pPr>
      <w:ind w:left="2353" w:hanging="709"/>
    </w:pPr>
  </w:style>
  <w:style w:type="paragraph" w:customStyle="1" w:styleId="noteParlAmend">
    <w:name w:val="note(ParlAmend)"/>
    <w:aliases w:val="npp"/>
    <w:next w:val="Normal"/>
    <w:rsid w:val="00F72FC8"/>
    <w:pPr>
      <w:jc w:val="right"/>
    </w:pPr>
    <w:rPr>
      <w:rFonts w:ascii="Arial" w:hAnsi="Arial" w:cs="Arial"/>
      <w:b/>
      <w:i/>
      <w:sz w:val="22"/>
      <w:szCs w:val="24"/>
    </w:rPr>
  </w:style>
  <w:style w:type="paragraph" w:customStyle="1" w:styleId="Page1">
    <w:name w:val="Page1"/>
    <w:rsid w:val="00F72FC8"/>
    <w:pPr>
      <w:spacing w:before="5600"/>
    </w:pPr>
    <w:rPr>
      <w:b/>
      <w:sz w:val="32"/>
      <w:szCs w:val="24"/>
    </w:rPr>
  </w:style>
  <w:style w:type="paragraph" w:customStyle="1" w:styleId="PageBreak">
    <w:name w:val="PageBreak"/>
    <w:aliases w:val="pb"/>
    <w:next w:val="Heading2"/>
    <w:rsid w:val="00F72FC8"/>
    <w:rPr>
      <w:sz w:val="10"/>
      <w:szCs w:val="24"/>
    </w:rPr>
  </w:style>
  <w:style w:type="paragraph" w:customStyle="1" w:styleId="parabullet">
    <w:name w:val="para bullet"/>
    <w:rsid w:val="00F72FC8"/>
    <w:pPr>
      <w:spacing w:before="240" w:line="260" w:lineRule="atLeast"/>
      <w:ind w:left="1843" w:hanging="284"/>
    </w:pPr>
    <w:rPr>
      <w:sz w:val="22"/>
      <w:szCs w:val="24"/>
    </w:rPr>
  </w:style>
  <w:style w:type="paragraph" w:customStyle="1" w:styleId="paragraph">
    <w:name w:val="paragraph"/>
    <w:aliases w:val="a"/>
    <w:rsid w:val="00F72FC8"/>
    <w:pPr>
      <w:tabs>
        <w:tab w:val="right" w:pos="1531"/>
      </w:tabs>
      <w:spacing w:before="40"/>
      <w:ind w:left="1644" w:hanging="1644"/>
    </w:pPr>
    <w:rPr>
      <w:sz w:val="22"/>
      <w:szCs w:val="24"/>
    </w:rPr>
  </w:style>
  <w:style w:type="paragraph" w:customStyle="1" w:styleId="paragraphsub">
    <w:name w:val="paragraph(sub)"/>
    <w:aliases w:val="aa"/>
    <w:basedOn w:val="paragraph"/>
    <w:rsid w:val="00F72FC8"/>
    <w:pPr>
      <w:tabs>
        <w:tab w:val="clear" w:pos="1531"/>
        <w:tab w:val="right" w:pos="1985"/>
      </w:tabs>
      <w:ind w:left="2098" w:hanging="2098"/>
    </w:pPr>
  </w:style>
  <w:style w:type="paragraph" w:customStyle="1" w:styleId="paragraphsub-sub">
    <w:name w:val="paragraph(sub-sub)"/>
    <w:aliases w:val="aaa"/>
    <w:basedOn w:val="paragraph"/>
    <w:rsid w:val="00F72FC8"/>
    <w:pPr>
      <w:tabs>
        <w:tab w:val="clear" w:pos="1531"/>
        <w:tab w:val="right" w:pos="2722"/>
      </w:tabs>
      <w:ind w:left="2835" w:hanging="2835"/>
    </w:pPr>
  </w:style>
  <w:style w:type="paragraph" w:customStyle="1" w:styleId="ParlAmend">
    <w:name w:val="ParlAmend"/>
    <w:aliases w:val="pp"/>
    <w:rsid w:val="00F72FC8"/>
    <w:pPr>
      <w:spacing w:before="240" w:line="240" w:lineRule="atLeast"/>
      <w:ind w:hanging="567"/>
    </w:pPr>
    <w:rPr>
      <w:sz w:val="24"/>
      <w:szCs w:val="24"/>
    </w:rPr>
  </w:style>
  <w:style w:type="paragraph" w:customStyle="1" w:styleId="Penalty">
    <w:name w:val="Penalty"/>
    <w:rsid w:val="00F72FC8"/>
    <w:pPr>
      <w:tabs>
        <w:tab w:val="left" w:pos="2977"/>
      </w:tabs>
      <w:spacing w:before="180"/>
      <w:ind w:left="1985" w:hanging="851"/>
    </w:pPr>
    <w:rPr>
      <w:sz w:val="22"/>
      <w:szCs w:val="24"/>
    </w:rPr>
  </w:style>
  <w:style w:type="paragraph" w:customStyle="1" w:styleId="Portfolio">
    <w:name w:val="Portfolio"/>
    <w:rsid w:val="00F72FC8"/>
    <w:rPr>
      <w:i/>
      <w:szCs w:val="24"/>
    </w:rPr>
  </w:style>
  <w:style w:type="paragraph" w:customStyle="1" w:styleId="Preamble">
    <w:name w:val="Preamble"/>
    <w:basedOn w:val="Heading5"/>
    <w:next w:val="Normal"/>
    <w:rsid w:val="00F72FC8"/>
    <w:pPr>
      <w:tabs>
        <w:tab w:val="center" w:pos="4513"/>
      </w:tabs>
      <w:outlineLvl w:val="9"/>
    </w:pPr>
    <w:rPr>
      <w:sz w:val="28"/>
    </w:rPr>
  </w:style>
  <w:style w:type="paragraph" w:customStyle="1" w:styleId="Reading">
    <w:name w:val="Reading"/>
    <w:rsid w:val="00F72FC8"/>
    <w:rPr>
      <w:i/>
      <w:szCs w:val="24"/>
    </w:rPr>
  </w:style>
  <w:style w:type="paragraph" w:customStyle="1" w:styleId="Session">
    <w:name w:val="Session"/>
    <w:rsid w:val="00F72FC8"/>
    <w:rPr>
      <w:sz w:val="28"/>
      <w:szCs w:val="24"/>
    </w:rPr>
  </w:style>
  <w:style w:type="paragraph" w:customStyle="1" w:styleId="Sponsor">
    <w:name w:val="Sponsor"/>
    <w:rsid w:val="00F72FC8"/>
    <w:rPr>
      <w:i/>
      <w:sz w:val="24"/>
      <w:szCs w:val="24"/>
    </w:rPr>
  </w:style>
  <w:style w:type="paragraph" w:customStyle="1" w:styleId="Subitem">
    <w:name w:val="Subitem"/>
    <w:aliases w:val="iss"/>
    <w:rsid w:val="00F72FC8"/>
    <w:pPr>
      <w:spacing w:before="180"/>
      <w:ind w:left="709" w:hanging="709"/>
    </w:pPr>
    <w:rPr>
      <w:sz w:val="22"/>
      <w:szCs w:val="24"/>
    </w:rPr>
  </w:style>
  <w:style w:type="paragraph" w:customStyle="1" w:styleId="SubitemHead">
    <w:name w:val="SubitemHead"/>
    <w:aliases w:val="issh"/>
    <w:next w:val="Subitem"/>
    <w:rsid w:val="00F72FC8"/>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F72FC8"/>
    <w:pPr>
      <w:tabs>
        <w:tab w:val="clear" w:pos="1021"/>
      </w:tabs>
      <w:spacing w:before="40"/>
      <w:ind w:firstLine="0"/>
    </w:pPr>
  </w:style>
  <w:style w:type="paragraph" w:customStyle="1" w:styleId="SubsectionHead">
    <w:name w:val="SubsectionHead"/>
    <w:aliases w:val="ssh"/>
    <w:basedOn w:val="subsection"/>
    <w:next w:val="subsection"/>
    <w:rsid w:val="00F72FC8"/>
    <w:pPr>
      <w:keepNext/>
      <w:keepLines/>
      <w:tabs>
        <w:tab w:val="clear" w:pos="1021"/>
      </w:tabs>
      <w:spacing w:before="240"/>
      <w:ind w:firstLine="0"/>
    </w:pPr>
    <w:rPr>
      <w:i/>
    </w:rPr>
  </w:style>
  <w:style w:type="paragraph" w:customStyle="1" w:styleId="Tablea">
    <w:name w:val="Table(a)"/>
    <w:aliases w:val="ta"/>
    <w:rsid w:val="00F72FC8"/>
    <w:pPr>
      <w:spacing w:before="60"/>
      <w:ind w:left="284" w:hanging="284"/>
    </w:pPr>
    <w:rPr>
      <w:szCs w:val="24"/>
    </w:rPr>
  </w:style>
  <w:style w:type="paragraph" w:customStyle="1" w:styleId="Tablei">
    <w:name w:val="Table(i)"/>
    <w:aliases w:val="taa"/>
    <w:rsid w:val="00F72FC8"/>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F72FC8"/>
    <w:pPr>
      <w:tabs>
        <w:tab w:val="clear" w:pos="970"/>
      </w:tabs>
      <w:ind w:left="1055"/>
    </w:pPr>
  </w:style>
  <w:style w:type="paragraph" w:customStyle="1" w:styleId="TLPBoxTextnote">
    <w:name w:val="TLPBoxText(note"/>
    <w:aliases w:val="right)"/>
    <w:rsid w:val="00F72FC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F72FC8"/>
    <w:pPr>
      <w:keepLines w:val="0"/>
      <w:spacing w:before="360"/>
      <w:ind w:firstLine="0"/>
      <w:outlineLvl w:val="9"/>
    </w:pPr>
    <w:rPr>
      <w:b w:val="0"/>
      <w:kern w:val="0"/>
      <w:sz w:val="20"/>
    </w:rPr>
  </w:style>
  <w:style w:type="paragraph" w:customStyle="1" w:styleId="TLPNotebullet">
    <w:name w:val="TLPNote(bullet)"/>
    <w:rsid w:val="00893AED"/>
    <w:pPr>
      <w:spacing w:before="60" w:line="198" w:lineRule="exact"/>
    </w:pPr>
    <w:rPr>
      <w:sz w:val="18"/>
    </w:rPr>
  </w:style>
  <w:style w:type="paragraph" w:customStyle="1" w:styleId="TLPnoteright">
    <w:name w:val="TLPnote(right)"/>
    <w:aliases w:val="nr"/>
    <w:rsid w:val="00F72FC8"/>
    <w:pPr>
      <w:spacing w:before="122" w:line="198" w:lineRule="exact"/>
      <w:ind w:left="1985" w:hanging="851"/>
      <w:jc w:val="right"/>
    </w:pPr>
    <w:rPr>
      <w:sz w:val="18"/>
      <w:szCs w:val="24"/>
    </w:rPr>
  </w:style>
  <w:style w:type="paragraph" w:customStyle="1" w:styleId="TLPTableBullet">
    <w:name w:val="TLPTableBullet"/>
    <w:aliases w:val="ttb"/>
    <w:rsid w:val="00F72FC8"/>
    <w:pPr>
      <w:spacing w:line="240" w:lineRule="exact"/>
      <w:ind w:left="284" w:hanging="284"/>
    </w:pPr>
    <w:rPr>
      <w:szCs w:val="24"/>
    </w:rPr>
  </w:style>
  <w:style w:type="paragraph" w:customStyle="1" w:styleId="TofSectsGroupHeading">
    <w:name w:val="TofSects(GroupHeading)"/>
    <w:basedOn w:val="TOC4"/>
    <w:next w:val="Normal"/>
    <w:rsid w:val="00F72FC8"/>
    <w:pPr>
      <w:spacing w:before="240" w:after="120"/>
      <w:ind w:left="794"/>
    </w:pPr>
  </w:style>
  <w:style w:type="paragraph" w:customStyle="1" w:styleId="TofSectsHeading">
    <w:name w:val="TofSects(Heading)"/>
    <w:basedOn w:val="TOC5"/>
    <w:next w:val="Normal"/>
    <w:rsid w:val="00F72FC8"/>
    <w:pPr>
      <w:spacing w:before="240" w:after="120"/>
      <w:ind w:left="0"/>
    </w:pPr>
    <w:rPr>
      <w:b/>
    </w:rPr>
  </w:style>
  <w:style w:type="paragraph" w:customStyle="1" w:styleId="TofSectsSection">
    <w:name w:val="TofSects(Section)"/>
    <w:basedOn w:val="TOC5"/>
    <w:rsid w:val="00F72FC8"/>
    <w:pPr>
      <w:ind w:left="1588" w:hanging="794"/>
    </w:pPr>
  </w:style>
  <w:style w:type="paragraph" w:customStyle="1" w:styleId="TofSectsSubdiv">
    <w:name w:val="TofSects(Subdiv)"/>
    <w:basedOn w:val="TOC4"/>
    <w:rsid w:val="00F72FC8"/>
    <w:pPr>
      <w:ind w:left="1588" w:hanging="794"/>
    </w:pPr>
    <w:rPr>
      <w:b w:val="0"/>
      <w:sz w:val="22"/>
    </w:rPr>
  </w:style>
  <w:style w:type="paragraph" w:customStyle="1" w:styleId="ActHead1">
    <w:name w:val="ActHead 1"/>
    <w:aliases w:val="c"/>
    <w:next w:val="Normal"/>
    <w:rsid w:val="00F72FC8"/>
    <w:pPr>
      <w:keepNext/>
      <w:keepLines/>
      <w:ind w:left="1134" w:hanging="1134"/>
      <w:outlineLvl w:val="0"/>
    </w:pPr>
    <w:rPr>
      <w:b/>
      <w:bCs/>
      <w:kern w:val="28"/>
      <w:sz w:val="36"/>
      <w:szCs w:val="32"/>
    </w:rPr>
  </w:style>
  <w:style w:type="paragraph" w:customStyle="1" w:styleId="ActHead2">
    <w:name w:val="ActHead 2"/>
    <w:aliases w:val="p"/>
    <w:basedOn w:val="ActHead1"/>
    <w:next w:val="Normal"/>
    <w:rsid w:val="00F72FC8"/>
    <w:pPr>
      <w:spacing w:before="280"/>
      <w:outlineLvl w:val="1"/>
    </w:pPr>
    <w:rPr>
      <w:sz w:val="32"/>
    </w:rPr>
  </w:style>
  <w:style w:type="paragraph" w:customStyle="1" w:styleId="ActHead3">
    <w:name w:val="ActHead 3"/>
    <w:aliases w:val="d"/>
    <w:basedOn w:val="ActHead1"/>
    <w:next w:val="Normal"/>
    <w:rsid w:val="00F72FC8"/>
    <w:pPr>
      <w:spacing w:before="240"/>
      <w:outlineLvl w:val="2"/>
    </w:pPr>
    <w:rPr>
      <w:sz w:val="28"/>
    </w:rPr>
  </w:style>
  <w:style w:type="paragraph" w:customStyle="1" w:styleId="ActHead4">
    <w:name w:val="ActHead 4"/>
    <w:aliases w:val="sd"/>
    <w:basedOn w:val="ActHead1"/>
    <w:next w:val="Normal"/>
    <w:rsid w:val="00F72FC8"/>
    <w:pPr>
      <w:spacing w:before="220"/>
      <w:outlineLvl w:val="3"/>
    </w:pPr>
    <w:rPr>
      <w:sz w:val="26"/>
    </w:rPr>
  </w:style>
  <w:style w:type="paragraph" w:customStyle="1" w:styleId="ActHead5">
    <w:name w:val="ActHead 5"/>
    <w:aliases w:val="s"/>
    <w:basedOn w:val="ActHead1"/>
    <w:next w:val="subsection"/>
    <w:rsid w:val="00F72FC8"/>
    <w:pPr>
      <w:spacing w:before="280"/>
      <w:outlineLvl w:val="4"/>
    </w:pPr>
    <w:rPr>
      <w:sz w:val="24"/>
    </w:rPr>
  </w:style>
  <w:style w:type="paragraph" w:customStyle="1" w:styleId="ActHead6">
    <w:name w:val="ActHead 6"/>
    <w:aliases w:val="as"/>
    <w:basedOn w:val="ActHead1"/>
    <w:next w:val="Normal"/>
    <w:rsid w:val="00F72FC8"/>
    <w:pPr>
      <w:outlineLvl w:val="5"/>
    </w:pPr>
    <w:rPr>
      <w:rFonts w:ascii="Arial" w:hAnsi="Arial"/>
      <w:sz w:val="32"/>
    </w:rPr>
  </w:style>
  <w:style w:type="paragraph" w:customStyle="1" w:styleId="ActHead7">
    <w:name w:val="ActHead 7"/>
    <w:aliases w:val="ap"/>
    <w:basedOn w:val="ActHead6"/>
    <w:next w:val="ItemHead"/>
    <w:rsid w:val="00F72FC8"/>
    <w:pPr>
      <w:spacing w:before="280"/>
      <w:outlineLvl w:val="6"/>
    </w:pPr>
    <w:rPr>
      <w:sz w:val="28"/>
    </w:rPr>
  </w:style>
  <w:style w:type="paragraph" w:customStyle="1" w:styleId="ActHead8">
    <w:name w:val="ActHead 8"/>
    <w:aliases w:val="ad"/>
    <w:basedOn w:val="ActHead6"/>
    <w:next w:val="Normal"/>
    <w:qFormat/>
    <w:rsid w:val="00F72FC8"/>
    <w:pPr>
      <w:spacing w:before="240"/>
      <w:outlineLvl w:val="7"/>
    </w:pPr>
    <w:rPr>
      <w:sz w:val="26"/>
    </w:rPr>
  </w:style>
  <w:style w:type="paragraph" w:customStyle="1" w:styleId="ActHead9">
    <w:name w:val="ActHead 9"/>
    <w:aliases w:val="aat"/>
    <w:basedOn w:val="ActHead1"/>
    <w:next w:val="ItemHead"/>
    <w:rsid w:val="00F72FC8"/>
    <w:pPr>
      <w:keepNext w:val="0"/>
      <w:spacing w:before="280"/>
      <w:outlineLvl w:val="8"/>
    </w:pPr>
    <w:rPr>
      <w:i/>
      <w:sz w:val="28"/>
    </w:rPr>
  </w:style>
  <w:style w:type="paragraph" w:customStyle="1" w:styleId="AnnRepBodyParaBullet">
    <w:name w:val="AnnRepBodyParaBullet"/>
    <w:aliases w:val="arbpb"/>
    <w:basedOn w:val="BodyParaBullet"/>
    <w:rsid w:val="00F72FC8"/>
    <w:pPr>
      <w:tabs>
        <w:tab w:val="clear" w:pos="2160"/>
        <w:tab w:val="left" w:pos="480"/>
      </w:tabs>
    </w:pPr>
  </w:style>
  <w:style w:type="paragraph" w:customStyle="1" w:styleId="table">
    <w:name w:val="table"/>
    <w:aliases w:val="t,Table"/>
    <w:basedOn w:val="Normal"/>
    <w:rsid w:val="00F72FC8"/>
    <w:pPr>
      <w:spacing w:before="60" w:line="240" w:lineRule="atLeast"/>
    </w:pPr>
    <w:rPr>
      <w:sz w:val="20"/>
      <w:szCs w:val="20"/>
    </w:rPr>
  </w:style>
  <w:style w:type="table" w:styleId="TableSimple1">
    <w:name w:val="Table Simple 1"/>
    <w:basedOn w:val="TableNormal"/>
    <w:rsid w:val="00F72F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59"/>
    <w:rsid w:val="00F72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rsid w:val="00F72FC8"/>
    <w:pPr>
      <w:spacing w:before="100" w:beforeAutospacing="1" w:after="100" w:afterAutospacing="1"/>
    </w:pPr>
  </w:style>
  <w:style w:type="paragraph" w:customStyle="1" w:styleId="AnnualReportBullet">
    <w:name w:val="AnnualReportBullet"/>
    <w:aliases w:val="arb"/>
    <w:basedOn w:val="BodyParaBullet"/>
    <w:link w:val="AnnualReportBulletChar"/>
    <w:rsid w:val="00326C23"/>
    <w:pPr>
      <w:tabs>
        <w:tab w:val="clear" w:pos="2160"/>
      </w:tabs>
      <w:spacing w:before="60"/>
    </w:pPr>
    <w:rPr>
      <w:rFonts w:ascii="Arial" w:hAnsi="Arial"/>
      <w:sz w:val="20"/>
    </w:rPr>
  </w:style>
  <w:style w:type="character" w:customStyle="1" w:styleId="BodyChar">
    <w:name w:val="Body Char"/>
    <w:aliases w:val="b Char"/>
    <w:basedOn w:val="DefaultParagraphFont"/>
    <w:link w:val="Body"/>
    <w:rsid w:val="00F72FC8"/>
    <w:rPr>
      <w:rFonts w:ascii="Arial" w:hAnsi="Arial"/>
      <w:szCs w:val="24"/>
    </w:rPr>
  </w:style>
  <w:style w:type="character" w:customStyle="1" w:styleId="BodyParaBulletChar">
    <w:name w:val="BodyParaBullet Char"/>
    <w:aliases w:val="bpb Char"/>
    <w:basedOn w:val="BodyChar"/>
    <w:link w:val="BodyParaBullet"/>
    <w:rsid w:val="006B567E"/>
    <w:rPr>
      <w:rFonts w:ascii="Arial" w:hAnsi="Arial"/>
      <w:sz w:val="18"/>
      <w:szCs w:val="24"/>
    </w:rPr>
  </w:style>
  <w:style w:type="character" w:customStyle="1" w:styleId="AnnualReportBulletChar">
    <w:name w:val="AnnualReportBullet Char"/>
    <w:aliases w:val="arb Char"/>
    <w:basedOn w:val="BodyParaBulletChar"/>
    <w:link w:val="AnnualReportBullet"/>
    <w:rsid w:val="00326C23"/>
    <w:rPr>
      <w:rFonts w:ascii="Arial" w:hAnsi="Arial"/>
      <w:sz w:val="18"/>
      <w:szCs w:val="24"/>
    </w:rPr>
  </w:style>
  <w:style w:type="paragraph" w:customStyle="1" w:styleId="TableBodyText">
    <w:name w:val="TableBodyText"/>
    <w:basedOn w:val="Normal"/>
    <w:next w:val="Normal"/>
    <w:rsid w:val="00F72FC8"/>
    <w:pPr>
      <w:spacing w:before="20" w:after="20"/>
    </w:pPr>
    <w:rPr>
      <w:rFonts w:ascii="Tahoma" w:hAnsi="Tahoma"/>
      <w:sz w:val="16"/>
      <w:szCs w:val="20"/>
      <w:lang w:val="en-US"/>
    </w:rPr>
  </w:style>
  <w:style w:type="paragraph" w:customStyle="1" w:styleId="TableBodyTextIndented">
    <w:name w:val="TableBodyTextIndented"/>
    <w:basedOn w:val="TableBodyText"/>
    <w:next w:val="TableBodyText"/>
    <w:rsid w:val="00F72FC8"/>
    <w:pPr>
      <w:ind w:left="284"/>
    </w:pPr>
    <w:rPr>
      <w:snapToGrid w:val="0"/>
      <w:lang w:eastAsia="en-US"/>
    </w:rPr>
  </w:style>
  <w:style w:type="paragraph" w:customStyle="1" w:styleId="Tabletexthead">
    <w:name w:val="Tabletexthead"/>
    <w:aliases w:val="tth"/>
    <w:basedOn w:val="Tabletext"/>
    <w:rsid w:val="00F72FC8"/>
    <w:pPr>
      <w:spacing w:before="120" w:after="120" w:line="240" w:lineRule="auto"/>
    </w:pPr>
    <w:rPr>
      <w:b/>
      <w:color w:val="0000FF"/>
      <w:szCs w:val="20"/>
    </w:rPr>
  </w:style>
  <w:style w:type="paragraph" w:customStyle="1" w:styleId="Toc10">
    <w:name w:val="Toc1"/>
    <w:basedOn w:val="TOC1"/>
    <w:rsid w:val="00F72FC8"/>
    <w:pPr>
      <w:keepNext w:val="0"/>
      <w:tabs>
        <w:tab w:val="clear" w:pos="9000"/>
        <w:tab w:val="right" w:pos="7144"/>
      </w:tabs>
      <w:ind w:left="0" w:right="868" w:firstLine="0"/>
    </w:pPr>
    <w:rPr>
      <w:i/>
      <w:noProof/>
      <w:sz w:val="24"/>
    </w:rPr>
  </w:style>
  <w:style w:type="paragraph" w:customStyle="1" w:styleId="font5">
    <w:name w:val="font5"/>
    <w:basedOn w:val="Normal"/>
    <w:rsid w:val="00F72FC8"/>
    <w:pPr>
      <w:spacing w:before="100" w:beforeAutospacing="1" w:after="100" w:afterAutospacing="1"/>
    </w:pPr>
    <w:rPr>
      <w:rFonts w:ascii="Arial" w:eastAsia="Arial Unicode MS" w:hAnsi="Arial" w:cs="Arial"/>
      <w:i/>
      <w:iCs/>
      <w:sz w:val="16"/>
      <w:szCs w:val="16"/>
      <w:lang w:eastAsia="en-US"/>
    </w:rPr>
  </w:style>
  <w:style w:type="paragraph" w:customStyle="1" w:styleId="GeneralCommentaryNumberedText">
    <w:name w:val="General Commentary Numbered Text"/>
    <w:basedOn w:val="Normal"/>
    <w:autoRedefine/>
    <w:rsid w:val="00F72FC8"/>
    <w:pPr>
      <w:tabs>
        <w:tab w:val="left" w:pos="567"/>
      </w:tabs>
      <w:spacing w:before="180" w:after="40" w:line="240" w:lineRule="atLeast"/>
      <w:ind w:right="113"/>
      <w:jc w:val="both"/>
    </w:pPr>
    <w:rPr>
      <w:sz w:val="22"/>
      <w:szCs w:val="20"/>
      <w:lang w:eastAsia="en-US"/>
    </w:rPr>
  </w:style>
  <w:style w:type="paragraph" w:customStyle="1" w:styleId="GeneralCommentaryBullet1">
    <w:name w:val="General Commentary Bullet 1"/>
    <w:basedOn w:val="Normal"/>
    <w:autoRedefine/>
    <w:rsid w:val="00F72FC8"/>
    <w:pPr>
      <w:tabs>
        <w:tab w:val="left" w:pos="851"/>
      </w:tabs>
      <w:spacing w:after="40"/>
      <w:ind w:right="113"/>
      <w:jc w:val="both"/>
    </w:pPr>
    <w:rPr>
      <w:snapToGrid w:val="0"/>
      <w:sz w:val="22"/>
      <w:szCs w:val="20"/>
      <w:lang w:val="en-US" w:eastAsia="en-US"/>
    </w:rPr>
  </w:style>
  <w:style w:type="paragraph" w:customStyle="1" w:styleId="NotesBulletPoint">
    <w:name w:val="Notes Bullet Point"/>
    <w:basedOn w:val="GeneralCommentaryBullet1"/>
    <w:autoRedefine/>
    <w:rsid w:val="00F72FC8"/>
    <w:pPr>
      <w:tabs>
        <w:tab w:val="clear" w:pos="851"/>
        <w:tab w:val="left" w:pos="413"/>
      </w:tabs>
      <w:spacing w:after="0"/>
    </w:pPr>
    <w:rPr>
      <w:sz w:val="20"/>
    </w:rPr>
  </w:style>
  <w:style w:type="paragraph" w:customStyle="1" w:styleId="NoteText0">
    <w:name w:val="Note Text"/>
    <w:basedOn w:val="Normal"/>
    <w:autoRedefine/>
    <w:rsid w:val="00F72FC8"/>
    <w:pPr>
      <w:tabs>
        <w:tab w:val="left" w:pos="7797"/>
      </w:tabs>
      <w:spacing w:after="120"/>
      <w:ind w:left="1077" w:right="1009"/>
      <w:jc w:val="both"/>
    </w:pPr>
    <w:rPr>
      <w:rFonts w:ascii="Arial" w:hAnsi="Arial" w:cs="Arial"/>
      <w:snapToGrid w:val="0"/>
      <w:sz w:val="16"/>
      <w:szCs w:val="20"/>
      <w:lang w:val="en-US" w:eastAsia="en-US"/>
    </w:rPr>
  </w:style>
  <w:style w:type="paragraph" w:customStyle="1" w:styleId="NotesHeading4">
    <w:name w:val="Notes Heading 4"/>
    <w:basedOn w:val="NoteText0"/>
    <w:autoRedefine/>
    <w:rsid w:val="00F72FC8"/>
    <w:pPr>
      <w:keepNext/>
      <w:spacing w:before="200" w:after="80"/>
      <w:ind w:left="142"/>
    </w:pPr>
    <w:rPr>
      <w:i/>
    </w:rPr>
  </w:style>
  <w:style w:type="paragraph" w:customStyle="1" w:styleId="Contents">
    <w:name w:val="Contents"/>
    <w:basedOn w:val="Head2"/>
    <w:rsid w:val="00F72FC8"/>
    <w:pPr>
      <w:outlineLvl w:val="9"/>
    </w:pPr>
  </w:style>
  <w:style w:type="paragraph" w:customStyle="1" w:styleId="bodyparabullet0">
    <w:name w:val="bodyparabullet"/>
    <w:basedOn w:val="Normal"/>
    <w:rsid w:val="00F72FC8"/>
    <w:pPr>
      <w:spacing w:before="100" w:beforeAutospacing="1" w:after="100" w:afterAutospacing="1"/>
    </w:pPr>
  </w:style>
  <w:style w:type="character" w:customStyle="1" w:styleId="BodyNumChar">
    <w:name w:val="BodyNum Char"/>
    <w:aliases w:val="b1 Char"/>
    <w:basedOn w:val="BodyChar"/>
    <w:link w:val="BodyNum"/>
    <w:rsid w:val="00A80292"/>
    <w:rPr>
      <w:rFonts w:ascii="Arial" w:hAnsi="Arial"/>
      <w:szCs w:val="24"/>
    </w:rPr>
  </w:style>
  <w:style w:type="paragraph" w:customStyle="1" w:styleId="NormalIndent0">
    <w:name w:val="NormalIndent"/>
    <w:basedOn w:val="Normal"/>
    <w:rsid w:val="00893AED"/>
    <w:pPr>
      <w:tabs>
        <w:tab w:val="left" w:pos="6112"/>
      </w:tabs>
    </w:pPr>
    <w:rPr>
      <w:sz w:val="18"/>
      <w:szCs w:val="18"/>
    </w:rPr>
  </w:style>
  <w:style w:type="paragraph" w:styleId="ListParagraph">
    <w:name w:val="List Paragraph"/>
    <w:basedOn w:val="Normal"/>
    <w:uiPriority w:val="34"/>
    <w:qFormat/>
    <w:rsid w:val="00BC2482"/>
    <w:pPr>
      <w:ind w:left="720"/>
    </w:pPr>
    <w:rPr>
      <w:rFonts w:ascii="Calibri" w:eastAsiaTheme="minorHAnsi" w:hAnsi="Calibri"/>
      <w:sz w:val="22"/>
      <w:szCs w:val="22"/>
    </w:rPr>
  </w:style>
  <w:style w:type="numbering" w:customStyle="1" w:styleId="OPCBodyList">
    <w:name w:val="OPCBodyList"/>
    <w:uiPriority w:val="99"/>
    <w:rsid w:val="00246266"/>
    <w:pPr>
      <w:numPr>
        <w:numId w:val="16"/>
      </w:numPr>
    </w:pPr>
  </w:style>
  <w:style w:type="character" w:customStyle="1" w:styleId="HeaderChar">
    <w:name w:val="Header Char"/>
    <w:basedOn w:val="DefaultParagraphFont"/>
    <w:link w:val="Header"/>
    <w:rsid w:val="00DC7B00"/>
    <w:rPr>
      <w:rFonts w:ascii="Arial" w:hAnsi="Arial"/>
      <w:color w:val="0000FF"/>
    </w:rPr>
  </w:style>
  <w:style w:type="character" w:customStyle="1" w:styleId="FooterChar">
    <w:name w:val="Footer Char"/>
    <w:basedOn w:val="DefaultParagraphFont"/>
    <w:link w:val="Footer"/>
    <w:rsid w:val="00DC7B00"/>
    <w:rPr>
      <w:sz w:val="24"/>
      <w:szCs w:val="24"/>
    </w:rPr>
  </w:style>
  <w:style w:type="paragraph" w:customStyle="1" w:styleId="mhb1">
    <w:name w:val="mhb1"/>
    <w:basedOn w:val="Normal"/>
    <w:uiPriority w:val="99"/>
    <w:rsid w:val="000C5713"/>
    <w:pPr>
      <w:tabs>
        <w:tab w:val="left" w:pos="567"/>
      </w:tabs>
      <w:spacing w:before="240"/>
    </w:pPr>
    <w:rPr>
      <w:b/>
      <w:szCs w:val="20"/>
    </w:rPr>
  </w:style>
  <w:style w:type="paragraph" w:styleId="Bibliography">
    <w:name w:val="Bibliography"/>
    <w:basedOn w:val="Normal"/>
    <w:next w:val="Normal"/>
    <w:uiPriority w:val="37"/>
    <w:semiHidden/>
    <w:unhideWhenUsed/>
    <w:rsid w:val="00893AED"/>
  </w:style>
  <w:style w:type="paragraph" w:styleId="IntenseQuote">
    <w:name w:val="Intense Quote"/>
    <w:basedOn w:val="Normal"/>
    <w:next w:val="Normal"/>
    <w:link w:val="IntenseQuoteChar"/>
    <w:uiPriority w:val="30"/>
    <w:qFormat/>
    <w:rsid w:val="00893A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3AED"/>
    <w:rPr>
      <w:b/>
      <w:bCs/>
      <w:i/>
      <w:iCs/>
      <w:color w:val="4F81BD" w:themeColor="accent1"/>
      <w:sz w:val="24"/>
      <w:szCs w:val="24"/>
    </w:rPr>
  </w:style>
  <w:style w:type="paragraph" w:styleId="NoSpacing">
    <w:name w:val="No Spacing"/>
    <w:uiPriority w:val="1"/>
    <w:qFormat/>
    <w:rsid w:val="00893AED"/>
    <w:rPr>
      <w:sz w:val="24"/>
      <w:szCs w:val="24"/>
    </w:rPr>
  </w:style>
  <w:style w:type="paragraph" w:styleId="Quote">
    <w:name w:val="Quote"/>
    <w:basedOn w:val="Normal"/>
    <w:next w:val="Normal"/>
    <w:link w:val="QuoteChar"/>
    <w:uiPriority w:val="29"/>
    <w:qFormat/>
    <w:rsid w:val="00893AED"/>
    <w:rPr>
      <w:i/>
      <w:iCs/>
      <w:color w:val="000000" w:themeColor="text1"/>
    </w:rPr>
  </w:style>
  <w:style w:type="character" w:customStyle="1" w:styleId="QuoteChar">
    <w:name w:val="Quote Char"/>
    <w:basedOn w:val="DefaultParagraphFont"/>
    <w:link w:val="Quote"/>
    <w:uiPriority w:val="29"/>
    <w:rsid w:val="00893AED"/>
    <w:rPr>
      <w:i/>
      <w:iCs/>
      <w:color w:val="000000" w:themeColor="text1"/>
      <w:sz w:val="24"/>
      <w:szCs w:val="24"/>
    </w:rPr>
  </w:style>
  <w:style w:type="paragraph" w:styleId="TOCHeading">
    <w:name w:val="TOC Heading"/>
    <w:basedOn w:val="Heading1"/>
    <w:next w:val="Normal"/>
    <w:uiPriority w:val="39"/>
    <w:semiHidden/>
    <w:unhideWhenUsed/>
    <w:qFormat/>
    <w:rsid w:val="00893AED"/>
    <w:pPr>
      <w:spacing w:before="480" w:line="240" w:lineRule="auto"/>
      <w:ind w:left="0" w:firstLine="0"/>
      <w:outlineLvl w:val="9"/>
    </w:pPr>
    <w:rPr>
      <w:rFonts w:asciiTheme="majorHAnsi" w:eastAsiaTheme="majorEastAsia" w:hAnsiTheme="majorHAnsi" w:cstheme="majorBidi"/>
      <w:color w:val="365F91" w:themeColor="accent1" w:themeShade="BF"/>
      <w:kern w:val="0"/>
      <w:sz w:val="28"/>
      <w:szCs w:val="28"/>
    </w:rPr>
  </w:style>
  <w:style w:type="paragraph" w:customStyle="1" w:styleId="TableHeading">
    <w:name w:val="TableHeading"/>
    <w:aliases w:val="th"/>
    <w:basedOn w:val="Normal"/>
    <w:next w:val="Tabletext"/>
    <w:rsid w:val="00B37353"/>
    <w:pPr>
      <w:keepNext/>
      <w:spacing w:before="60" w:line="240" w:lineRule="atLeast"/>
    </w:pPr>
    <w:rPr>
      <w:b/>
      <w:sz w:val="20"/>
      <w:szCs w:val="20"/>
    </w:rPr>
  </w:style>
  <w:style w:type="paragraph" w:customStyle="1" w:styleId="Head6">
    <w:name w:val="Head 6"/>
    <w:aliases w:val="6"/>
    <w:basedOn w:val="BodyNum"/>
    <w:rsid w:val="00B37353"/>
    <w:pPr>
      <w:numPr>
        <w:numId w:val="0"/>
      </w:numPr>
    </w:pPr>
  </w:style>
  <w:style w:type="paragraph" w:customStyle="1" w:styleId="BodyParaBulletSub">
    <w:name w:val="BodyParaBulletSub"/>
    <w:basedOn w:val="Normal"/>
    <w:link w:val="BodyParaBulletSubChar"/>
    <w:qFormat/>
    <w:rsid w:val="00F07DD2"/>
    <w:pPr>
      <w:spacing w:before="120" w:line="300" w:lineRule="exact"/>
      <w:ind w:left="709" w:hanging="352"/>
    </w:pPr>
    <w:rPr>
      <w:rFonts w:ascii="Arial" w:hAnsi="Arial"/>
      <w:sz w:val="20"/>
    </w:rPr>
  </w:style>
  <w:style w:type="character" w:customStyle="1" w:styleId="BodyParaBulletSubChar">
    <w:name w:val="BodyParaBulletSub Char"/>
    <w:basedOn w:val="DefaultParagraphFont"/>
    <w:link w:val="BodyParaBulletSub"/>
    <w:rsid w:val="00F07DD2"/>
    <w:rPr>
      <w:rFonts w:ascii="Arial" w:hAnsi="Arial"/>
      <w:szCs w:val="24"/>
    </w:rPr>
  </w:style>
  <w:style w:type="paragraph" w:styleId="Revision">
    <w:name w:val="Revision"/>
    <w:hidden/>
    <w:uiPriority w:val="99"/>
    <w:semiHidden/>
    <w:rsid w:val="00A235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caption" w:semiHidden="0" w:unhideWhenUsed="0"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C23"/>
    <w:rPr>
      <w:sz w:val="24"/>
      <w:szCs w:val="24"/>
    </w:rPr>
  </w:style>
  <w:style w:type="paragraph" w:styleId="Heading1">
    <w:name w:val="heading 1"/>
    <w:next w:val="Heading2"/>
    <w:qFormat/>
    <w:rsid w:val="00F72FC8"/>
    <w:pPr>
      <w:keepNext/>
      <w:keepLines/>
      <w:spacing w:line="260" w:lineRule="atLeast"/>
      <w:ind w:left="1134" w:hanging="1134"/>
      <w:outlineLvl w:val="0"/>
    </w:pPr>
    <w:rPr>
      <w:b/>
      <w:bCs/>
      <w:kern w:val="28"/>
      <w:sz w:val="36"/>
      <w:szCs w:val="32"/>
    </w:rPr>
  </w:style>
  <w:style w:type="paragraph" w:styleId="Heading2">
    <w:name w:val="heading 2"/>
    <w:basedOn w:val="Heading1"/>
    <w:next w:val="Heading3"/>
    <w:qFormat/>
    <w:rsid w:val="00F72FC8"/>
    <w:pPr>
      <w:spacing w:before="280"/>
      <w:outlineLvl w:val="1"/>
    </w:pPr>
    <w:rPr>
      <w:bCs w:val="0"/>
      <w:iCs/>
      <w:sz w:val="32"/>
      <w:szCs w:val="28"/>
    </w:rPr>
  </w:style>
  <w:style w:type="paragraph" w:styleId="Heading3">
    <w:name w:val="heading 3"/>
    <w:basedOn w:val="Heading1"/>
    <w:next w:val="Heading4"/>
    <w:qFormat/>
    <w:rsid w:val="00F72FC8"/>
    <w:pPr>
      <w:spacing w:before="240"/>
      <w:outlineLvl w:val="2"/>
    </w:pPr>
    <w:rPr>
      <w:bCs w:val="0"/>
      <w:sz w:val="28"/>
      <w:szCs w:val="26"/>
    </w:rPr>
  </w:style>
  <w:style w:type="paragraph" w:styleId="Heading4">
    <w:name w:val="heading 4"/>
    <w:basedOn w:val="Heading1"/>
    <w:next w:val="Heading5"/>
    <w:qFormat/>
    <w:rsid w:val="00F72FC8"/>
    <w:pPr>
      <w:spacing w:before="220"/>
      <w:outlineLvl w:val="3"/>
    </w:pPr>
    <w:rPr>
      <w:bCs w:val="0"/>
      <w:sz w:val="26"/>
      <w:szCs w:val="28"/>
    </w:rPr>
  </w:style>
  <w:style w:type="paragraph" w:styleId="Heading5">
    <w:name w:val="heading 5"/>
    <w:basedOn w:val="Heading1"/>
    <w:next w:val="subsection"/>
    <w:qFormat/>
    <w:rsid w:val="00F72FC8"/>
    <w:pPr>
      <w:spacing w:before="280"/>
      <w:outlineLvl w:val="4"/>
    </w:pPr>
    <w:rPr>
      <w:bCs w:val="0"/>
      <w:iCs/>
      <w:sz w:val="24"/>
      <w:szCs w:val="26"/>
    </w:rPr>
  </w:style>
  <w:style w:type="paragraph" w:styleId="Heading6">
    <w:name w:val="heading 6"/>
    <w:basedOn w:val="Heading1"/>
    <w:next w:val="Heading7"/>
    <w:qFormat/>
    <w:rsid w:val="00F72FC8"/>
    <w:pPr>
      <w:outlineLvl w:val="5"/>
    </w:pPr>
    <w:rPr>
      <w:rFonts w:ascii="Arial" w:hAnsi="Arial" w:cs="Arial"/>
      <w:bCs w:val="0"/>
      <w:sz w:val="32"/>
      <w:szCs w:val="22"/>
    </w:rPr>
  </w:style>
  <w:style w:type="paragraph" w:styleId="Heading7">
    <w:name w:val="heading 7"/>
    <w:basedOn w:val="Heading6"/>
    <w:next w:val="ItemHead"/>
    <w:qFormat/>
    <w:rsid w:val="00F72FC8"/>
    <w:pPr>
      <w:spacing w:before="280"/>
      <w:outlineLvl w:val="6"/>
    </w:pPr>
    <w:rPr>
      <w:sz w:val="28"/>
    </w:rPr>
  </w:style>
  <w:style w:type="paragraph" w:styleId="Heading8">
    <w:name w:val="heading 8"/>
    <w:basedOn w:val="Heading6"/>
    <w:next w:val="Normal"/>
    <w:qFormat/>
    <w:rsid w:val="00F72FC8"/>
    <w:pPr>
      <w:spacing w:before="240"/>
      <w:outlineLvl w:val="7"/>
    </w:pPr>
    <w:rPr>
      <w:iCs/>
      <w:sz w:val="26"/>
    </w:rPr>
  </w:style>
  <w:style w:type="paragraph" w:styleId="Heading9">
    <w:name w:val="heading 9"/>
    <w:basedOn w:val="Heading1"/>
    <w:next w:val="ItemHead"/>
    <w:qFormat/>
    <w:rsid w:val="00F72FC8"/>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s">
    <w:name w:val="Blocks"/>
    <w:aliases w:val="bb"/>
    <w:qFormat/>
    <w:rsid w:val="00F72FC8"/>
    <w:rPr>
      <w:sz w:val="24"/>
      <w:szCs w:val="24"/>
    </w:rPr>
  </w:style>
  <w:style w:type="paragraph" w:customStyle="1" w:styleId="BodyNum">
    <w:name w:val="BodyNum"/>
    <w:aliases w:val="b1"/>
    <w:basedOn w:val="Body"/>
    <w:link w:val="BodyNumChar"/>
    <w:rsid w:val="00A80292"/>
    <w:pPr>
      <w:numPr>
        <w:numId w:val="4"/>
      </w:numPr>
    </w:pPr>
  </w:style>
  <w:style w:type="paragraph" w:customStyle="1" w:styleId="BodyParaBullet">
    <w:name w:val="BodyParaBullet"/>
    <w:aliases w:val="bpb"/>
    <w:basedOn w:val="Body"/>
    <w:link w:val="BodyParaBulletChar"/>
    <w:rsid w:val="006B567E"/>
    <w:pPr>
      <w:tabs>
        <w:tab w:val="left" w:pos="2160"/>
      </w:tabs>
    </w:pPr>
    <w:rPr>
      <w:rFonts w:ascii="Times New Roman" w:hAnsi="Times New Roman"/>
      <w:sz w:val="18"/>
    </w:rPr>
  </w:style>
  <w:style w:type="paragraph" w:customStyle="1" w:styleId="Head1">
    <w:name w:val="Head 1"/>
    <w:aliases w:val="1"/>
    <w:basedOn w:val="Body"/>
    <w:next w:val="BodyNum"/>
    <w:rsid w:val="00F72FC8"/>
    <w:pPr>
      <w:keepNext/>
      <w:spacing w:after="60"/>
      <w:outlineLvl w:val="0"/>
    </w:pPr>
    <w:rPr>
      <w:rFonts w:cs="Arial"/>
      <w:b/>
      <w:color w:val="0000FF"/>
      <w:kern w:val="28"/>
      <w:sz w:val="36"/>
      <w:szCs w:val="36"/>
    </w:rPr>
  </w:style>
  <w:style w:type="paragraph" w:customStyle="1" w:styleId="Head3">
    <w:name w:val="Head 3"/>
    <w:aliases w:val="3"/>
    <w:basedOn w:val="Head2"/>
    <w:next w:val="BodyNum"/>
    <w:rsid w:val="00F72FC8"/>
    <w:pPr>
      <w:spacing w:before="240" w:line="300" w:lineRule="exact"/>
      <w:outlineLvl w:val="2"/>
    </w:pPr>
    <w:rPr>
      <w:i/>
      <w:sz w:val="26"/>
    </w:rPr>
  </w:style>
  <w:style w:type="paragraph" w:customStyle="1" w:styleId="Head5">
    <w:name w:val="Head 5"/>
    <w:aliases w:val="5"/>
    <w:basedOn w:val="Head4"/>
    <w:next w:val="BodyNum"/>
    <w:rsid w:val="00F72FC8"/>
    <w:pPr>
      <w:outlineLvl w:val="4"/>
    </w:pPr>
    <w:rPr>
      <w:i/>
    </w:rPr>
  </w:style>
  <w:style w:type="paragraph" w:customStyle="1" w:styleId="Body">
    <w:name w:val="Body"/>
    <w:aliases w:val="b"/>
    <w:link w:val="BodyChar"/>
    <w:rsid w:val="00F72FC8"/>
    <w:pPr>
      <w:spacing w:before="240" w:line="300" w:lineRule="exact"/>
    </w:pPr>
    <w:rPr>
      <w:rFonts w:ascii="Arial" w:hAnsi="Arial"/>
      <w:szCs w:val="24"/>
    </w:rPr>
  </w:style>
  <w:style w:type="paragraph" w:customStyle="1" w:styleId="BodyPara">
    <w:name w:val="BodyPara"/>
    <w:aliases w:val="ba"/>
    <w:basedOn w:val="Body"/>
    <w:rsid w:val="00893AED"/>
    <w:pPr>
      <w:tabs>
        <w:tab w:val="left" w:pos="567"/>
      </w:tabs>
    </w:pPr>
  </w:style>
  <w:style w:type="paragraph" w:customStyle="1" w:styleId="Head2">
    <w:name w:val="Head 2"/>
    <w:aliases w:val="2"/>
    <w:basedOn w:val="Head1"/>
    <w:next w:val="BodyNum"/>
    <w:rsid w:val="00F72FC8"/>
    <w:pPr>
      <w:spacing w:before="60" w:line="240" w:lineRule="auto"/>
      <w:outlineLvl w:val="1"/>
    </w:pPr>
    <w:rPr>
      <w:sz w:val="28"/>
    </w:rPr>
  </w:style>
  <w:style w:type="paragraph" w:customStyle="1" w:styleId="Head4">
    <w:name w:val="Head 4"/>
    <w:aliases w:val="4"/>
    <w:basedOn w:val="Head3"/>
    <w:next w:val="BodyNum"/>
    <w:rsid w:val="00F72FC8"/>
    <w:pPr>
      <w:outlineLvl w:val="3"/>
    </w:pPr>
    <w:rPr>
      <w:i w:val="0"/>
      <w:sz w:val="22"/>
    </w:rPr>
  </w:style>
  <w:style w:type="paragraph" w:customStyle="1" w:styleId="Tabletext">
    <w:name w:val="Tabletext"/>
    <w:aliases w:val="tt"/>
    <w:rsid w:val="00F72FC8"/>
    <w:pPr>
      <w:spacing w:before="240" w:line="240" w:lineRule="atLeast"/>
    </w:pPr>
    <w:rPr>
      <w:rFonts w:ascii="Arial" w:hAnsi="Arial"/>
      <w:szCs w:val="24"/>
    </w:rPr>
  </w:style>
  <w:style w:type="paragraph" w:styleId="BalloonText">
    <w:name w:val="Balloon Text"/>
    <w:rsid w:val="00F72FC8"/>
    <w:rPr>
      <w:rFonts w:ascii="Tahoma" w:hAnsi="Tahoma" w:cs="Tahoma"/>
      <w:sz w:val="16"/>
      <w:szCs w:val="16"/>
    </w:rPr>
  </w:style>
  <w:style w:type="paragraph" w:styleId="BlockText">
    <w:name w:val="Block Text"/>
    <w:rsid w:val="00F72FC8"/>
    <w:pPr>
      <w:spacing w:after="120"/>
      <w:ind w:left="1440" w:right="1440"/>
    </w:pPr>
    <w:rPr>
      <w:sz w:val="24"/>
      <w:szCs w:val="24"/>
    </w:rPr>
  </w:style>
  <w:style w:type="paragraph" w:styleId="BodyText">
    <w:name w:val="Body Text"/>
    <w:rsid w:val="00F72FC8"/>
    <w:pPr>
      <w:spacing w:after="120"/>
    </w:pPr>
    <w:rPr>
      <w:sz w:val="24"/>
      <w:szCs w:val="24"/>
    </w:rPr>
  </w:style>
  <w:style w:type="paragraph" w:styleId="BodyText2">
    <w:name w:val="Body Text 2"/>
    <w:rsid w:val="00F72FC8"/>
    <w:pPr>
      <w:spacing w:after="120" w:line="480" w:lineRule="auto"/>
    </w:pPr>
    <w:rPr>
      <w:sz w:val="24"/>
      <w:szCs w:val="24"/>
    </w:rPr>
  </w:style>
  <w:style w:type="paragraph" w:styleId="BodyText3">
    <w:name w:val="Body Text 3"/>
    <w:rsid w:val="00F72FC8"/>
    <w:pPr>
      <w:spacing w:after="120"/>
    </w:pPr>
    <w:rPr>
      <w:sz w:val="16"/>
      <w:szCs w:val="16"/>
    </w:rPr>
  </w:style>
  <w:style w:type="paragraph" w:styleId="BodyTextFirstIndent">
    <w:name w:val="Body Text First Indent"/>
    <w:rsid w:val="00F72FC8"/>
    <w:pPr>
      <w:spacing w:after="120"/>
      <w:ind w:firstLine="210"/>
    </w:pPr>
    <w:rPr>
      <w:sz w:val="24"/>
      <w:szCs w:val="24"/>
    </w:rPr>
  </w:style>
  <w:style w:type="paragraph" w:styleId="BodyTextIndent">
    <w:name w:val="Body Text Indent"/>
    <w:rsid w:val="00F72FC8"/>
    <w:pPr>
      <w:spacing w:after="120"/>
      <w:ind w:left="283"/>
    </w:pPr>
    <w:rPr>
      <w:sz w:val="24"/>
      <w:szCs w:val="24"/>
    </w:rPr>
  </w:style>
  <w:style w:type="paragraph" w:styleId="BodyTextFirstIndent2">
    <w:name w:val="Body Text First Indent 2"/>
    <w:rsid w:val="00F72FC8"/>
    <w:pPr>
      <w:spacing w:after="120"/>
      <w:ind w:left="283" w:firstLine="210"/>
    </w:pPr>
    <w:rPr>
      <w:sz w:val="24"/>
      <w:szCs w:val="24"/>
    </w:rPr>
  </w:style>
  <w:style w:type="paragraph" w:styleId="BodyTextIndent2">
    <w:name w:val="Body Text Indent 2"/>
    <w:rsid w:val="00F72FC8"/>
    <w:pPr>
      <w:spacing w:after="120" w:line="480" w:lineRule="auto"/>
      <w:ind w:left="283"/>
    </w:pPr>
    <w:rPr>
      <w:sz w:val="24"/>
      <w:szCs w:val="24"/>
    </w:rPr>
  </w:style>
  <w:style w:type="paragraph" w:styleId="BodyTextIndent3">
    <w:name w:val="Body Text Indent 3"/>
    <w:rsid w:val="00F72FC8"/>
    <w:pPr>
      <w:spacing w:after="120"/>
      <w:ind w:left="283"/>
    </w:pPr>
    <w:rPr>
      <w:sz w:val="16"/>
      <w:szCs w:val="16"/>
    </w:rPr>
  </w:style>
  <w:style w:type="paragraph" w:styleId="Caption">
    <w:name w:val="caption"/>
    <w:next w:val="Normal"/>
    <w:qFormat/>
    <w:rsid w:val="00F72FC8"/>
    <w:pPr>
      <w:spacing w:before="120" w:after="120"/>
    </w:pPr>
    <w:rPr>
      <w:b/>
      <w:bCs/>
    </w:rPr>
  </w:style>
  <w:style w:type="paragraph" w:styleId="Closing">
    <w:name w:val="Closing"/>
    <w:rsid w:val="00F72FC8"/>
    <w:pPr>
      <w:ind w:left="4252"/>
    </w:pPr>
    <w:rPr>
      <w:sz w:val="24"/>
      <w:szCs w:val="24"/>
    </w:rPr>
  </w:style>
  <w:style w:type="paragraph" w:styleId="CommentText">
    <w:name w:val="annotation text"/>
    <w:rsid w:val="00F72FC8"/>
  </w:style>
  <w:style w:type="paragraph" w:styleId="Date">
    <w:name w:val="Date"/>
    <w:next w:val="Normal"/>
    <w:rsid w:val="00F72FC8"/>
    <w:rPr>
      <w:sz w:val="24"/>
      <w:szCs w:val="24"/>
    </w:rPr>
  </w:style>
  <w:style w:type="paragraph" w:styleId="DocumentMap">
    <w:name w:val="Document Map"/>
    <w:rsid w:val="00F72FC8"/>
    <w:pPr>
      <w:shd w:val="clear" w:color="auto" w:fill="000080"/>
    </w:pPr>
    <w:rPr>
      <w:rFonts w:ascii="Tahoma" w:hAnsi="Tahoma" w:cs="Tahoma"/>
      <w:sz w:val="24"/>
      <w:szCs w:val="24"/>
    </w:rPr>
  </w:style>
  <w:style w:type="paragraph" w:styleId="E-mailSignature">
    <w:name w:val="E-mail Signature"/>
    <w:rsid w:val="00F72FC8"/>
    <w:rPr>
      <w:sz w:val="24"/>
      <w:szCs w:val="24"/>
    </w:rPr>
  </w:style>
  <w:style w:type="paragraph" w:styleId="EndnoteText">
    <w:name w:val="endnote text"/>
    <w:rsid w:val="00F72FC8"/>
  </w:style>
  <w:style w:type="paragraph" w:styleId="EnvelopeAddress">
    <w:name w:val="envelope address"/>
    <w:rsid w:val="00F72FC8"/>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F72FC8"/>
    <w:rPr>
      <w:rFonts w:ascii="Arial" w:hAnsi="Arial" w:cs="Arial"/>
    </w:rPr>
  </w:style>
  <w:style w:type="paragraph" w:styleId="Footer">
    <w:name w:val="footer"/>
    <w:link w:val="FooterChar"/>
    <w:rsid w:val="00F72FC8"/>
    <w:pPr>
      <w:tabs>
        <w:tab w:val="center" w:pos="4153"/>
        <w:tab w:val="center" w:pos="4320"/>
        <w:tab w:val="right" w:pos="8306"/>
        <w:tab w:val="right" w:pos="8640"/>
      </w:tabs>
    </w:pPr>
    <w:rPr>
      <w:sz w:val="24"/>
      <w:szCs w:val="24"/>
    </w:rPr>
  </w:style>
  <w:style w:type="paragraph" w:styleId="FootnoteText">
    <w:name w:val="footnote text"/>
    <w:rsid w:val="00F72FC8"/>
  </w:style>
  <w:style w:type="paragraph" w:styleId="Header">
    <w:name w:val="header"/>
    <w:link w:val="HeaderChar"/>
    <w:rsid w:val="00F72FC8"/>
    <w:pPr>
      <w:tabs>
        <w:tab w:val="center" w:pos="4153"/>
        <w:tab w:val="center" w:pos="4320"/>
        <w:tab w:val="right" w:pos="8306"/>
        <w:tab w:val="right" w:pos="8640"/>
      </w:tabs>
    </w:pPr>
    <w:rPr>
      <w:rFonts w:ascii="Arial" w:hAnsi="Arial"/>
      <w:color w:val="0000FF"/>
    </w:rPr>
  </w:style>
  <w:style w:type="paragraph" w:styleId="HTMLAddress">
    <w:name w:val="HTML Address"/>
    <w:rsid w:val="00F72FC8"/>
    <w:rPr>
      <w:i/>
      <w:iCs/>
      <w:sz w:val="24"/>
      <w:szCs w:val="24"/>
    </w:rPr>
  </w:style>
  <w:style w:type="paragraph" w:styleId="HTMLPreformatted">
    <w:name w:val="HTML Preformatted"/>
    <w:rsid w:val="00F72FC8"/>
    <w:rPr>
      <w:rFonts w:ascii="Courier New" w:hAnsi="Courier New" w:cs="Courier New"/>
    </w:rPr>
  </w:style>
  <w:style w:type="paragraph" w:styleId="Index1">
    <w:name w:val="index 1"/>
    <w:next w:val="Normal"/>
    <w:rsid w:val="00F72FC8"/>
    <w:pPr>
      <w:ind w:left="240" w:hanging="240"/>
    </w:pPr>
    <w:rPr>
      <w:sz w:val="24"/>
      <w:szCs w:val="24"/>
    </w:rPr>
  </w:style>
  <w:style w:type="paragraph" w:styleId="Index2">
    <w:name w:val="index 2"/>
    <w:next w:val="Normal"/>
    <w:rsid w:val="00F72FC8"/>
    <w:pPr>
      <w:ind w:left="480" w:hanging="240"/>
    </w:pPr>
    <w:rPr>
      <w:sz w:val="24"/>
      <w:szCs w:val="24"/>
    </w:rPr>
  </w:style>
  <w:style w:type="paragraph" w:styleId="Index3">
    <w:name w:val="index 3"/>
    <w:next w:val="Normal"/>
    <w:rsid w:val="00F72FC8"/>
    <w:pPr>
      <w:ind w:left="720" w:hanging="240"/>
    </w:pPr>
    <w:rPr>
      <w:sz w:val="24"/>
      <w:szCs w:val="24"/>
    </w:rPr>
  </w:style>
  <w:style w:type="paragraph" w:styleId="Index4">
    <w:name w:val="index 4"/>
    <w:next w:val="Normal"/>
    <w:rsid w:val="00F72FC8"/>
    <w:pPr>
      <w:ind w:left="960" w:hanging="240"/>
    </w:pPr>
    <w:rPr>
      <w:sz w:val="24"/>
      <w:szCs w:val="24"/>
    </w:rPr>
  </w:style>
  <w:style w:type="paragraph" w:styleId="Index5">
    <w:name w:val="index 5"/>
    <w:next w:val="Normal"/>
    <w:rsid w:val="00F72FC8"/>
    <w:pPr>
      <w:ind w:left="1200" w:hanging="240"/>
    </w:pPr>
    <w:rPr>
      <w:sz w:val="24"/>
      <w:szCs w:val="24"/>
    </w:rPr>
  </w:style>
  <w:style w:type="paragraph" w:styleId="Index6">
    <w:name w:val="index 6"/>
    <w:next w:val="Normal"/>
    <w:rsid w:val="00F72FC8"/>
    <w:pPr>
      <w:ind w:left="1440" w:hanging="240"/>
    </w:pPr>
    <w:rPr>
      <w:sz w:val="24"/>
      <w:szCs w:val="24"/>
    </w:rPr>
  </w:style>
  <w:style w:type="paragraph" w:styleId="Index7">
    <w:name w:val="index 7"/>
    <w:next w:val="Normal"/>
    <w:rsid w:val="00F72FC8"/>
    <w:pPr>
      <w:ind w:left="1680" w:hanging="240"/>
    </w:pPr>
    <w:rPr>
      <w:sz w:val="24"/>
      <w:szCs w:val="24"/>
    </w:rPr>
  </w:style>
  <w:style w:type="paragraph" w:styleId="Index8">
    <w:name w:val="index 8"/>
    <w:next w:val="Normal"/>
    <w:rsid w:val="00F72FC8"/>
    <w:pPr>
      <w:ind w:left="1920" w:hanging="240"/>
    </w:pPr>
    <w:rPr>
      <w:sz w:val="24"/>
      <w:szCs w:val="24"/>
    </w:rPr>
  </w:style>
  <w:style w:type="paragraph" w:styleId="Index9">
    <w:name w:val="index 9"/>
    <w:next w:val="Normal"/>
    <w:rsid w:val="00F72FC8"/>
    <w:pPr>
      <w:ind w:left="2160" w:hanging="240"/>
    </w:pPr>
    <w:rPr>
      <w:sz w:val="24"/>
      <w:szCs w:val="24"/>
    </w:rPr>
  </w:style>
  <w:style w:type="paragraph" w:styleId="IndexHeading">
    <w:name w:val="index heading"/>
    <w:next w:val="Index1"/>
    <w:rsid w:val="00F72FC8"/>
    <w:rPr>
      <w:rFonts w:ascii="Arial" w:hAnsi="Arial" w:cs="Arial"/>
      <w:b/>
      <w:bCs/>
      <w:sz w:val="24"/>
      <w:szCs w:val="24"/>
    </w:rPr>
  </w:style>
  <w:style w:type="paragraph" w:styleId="List">
    <w:name w:val="List"/>
    <w:rsid w:val="00F72FC8"/>
    <w:pPr>
      <w:ind w:left="283" w:hanging="283"/>
    </w:pPr>
    <w:rPr>
      <w:sz w:val="24"/>
      <w:szCs w:val="24"/>
    </w:rPr>
  </w:style>
  <w:style w:type="paragraph" w:styleId="List2">
    <w:name w:val="List 2"/>
    <w:rsid w:val="00F72FC8"/>
    <w:pPr>
      <w:ind w:left="566" w:hanging="283"/>
    </w:pPr>
    <w:rPr>
      <w:sz w:val="24"/>
      <w:szCs w:val="24"/>
    </w:rPr>
  </w:style>
  <w:style w:type="paragraph" w:styleId="List3">
    <w:name w:val="List 3"/>
    <w:rsid w:val="00F72FC8"/>
    <w:pPr>
      <w:ind w:left="849" w:hanging="283"/>
    </w:pPr>
    <w:rPr>
      <w:sz w:val="24"/>
      <w:szCs w:val="24"/>
    </w:rPr>
  </w:style>
  <w:style w:type="paragraph" w:styleId="List4">
    <w:name w:val="List 4"/>
    <w:rsid w:val="00F72FC8"/>
    <w:pPr>
      <w:ind w:left="1132" w:hanging="283"/>
    </w:pPr>
    <w:rPr>
      <w:sz w:val="24"/>
      <w:szCs w:val="24"/>
    </w:rPr>
  </w:style>
  <w:style w:type="paragraph" w:styleId="List5">
    <w:name w:val="List 5"/>
    <w:rsid w:val="00F72FC8"/>
    <w:pPr>
      <w:ind w:left="1415" w:hanging="283"/>
    </w:pPr>
    <w:rPr>
      <w:sz w:val="24"/>
      <w:szCs w:val="24"/>
    </w:rPr>
  </w:style>
  <w:style w:type="paragraph" w:styleId="ListBullet">
    <w:name w:val="List Bullet"/>
    <w:rsid w:val="00893AED"/>
    <w:rPr>
      <w:sz w:val="24"/>
      <w:szCs w:val="24"/>
    </w:rPr>
  </w:style>
  <w:style w:type="paragraph" w:styleId="ListBullet2">
    <w:name w:val="List Bullet 2"/>
    <w:rsid w:val="00893AED"/>
    <w:rPr>
      <w:sz w:val="24"/>
      <w:szCs w:val="24"/>
    </w:rPr>
  </w:style>
  <w:style w:type="paragraph" w:styleId="ListBullet3">
    <w:name w:val="List Bullet 3"/>
    <w:rsid w:val="00893AED"/>
    <w:rPr>
      <w:sz w:val="24"/>
      <w:szCs w:val="24"/>
    </w:rPr>
  </w:style>
  <w:style w:type="paragraph" w:styleId="ListBullet4">
    <w:name w:val="List Bullet 4"/>
    <w:rsid w:val="00893AED"/>
    <w:rPr>
      <w:sz w:val="24"/>
      <w:szCs w:val="24"/>
    </w:rPr>
  </w:style>
  <w:style w:type="paragraph" w:styleId="ListBullet5">
    <w:name w:val="List Bullet 5"/>
    <w:rsid w:val="00893AED"/>
    <w:rPr>
      <w:sz w:val="24"/>
      <w:szCs w:val="24"/>
    </w:rPr>
  </w:style>
  <w:style w:type="paragraph" w:styleId="ListContinue">
    <w:name w:val="List Continue"/>
    <w:rsid w:val="00F72FC8"/>
    <w:pPr>
      <w:spacing w:after="120"/>
      <w:ind w:left="283"/>
    </w:pPr>
    <w:rPr>
      <w:sz w:val="24"/>
      <w:szCs w:val="24"/>
    </w:rPr>
  </w:style>
  <w:style w:type="paragraph" w:styleId="ListContinue2">
    <w:name w:val="List Continue 2"/>
    <w:rsid w:val="00F72FC8"/>
    <w:pPr>
      <w:spacing w:after="120"/>
      <w:ind w:left="566"/>
    </w:pPr>
    <w:rPr>
      <w:sz w:val="24"/>
      <w:szCs w:val="24"/>
    </w:rPr>
  </w:style>
  <w:style w:type="paragraph" w:styleId="ListContinue3">
    <w:name w:val="List Continue 3"/>
    <w:rsid w:val="00F72FC8"/>
    <w:pPr>
      <w:spacing w:after="120"/>
      <w:ind w:left="849"/>
    </w:pPr>
    <w:rPr>
      <w:sz w:val="24"/>
      <w:szCs w:val="24"/>
    </w:rPr>
  </w:style>
  <w:style w:type="paragraph" w:styleId="ListContinue4">
    <w:name w:val="List Continue 4"/>
    <w:rsid w:val="00F72FC8"/>
    <w:pPr>
      <w:spacing w:after="120"/>
      <w:ind w:left="1132"/>
    </w:pPr>
    <w:rPr>
      <w:sz w:val="24"/>
      <w:szCs w:val="24"/>
    </w:rPr>
  </w:style>
  <w:style w:type="paragraph" w:styleId="ListContinue5">
    <w:name w:val="List Continue 5"/>
    <w:rsid w:val="00F72FC8"/>
    <w:pPr>
      <w:spacing w:after="120"/>
      <w:ind w:left="1415"/>
    </w:pPr>
    <w:rPr>
      <w:sz w:val="24"/>
      <w:szCs w:val="24"/>
    </w:rPr>
  </w:style>
  <w:style w:type="paragraph" w:styleId="ListNumber">
    <w:name w:val="List Number"/>
    <w:rsid w:val="00893AED"/>
    <w:rPr>
      <w:sz w:val="24"/>
      <w:szCs w:val="24"/>
    </w:rPr>
  </w:style>
  <w:style w:type="paragraph" w:styleId="ListNumber2">
    <w:name w:val="List Number 2"/>
    <w:rsid w:val="00893AED"/>
    <w:rPr>
      <w:sz w:val="24"/>
      <w:szCs w:val="24"/>
    </w:rPr>
  </w:style>
  <w:style w:type="paragraph" w:styleId="ListNumber3">
    <w:name w:val="List Number 3"/>
    <w:rsid w:val="00893AED"/>
    <w:rPr>
      <w:sz w:val="24"/>
      <w:szCs w:val="24"/>
    </w:rPr>
  </w:style>
  <w:style w:type="paragraph" w:styleId="ListNumber4">
    <w:name w:val="List Number 4"/>
    <w:rsid w:val="00893AED"/>
    <w:rPr>
      <w:sz w:val="24"/>
      <w:szCs w:val="24"/>
    </w:rPr>
  </w:style>
  <w:style w:type="paragraph" w:styleId="ListNumber5">
    <w:name w:val="List Number 5"/>
    <w:rsid w:val="00893AED"/>
    <w:rPr>
      <w:sz w:val="24"/>
      <w:szCs w:val="24"/>
    </w:rPr>
  </w:style>
  <w:style w:type="paragraph" w:styleId="MessageHeader">
    <w:name w:val="Message Header"/>
    <w:rsid w:val="00F72F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F72FC8"/>
    <w:rPr>
      <w:sz w:val="24"/>
      <w:szCs w:val="24"/>
    </w:rPr>
  </w:style>
  <w:style w:type="paragraph" w:styleId="NormalIndent">
    <w:name w:val="Normal Indent"/>
    <w:rsid w:val="00F72FC8"/>
    <w:pPr>
      <w:ind w:left="720"/>
    </w:pPr>
    <w:rPr>
      <w:sz w:val="24"/>
      <w:szCs w:val="24"/>
    </w:rPr>
  </w:style>
  <w:style w:type="paragraph" w:styleId="NoteHeading">
    <w:name w:val="Note Heading"/>
    <w:next w:val="Normal"/>
    <w:rsid w:val="00F72FC8"/>
    <w:rPr>
      <w:sz w:val="24"/>
      <w:szCs w:val="24"/>
    </w:rPr>
  </w:style>
  <w:style w:type="paragraph" w:styleId="PlainText">
    <w:name w:val="Plain Text"/>
    <w:rsid w:val="00F72FC8"/>
    <w:rPr>
      <w:rFonts w:ascii="Courier New" w:hAnsi="Courier New" w:cs="Courier New"/>
    </w:rPr>
  </w:style>
  <w:style w:type="paragraph" w:styleId="Salutation">
    <w:name w:val="Salutation"/>
    <w:next w:val="Normal"/>
    <w:rsid w:val="00F72FC8"/>
    <w:rPr>
      <w:sz w:val="24"/>
      <w:szCs w:val="24"/>
    </w:rPr>
  </w:style>
  <w:style w:type="paragraph" w:styleId="Signature">
    <w:name w:val="Signature"/>
    <w:rsid w:val="00F72FC8"/>
    <w:pPr>
      <w:ind w:left="4252"/>
    </w:pPr>
    <w:rPr>
      <w:sz w:val="24"/>
      <w:szCs w:val="24"/>
    </w:rPr>
  </w:style>
  <w:style w:type="paragraph" w:styleId="Subtitle">
    <w:name w:val="Subtitle"/>
    <w:qFormat/>
    <w:rsid w:val="00F72FC8"/>
    <w:pPr>
      <w:spacing w:after="60"/>
      <w:jc w:val="center"/>
      <w:outlineLvl w:val="1"/>
    </w:pPr>
    <w:rPr>
      <w:rFonts w:ascii="Arial" w:hAnsi="Arial" w:cs="Arial"/>
      <w:sz w:val="24"/>
      <w:szCs w:val="24"/>
    </w:rPr>
  </w:style>
  <w:style w:type="paragraph" w:styleId="TableofAuthorities">
    <w:name w:val="table of authorities"/>
    <w:next w:val="Normal"/>
    <w:rsid w:val="00F72FC8"/>
    <w:pPr>
      <w:ind w:left="240" w:hanging="240"/>
    </w:pPr>
    <w:rPr>
      <w:sz w:val="24"/>
      <w:szCs w:val="24"/>
    </w:rPr>
  </w:style>
  <w:style w:type="paragraph" w:styleId="TableofFigures">
    <w:name w:val="table of figures"/>
    <w:next w:val="Normal"/>
    <w:rsid w:val="00F72FC8"/>
    <w:pPr>
      <w:ind w:left="480" w:hanging="480"/>
    </w:pPr>
    <w:rPr>
      <w:sz w:val="24"/>
      <w:szCs w:val="24"/>
    </w:rPr>
  </w:style>
  <w:style w:type="paragraph" w:styleId="Title">
    <w:name w:val="Title"/>
    <w:qFormat/>
    <w:rsid w:val="00F72FC8"/>
    <w:pPr>
      <w:spacing w:before="240" w:after="60"/>
      <w:jc w:val="center"/>
      <w:outlineLvl w:val="0"/>
    </w:pPr>
    <w:rPr>
      <w:rFonts w:ascii="Arial" w:hAnsi="Arial" w:cs="Arial"/>
      <w:b/>
      <w:bCs/>
      <w:kern w:val="28"/>
      <w:sz w:val="32"/>
      <w:szCs w:val="32"/>
    </w:rPr>
  </w:style>
  <w:style w:type="paragraph" w:styleId="TOAHeading">
    <w:name w:val="toa heading"/>
    <w:next w:val="Normal"/>
    <w:rsid w:val="00F72FC8"/>
    <w:pPr>
      <w:spacing w:before="120"/>
    </w:pPr>
    <w:rPr>
      <w:rFonts w:ascii="Arial" w:hAnsi="Arial" w:cs="Arial"/>
      <w:b/>
      <w:bCs/>
      <w:sz w:val="24"/>
      <w:szCs w:val="24"/>
    </w:rPr>
  </w:style>
  <w:style w:type="paragraph" w:styleId="TOC1">
    <w:name w:val="toc 1"/>
    <w:basedOn w:val="Heading1"/>
    <w:next w:val="Normal"/>
    <w:uiPriority w:val="39"/>
    <w:rsid w:val="00F72FC8"/>
    <w:pPr>
      <w:tabs>
        <w:tab w:val="right" w:pos="9000"/>
      </w:tabs>
      <w:spacing w:before="120" w:line="240" w:lineRule="auto"/>
      <w:ind w:left="1474" w:right="867" w:hanging="1474"/>
      <w:outlineLvl w:val="9"/>
    </w:pPr>
    <w:rPr>
      <w:sz w:val="28"/>
    </w:rPr>
  </w:style>
  <w:style w:type="paragraph" w:styleId="TOC2">
    <w:name w:val="toc 2"/>
    <w:basedOn w:val="Heading2"/>
    <w:next w:val="Normal"/>
    <w:uiPriority w:val="39"/>
    <w:rsid w:val="00F72FC8"/>
    <w:pPr>
      <w:tabs>
        <w:tab w:val="right" w:leader="dot" w:pos="7080"/>
      </w:tabs>
      <w:spacing w:before="120" w:line="240" w:lineRule="auto"/>
      <w:ind w:left="600" w:right="868" w:hanging="600"/>
      <w:outlineLvl w:val="9"/>
    </w:pPr>
    <w:rPr>
      <w:rFonts w:ascii="Arial" w:hAnsi="Arial" w:cs="Arial"/>
      <w:noProof/>
      <w:sz w:val="24"/>
    </w:rPr>
  </w:style>
  <w:style w:type="paragraph" w:styleId="TOC3">
    <w:name w:val="toc 3"/>
    <w:basedOn w:val="Heading3"/>
    <w:next w:val="Normal"/>
    <w:uiPriority w:val="39"/>
    <w:rsid w:val="00F72FC8"/>
    <w:pPr>
      <w:tabs>
        <w:tab w:val="right" w:leader="dot" w:pos="7080"/>
        <w:tab w:val="right" w:leader="dot" w:pos="9000"/>
      </w:tabs>
      <w:spacing w:before="80" w:line="240" w:lineRule="auto"/>
      <w:ind w:left="1200" w:right="867" w:hanging="775"/>
      <w:outlineLvl w:val="9"/>
    </w:pPr>
    <w:rPr>
      <w:rFonts w:ascii="Arial" w:hAnsi="Arial" w:cs="Arial"/>
      <w:noProof/>
      <w:sz w:val="18"/>
    </w:rPr>
  </w:style>
  <w:style w:type="paragraph" w:styleId="TOC4">
    <w:name w:val="toc 4"/>
    <w:basedOn w:val="Heading4"/>
    <w:next w:val="Normal"/>
    <w:uiPriority w:val="39"/>
    <w:rsid w:val="00F72FC8"/>
    <w:pPr>
      <w:keepNext w:val="0"/>
      <w:tabs>
        <w:tab w:val="right" w:pos="9000"/>
      </w:tabs>
      <w:spacing w:before="80" w:line="240" w:lineRule="auto"/>
      <w:ind w:left="2183" w:right="867" w:hanging="1332"/>
      <w:outlineLvl w:val="9"/>
    </w:pPr>
    <w:rPr>
      <w:sz w:val="20"/>
    </w:rPr>
  </w:style>
  <w:style w:type="paragraph" w:styleId="TOC5">
    <w:name w:val="toc 5"/>
    <w:basedOn w:val="Heading5"/>
    <w:next w:val="Normal"/>
    <w:uiPriority w:val="39"/>
    <w:rsid w:val="00F72FC8"/>
    <w:pPr>
      <w:keepNext w:val="0"/>
      <w:tabs>
        <w:tab w:val="right" w:leader="dot" w:pos="9000"/>
      </w:tabs>
      <w:spacing w:before="40" w:line="240" w:lineRule="auto"/>
      <w:ind w:left="2280" w:right="867" w:hanging="862"/>
      <w:outlineLvl w:val="9"/>
    </w:pPr>
    <w:rPr>
      <w:b w:val="0"/>
      <w:sz w:val="18"/>
    </w:rPr>
  </w:style>
  <w:style w:type="paragraph" w:styleId="TOC6">
    <w:name w:val="toc 6"/>
    <w:basedOn w:val="TOC1"/>
    <w:next w:val="Normal"/>
    <w:rsid w:val="00F72FC8"/>
    <w:pPr>
      <w:keepNext w:val="0"/>
      <w:ind w:left="1344" w:hanging="1344"/>
    </w:pPr>
    <w:rPr>
      <w:sz w:val="24"/>
    </w:rPr>
  </w:style>
  <w:style w:type="paragraph" w:styleId="TOC7">
    <w:name w:val="toc 7"/>
    <w:basedOn w:val="TOC2"/>
    <w:next w:val="Normal"/>
    <w:rsid w:val="00F72FC8"/>
    <w:pPr>
      <w:keepNext w:val="0"/>
      <w:ind w:left="1253" w:right="867" w:hanging="828"/>
    </w:pPr>
    <w:rPr>
      <w:b w:val="0"/>
    </w:rPr>
  </w:style>
  <w:style w:type="paragraph" w:styleId="TOC8">
    <w:name w:val="toc 8"/>
    <w:basedOn w:val="TOC3"/>
    <w:next w:val="Normal"/>
    <w:rsid w:val="00F72FC8"/>
    <w:pPr>
      <w:keepNext w:val="0"/>
      <w:tabs>
        <w:tab w:val="right" w:pos="9000"/>
      </w:tabs>
      <w:ind w:left="1900" w:hanging="1049"/>
    </w:pPr>
    <w:rPr>
      <w:b w:val="0"/>
      <w:sz w:val="20"/>
    </w:rPr>
  </w:style>
  <w:style w:type="paragraph" w:styleId="TOC9">
    <w:name w:val="toc 9"/>
    <w:basedOn w:val="Heading9"/>
    <w:next w:val="Normal"/>
    <w:rsid w:val="00F72FC8"/>
    <w:pPr>
      <w:tabs>
        <w:tab w:val="right" w:pos="9000"/>
      </w:tabs>
      <w:spacing w:before="80" w:line="240" w:lineRule="auto"/>
      <w:ind w:left="851" w:right="867" w:firstLine="0"/>
      <w:outlineLvl w:val="9"/>
    </w:pPr>
    <w:rPr>
      <w:b w:val="0"/>
      <w:sz w:val="20"/>
    </w:rPr>
  </w:style>
  <w:style w:type="character" w:styleId="CommentReference">
    <w:name w:val="annotation reference"/>
    <w:basedOn w:val="DefaultParagraphFont"/>
    <w:rsid w:val="00F72FC8"/>
    <w:rPr>
      <w:sz w:val="16"/>
      <w:szCs w:val="16"/>
    </w:rPr>
  </w:style>
  <w:style w:type="paragraph" w:styleId="CommentSubject">
    <w:name w:val="annotation subject"/>
    <w:basedOn w:val="TOC6"/>
    <w:next w:val="CommentText"/>
    <w:rsid w:val="00F72FC8"/>
    <w:pPr>
      <w:ind w:left="0"/>
    </w:pPr>
    <w:rPr>
      <w:b w:val="0"/>
      <w:bCs w:val="0"/>
      <w:sz w:val="20"/>
    </w:rPr>
  </w:style>
  <w:style w:type="character" w:styleId="Emphasis">
    <w:name w:val="Emphasis"/>
    <w:basedOn w:val="DefaultParagraphFont"/>
    <w:qFormat/>
    <w:rsid w:val="00F72FC8"/>
    <w:rPr>
      <w:i/>
      <w:iCs/>
    </w:rPr>
  </w:style>
  <w:style w:type="character" w:styleId="EndnoteReference">
    <w:name w:val="endnote reference"/>
    <w:basedOn w:val="DefaultParagraphFont"/>
    <w:rsid w:val="00F72FC8"/>
    <w:rPr>
      <w:vertAlign w:val="superscript"/>
    </w:rPr>
  </w:style>
  <w:style w:type="character" w:styleId="FollowedHyperlink">
    <w:name w:val="FollowedHyperlink"/>
    <w:basedOn w:val="DefaultParagraphFont"/>
    <w:rsid w:val="00F72FC8"/>
    <w:rPr>
      <w:color w:val="800080"/>
      <w:u w:val="single"/>
    </w:rPr>
  </w:style>
  <w:style w:type="character" w:styleId="FootnoteReference">
    <w:name w:val="footnote reference"/>
    <w:basedOn w:val="DefaultParagraphFont"/>
    <w:uiPriority w:val="99"/>
    <w:rsid w:val="00F72FC8"/>
    <w:rPr>
      <w:vertAlign w:val="superscript"/>
    </w:rPr>
  </w:style>
  <w:style w:type="character" w:styleId="HTMLAcronym">
    <w:name w:val="HTML Acronym"/>
    <w:basedOn w:val="DefaultParagraphFont"/>
    <w:rsid w:val="00F72FC8"/>
  </w:style>
  <w:style w:type="character" w:styleId="HTMLCite">
    <w:name w:val="HTML Cite"/>
    <w:basedOn w:val="DefaultParagraphFont"/>
    <w:rsid w:val="00F72FC8"/>
    <w:rPr>
      <w:i/>
      <w:iCs/>
    </w:rPr>
  </w:style>
  <w:style w:type="character" w:styleId="HTMLCode">
    <w:name w:val="HTML Code"/>
    <w:basedOn w:val="DefaultParagraphFont"/>
    <w:rsid w:val="00F72FC8"/>
    <w:rPr>
      <w:rFonts w:ascii="Courier New" w:hAnsi="Courier New" w:cs="Courier New"/>
      <w:sz w:val="20"/>
      <w:szCs w:val="20"/>
    </w:rPr>
  </w:style>
  <w:style w:type="character" w:styleId="HTMLDefinition">
    <w:name w:val="HTML Definition"/>
    <w:basedOn w:val="DefaultParagraphFont"/>
    <w:rsid w:val="00F72FC8"/>
    <w:rPr>
      <w:i/>
      <w:iCs/>
    </w:rPr>
  </w:style>
  <w:style w:type="character" w:styleId="HTMLKeyboard">
    <w:name w:val="HTML Keyboard"/>
    <w:basedOn w:val="HTMLDefinition"/>
    <w:rsid w:val="00F72FC8"/>
    <w:rPr>
      <w:rFonts w:ascii="Courier New" w:hAnsi="Courier New" w:cs="Courier New"/>
      <w:i/>
      <w:iCs/>
      <w:sz w:val="20"/>
      <w:szCs w:val="20"/>
    </w:rPr>
  </w:style>
  <w:style w:type="character" w:styleId="HTMLSample">
    <w:name w:val="HTML Sample"/>
    <w:basedOn w:val="HTMLDefinition"/>
    <w:rsid w:val="00F72FC8"/>
    <w:rPr>
      <w:rFonts w:ascii="Courier New" w:hAnsi="Courier New" w:cs="Courier New"/>
      <w:i/>
      <w:iCs/>
    </w:rPr>
  </w:style>
  <w:style w:type="character" w:styleId="HTMLTypewriter">
    <w:name w:val="HTML Typewriter"/>
    <w:basedOn w:val="HTMLDefinition"/>
    <w:rsid w:val="00F72FC8"/>
    <w:rPr>
      <w:rFonts w:ascii="Courier New" w:hAnsi="Courier New" w:cs="Courier New"/>
      <w:i/>
      <w:iCs/>
      <w:sz w:val="20"/>
      <w:szCs w:val="20"/>
    </w:rPr>
  </w:style>
  <w:style w:type="character" w:styleId="HTMLVariable">
    <w:name w:val="HTML Variable"/>
    <w:basedOn w:val="HTMLDefinition"/>
    <w:rsid w:val="00F72FC8"/>
    <w:rPr>
      <w:i/>
      <w:iCs/>
    </w:rPr>
  </w:style>
  <w:style w:type="character" w:styleId="Hyperlink">
    <w:name w:val="Hyperlink"/>
    <w:rsid w:val="00F72FC8"/>
    <w:rPr>
      <w:color w:val="0000FF"/>
      <w:u w:val="single"/>
    </w:rPr>
  </w:style>
  <w:style w:type="character" w:styleId="LineNumber">
    <w:name w:val="line number"/>
    <w:basedOn w:val="DefaultParagraphFont"/>
    <w:rsid w:val="00F72FC8"/>
    <w:rPr>
      <w:sz w:val="16"/>
    </w:rPr>
  </w:style>
  <w:style w:type="paragraph" w:styleId="MacroText">
    <w:name w:val="macro"/>
    <w:rsid w:val="00F72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styleId="PageNumber">
    <w:name w:val="page number"/>
    <w:basedOn w:val="DefaultParagraphFont"/>
    <w:rsid w:val="00F72FC8"/>
  </w:style>
  <w:style w:type="character" w:styleId="Strong">
    <w:name w:val="Strong"/>
    <w:basedOn w:val="HTMLDefinition"/>
    <w:qFormat/>
    <w:rsid w:val="00F72FC8"/>
    <w:rPr>
      <w:b/>
      <w:bCs/>
      <w:i/>
      <w:iCs/>
    </w:rPr>
  </w:style>
  <w:style w:type="paragraph" w:customStyle="1" w:styleId="BodySubPara">
    <w:name w:val="BodySubPara"/>
    <w:aliases w:val="bi"/>
    <w:basedOn w:val="Body"/>
    <w:rsid w:val="00893AED"/>
  </w:style>
  <w:style w:type="paragraph" w:customStyle="1" w:styleId="ShortT">
    <w:name w:val="ShortT"/>
    <w:next w:val="Normal"/>
    <w:rsid w:val="00F72FC8"/>
    <w:rPr>
      <w:b/>
      <w:sz w:val="40"/>
      <w:szCs w:val="24"/>
    </w:rPr>
  </w:style>
  <w:style w:type="paragraph" w:customStyle="1" w:styleId="Actno">
    <w:name w:val="Actno"/>
    <w:basedOn w:val="ShortT"/>
    <w:next w:val="Normal"/>
    <w:rsid w:val="00F72FC8"/>
  </w:style>
  <w:style w:type="paragraph" w:customStyle="1" w:styleId="BoxText">
    <w:name w:val="BoxText"/>
    <w:aliases w:val="bt"/>
    <w:rsid w:val="00F72FC8"/>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F72FC8"/>
    <w:rPr>
      <w:b/>
    </w:rPr>
  </w:style>
  <w:style w:type="paragraph" w:customStyle="1" w:styleId="BoxHeadItalic">
    <w:name w:val="BoxHeadItalic"/>
    <w:aliases w:val="bhi"/>
    <w:basedOn w:val="BoxHeadBold"/>
    <w:next w:val="BoxStep"/>
    <w:rsid w:val="00F72FC8"/>
    <w:pPr>
      <w:spacing w:line="260" w:lineRule="atLeast"/>
    </w:pPr>
    <w:rPr>
      <w:b w:val="0"/>
      <w:i/>
    </w:rPr>
  </w:style>
  <w:style w:type="paragraph" w:customStyle="1" w:styleId="BoxList">
    <w:name w:val="BoxList"/>
    <w:aliases w:val="bl"/>
    <w:basedOn w:val="BoxText"/>
    <w:rsid w:val="00F72FC8"/>
    <w:pPr>
      <w:ind w:left="1559" w:hanging="425"/>
    </w:pPr>
  </w:style>
  <w:style w:type="paragraph" w:customStyle="1" w:styleId="BoxNote">
    <w:name w:val="BoxNote"/>
    <w:aliases w:val="bn"/>
    <w:basedOn w:val="BoxText"/>
    <w:rsid w:val="00F72FC8"/>
    <w:pPr>
      <w:tabs>
        <w:tab w:val="left" w:pos="1985"/>
      </w:tabs>
      <w:spacing w:before="122" w:line="198" w:lineRule="exact"/>
      <w:ind w:left="2948" w:hanging="1814"/>
    </w:pPr>
    <w:rPr>
      <w:sz w:val="18"/>
    </w:rPr>
  </w:style>
  <w:style w:type="paragraph" w:customStyle="1" w:styleId="BoxPara">
    <w:name w:val="BoxPara"/>
    <w:aliases w:val="bp"/>
    <w:basedOn w:val="BoxText"/>
    <w:rsid w:val="00F72FC8"/>
    <w:pPr>
      <w:tabs>
        <w:tab w:val="right" w:pos="2268"/>
      </w:tabs>
      <w:ind w:left="2552" w:hanging="1418"/>
    </w:pPr>
  </w:style>
  <w:style w:type="paragraph" w:customStyle="1" w:styleId="BoxStep">
    <w:name w:val="BoxStep"/>
    <w:aliases w:val="bs"/>
    <w:basedOn w:val="BoxText"/>
    <w:rsid w:val="00F72FC8"/>
    <w:pPr>
      <w:ind w:left="1985" w:hanging="851"/>
    </w:pPr>
  </w:style>
  <w:style w:type="character" w:customStyle="1" w:styleId="CharAmPartNo">
    <w:name w:val="CharAmPartNo"/>
    <w:basedOn w:val="DefaultParagraphFont"/>
    <w:rsid w:val="00F72FC8"/>
  </w:style>
  <w:style w:type="character" w:customStyle="1" w:styleId="CharAmPartText">
    <w:name w:val="CharAmPartText"/>
    <w:basedOn w:val="DefaultParagraphFont"/>
    <w:rsid w:val="00F72FC8"/>
  </w:style>
  <w:style w:type="character" w:customStyle="1" w:styleId="CharAmSchNo">
    <w:name w:val="CharAmSchNo"/>
    <w:basedOn w:val="DefaultParagraphFont"/>
    <w:rsid w:val="00F72FC8"/>
  </w:style>
  <w:style w:type="character" w:customStyle="1" w:styleId="CharAmSchText">
    <w:name w:val="CharAmSchText"/>
    <w:basedOn w:val="DefaultParagraphFont"/>
    <w:rsid w:val="00F72FC8"/>
  </w:style>
  <w:style w:type="character" w:customStyle="1" w:styleId="CharChapNo">
    <w:name w:val="CharChapNo"/>
    <w:basedOn w:val="DefaultParagraphFont"/>
    <w:rsid w:val="00F72FC8"/>
  </w:style>
  <w:style w:type="character" w:customStyle="1" w:styleId="CharChapText">
    <w:name w:val="CharChapText"/>
    <w:basedOn w:val="DefaultParagraphFont"/>
    <w:rsid w:val="00F72FC8"/>
  </w:style>
  <w:style w:type="character" w:customStyle="1" w:styleId="CharDivNo">
    <w:name w:val="CharDivNo"/>
    <w:basedOn w:val="DefaultParagraphFont"/>
    <w:rsid w:val="00F72FC8"/>
  </w:style>
  <w:style w:type="character" w:customStyle="1" w:styleId="CharDivText">
    <w:name w:val="CharDivText"/>
    <w:basedOn w:val="DefaultParagraphFont"/>
    <w:rsid w:val="00F72FC8"/>
  </w:style>
  <w:style w:type="character" w:customStyle="1" w:styleId="CharPartNo">
    <w:name w:val="CharPartNo"/>
    <w:basedOn w:val="DefaultParagraphFont"/>
    <w:rsid w:val="00F72FC8"/>
  </w:style>
  <w:style w:type="character" w:customStyle="1" w:styleId="CharPartText">
    <w:name w:val="CharPartText"/>
    <w:basedOn w:val="DefaultParagraphFont"/>
    <w:rsid w:val="00F72FC8"/>
  </w:style>
  <w:style w:type="character" w:customStyle="1" w:styleId="CharSectno">
    <w:name w:val="CharSectno"/>
    <w:basedOn w:val="DefaultParagraphFont"/>
    <w:rsid w:val="00F72FC8"/>
  </w:style>
  <w:style w:type="character" w:customStyle="1" w:styleId="CharSubdNo">
    <w:name w:val="CharSubdNo"/>
    <w:basedOn w:val="DefaultParagraphFont"/>
    <w:rsid w:val="00F72FC8"/>
  </w:style>
  <w:style w:type="character" w:customStyle="1" w:styleId="CharSubdText">
    <w:name w:val="CharSubdText"/>
    <w:basedOn w:val="DefaultParagraphFont"/>
    <w:rsid w:val="00F72FC8"/>
  </w:style>
  <w:style w:type="paragraph" w:customStyle="1" w:styleId="subsection">
    <w:name w:val="subsection"/>
    <w:aliases w:val="ss"/>
    <w:rsid w:val="00F72FC8"/>
    <w:pPr>
      <w:tabs>
        <w:tab w:val="right" w:pos="1021"/>
      </w:tabs>
      <w:spacing w:before="180"/>
      <w:ind w:left="1134" w:hanging="1134"/>
    </w:pPr>
    <w:rPr>
      <w:sz w:val="22"/>
      <w:szCs w:val="24"/>
    </w:rPr>
  </w:style>
  <w:style w:type="paragraph" w:customStyle="1" w:styleId="Definition">
    <w:name w:val="Definition"/>
    <w:aliases w:val="dd"/>
    <w:basedOn w:val="subsection"/>
    <w:rsid w:val="00F72FC8"/>
    <w:pPr>
      <w:tabs>
        <w:tab w:val="clear" w:pos="1021"/>
      </w:tabs>
      <w:ind w:firstLine="0"/>
    </w:pPr>
  </w:style>
  <w:style w:type="paragraph" w:customStyle="1" w:styleId="Formula">
    <w:name w:val="Formula"/>
    <w:rsid w:val="00F72FC8"/>
    <w:pPr>
      <w:ind w:left="1134"/>
    </w:pPr>
    <w:rPr>
      <w:szCs w:val="24"/>
    </w:rPr>
  </w:style>
  <w:style w:type="paragraph" w:customStyle="1" w:styleId="House">
    <w:name w:val="House"/>
    <w:rsid w:val="00F72FC8"/>
    <w:rPr>
      <w:sz w:val="28"/>
      <w:szCs w:val="24"/>
    </w:rPr>
  </w:style>
  <w:style w:type="paragraph" w:customStyle="1" w:styleId="Item">
    <w:name w:val="Item"/>
    <w:aliases w:val="i"/>
    <w:basedOn w:val="subsection"/>
    <w:next w:val="Normal"/>
    <w:rsid w:val="00F72FC8"/>
    <w:pPr>
      <w:keepLines/>
      <w:tabs>
        <w:tab w:val="clear" w:pos="1021"/>
      </w:tabs>
      <w:spacing w:before="80"/>
      <w:ind w:left="709" w:firstLine="0"/>
    </w:pPr>
  </w:style>
  <w:style w:type="paragraph" w:customStyle="1" w:styleId="ItemHead">
    <w:name w:val="ItemHead"/>
    <w:aliases w:val="ih"/>
    <w:basedOn w:val="Heading1"/>
    <w:next w:val="Item"/>
    <w:rsid w:val="00F72FC8"/>
    <w:pPr>
      <w:keepNext w:val="0"/>
      <w:spacing w:before="220"/>
      <w:ind w:left="709" w:hanging="709"/>
      <w:outlineLvl w:val="9"/>
    </w:pPr>
    <w:rPr>
      <w:rFonts w:ascii="Arial" w:hAnsi="Arial" w:cs="Arial"/>
      <w:sz w:val="24"/>
    </w:rPr>
  </w:style>
  <w:style w:type="paragraph" w:customStyle="1" w:styleId="LongT">
    <w:name w:val="LongT"/>
    <w:rsid w:val="00F72FC8"/>
    <w:rPr>
      <w:b/>
      <w:sz w:val="32"/>
      <w:szCs w:val="24"/>
    </w:rPr>
  </w:style>
  <w:style w:type="paragraph" w:customStyle="1" w:styleId="notedraft">
    <w:name w:val="note(draft)"/>
    <w:aliases w:val="nd"/>
    <w:rsid w:val="00F72FC8"/>
    <w:pPr>
      <w:spacing w:before="240"/>
      <w:ind w:left="284" w:hanging="284"/>
    </w:pPr>
    <w:rPr>
      <w:i/>
      <w:sz w:val="24"/>
      <w:szCs w:val="24"/>
    </w:rPr>
  </w:style>
  <w:style w:type="paragraph" w:customStyle="1" w:styleId="notetext">
    <w:name w:val="note(text)"/>
    <w:aliases w:val="n"/>
    <w:rsid w:val="00F72FC8"/>
    <w:pPr>
      <w:spacing w:before="122" w:line="198" w:lineRule="exact"/>
      <w:ind w:left="1985" w:hanging="851"/>
    </w:pPr>
    <w:rPr>
      <w:sz w:val="18"/>
      <w:szCs w:val="24"/>
    </w:rPr>
  </w:style>
  <w:style w:type="paragraph" w:customStyle="1" w:styleId="notemargin">
    <w:name w:val="note(margin)"/>
    <w:aliases w:val="nm"/>
    <w:basedOn w:val="notetext"/>
    <w:rsid w:val="00F72FC8"/>
    <w:pPr>
      <w:tabs>
        <w:tab w:val="left" w:pos="709"/>
      </w:tabs>
      <w:ind w:left="709" w:hanging="709"/>
    </w:pPr>
  </w:style>
  <w:style w:type="paragraph" w:customStyle="1" w:styleId="notepara">
    <w:name w:val="note(para)"/>
    <w:aliases w:val="na"/>
    <w:basedOn w:val="notetext"/>
    <w:rsid w:val="00F72FC8"/>
    <w:pPr>
      <w:ind w:left="2353" w:hanging="709"/>
    </w:pPr>
  </w:style>
  <w:style w:type="paragraph" w:customStyle="1" w:styleId="noteParlAmend">
    <w:name w:val="note(ParlAmend)"/>
    <w:aliases w:val="npp"/>
    <w:next w:val="Normal"/>
    <w:rsid w:val="00F72FC8"/>
    <w:pPr>
      <w:jc w:val="right"/>
    </w:pPr>
    <w:rPr>
      <w:rFonts w:ascii="Arial" w:hAnsi="Arial" w:cs="Arial"/>
      <w:b/>
      <w:i/>
      <w:sz w:val="22"/>
      <w:szCs w:val="24"/>
    </w:rPr>
  </w:style>
  <w:style w:type="paragraph" w:customStyle="1" w:styleId="Page1">
    <w:name w:val="Page1"/>
    <w:rsid w:val="00F72FC8"/>
    <w:pPr>
      <w:spacing w:before="5600"/>
    </w:pPr>
    <w:rPr>
      <w:b/>
      <w:sz w:val="32"/>
      <w:szCs w:val="24"/>
    </w:rPr>
  </w:style>
  <w:style w:type="paragraph" w:customStyle="1" w:styleId="PageBreak">
    <w:name w:val="PageBreak"/>
    <w:aliases w:val="pb"/>
    <w:next w:val="Heading2"/>
    <w:rsid w:val="00F72FC8"/>
    <w:rPr>
      <w:sz w:val="10"/>
      <w:szCs w:val="24"/>
    </w:rPr>
  </w:style>
  <w:style w:type="paragraph" w:customStyle="1" w:styleId="parabullet">
    <w:name w:val="para bullet"/>
    <w:rsid w:val="00F72FC8"/>
    <w:pPr>
      <w:spacing w:before="240" w:line="260" w:lineRule="atLeast"/>
      <w:ind w:left="1843" w:hanging="284"/>
    </w:pPr>
    <w:rPr>
      <w:sz w:val="22"/>
      <w:szCs w:val="24"/>
    </w:rPr>
  </w:style>
  <w:style w:type="paragraph" w:customStyle="1" w:styleId="paragraph">
    <w:name w:val="paragraph"/>
    <w:aliases w:val="a"/>
    <w:rsid w:val="00F72FC8"/>
    <w:pPr>
      <w:tabs>
        <w:tab w:val="right" w:pos="1531"/>
      </w:tabs>
      <w:spacing w:before="40"/>
      <w:ind w:left="1644" w:hanging="1644"/>
    </w:pPr>
    <w:rPr>
      <w:sz w:val="22"/>
      <w:szCs w:val="24"/>
    </w:rPr>
  </w:style>
  <w:style w:type="paragraph" w:customStyle="1" w:styleId="paragraphsub">
    <w:name w:val="paragraph(sub)"/>
    <w:aliases w:val="aa"/>
    <w:basedOn w:val="paragraph"/>
    <w:rsid w:val="00F72FC8"/>
    <w:pPr>
      <w:tabs>
        <w:tab w:val="clear" w:pos="1531"/>
        <w:tab w:val="right" w:pos="1985"/>
      </w:tabs>
      <w:ind w:left="2098" w:hanging="2098"/>
    </w:pPr>
  </w:style>
  <w:style w:type="paragraph" w:customStyle="1" w:styleId="paragraphsub-sub">
    <w:name w:val="paragraph(sub-sub)"/>
    <w:aliases w:val="aaa"/>
    <w:basedOn w:val="paragraph"/>
    <w:rsid w:val="00F72FC8"/>
    <w:pPr>
      <w:tabs>
        <w:tab w:val="clear" w:pos="1531"/>
        <w:tab w:val="right" w:pos="2722"/>
      </w:tabs>
      <w:ind w:left="2835" w:hanging="2835"/>
    </w:pPr>
  </w:style>
  <w:style w:type="paragraph" w:customStyle="1" w:styleId="ParlAmend">
    <w:name w:val="ParlAmend"/>
    <w:aliases w:val="pp"/>
    <w:rsid w:val="00F72FC8"/>
    <w:pPr>
      <w:spacing w:before="240" w:line="240" w:lineRule="atLeast"/>
      <w:ind w:hanging="567"/>
    </w:pPr>
    <w:rPr>
      <w:sz w:val="24"/>
      <w:szCs w:val="24"/>
    </w:rPr>
  </w:style>
  <w:style w:type="paragraph" w:customStyle="1" w:styleId="Penalty">
    <w:name w:val="Penalty"/>
    <w:rsid w:val="00F72FC8"/>
    <w:pPr>
      <w:tabs>
        <w:tab w:val="left" w:pos="2977"/>
      </w:tabs>
      <w:spacing w:before="180"/>
      <w:ind w:left="1985" w:hanging="851"/>
    </w:pPr>
    <w:rPr>
      <w:sz w:val="22"/>
      <w:szCs w:val="24"/>
    </w:rPr>
  </w:style>
  <w:style w:type="paragraph" w:customStyle="1" w:styleId="Portfolio">
    <w:name w:val="Portfolio"/>
    <w:rsid w:val="00F72FC8"/>
    <w:rPr>
      <w:i/>
      <w:szCs w:val="24"/>
    </w:rPr>
  </w:style>
  <w:style w:type="paragraph" w:customStyle="1" w:styleId="Preamble">
    <w:name w:val="Preamble"/>
    <w:basedOn w:val="Heading5"/>
    <w:next w:val="Normal"/>
    <w:rsid w:val="00F72FC8"/>
    <w:pPr>
      <w:tabs>
        <w:tab w:val="center" w:pos="4513"/>
      </w:tabs>
      <w:outlineLvl w:val="9"/>
    </w:pPr>
    <w:rPr>
      <w:sz w:val="28"/>
    </w:rPr>
  </w:style>
  <w:style w:type="paragraph" w:customStyle="1" w:styleId="Reading">
    <w:name w:val="Reading"/>
    <w:rsid w:val="00F72FC8"/>
    <w:rPr>
      <w:i/>
      <w:szCs w:val="24"/>
    </w:rPr>
  </w:style>
  <w:style w:type="paragraph" w:customStyle="1" w:styleId="Session">
    <w:name w:val="Session"/>
    <w:rsid w:val="00F72FC8"/>
    <w:rPr>
      <w:sz w:val="28"/>
      <w:szCs w:val="24"/>
    </w:rPr>
  </w:style>
  <w:style w:type="paragraph" w:customStyle="1" w:styleId="Sponsor">
    <w:name w:val="Sponsor"/>
    <w:rsid w:val="00F72FC8"/>
    <w:rPr>
      <w:i/>
      <w:sz w:val="24"/>
      <w:szCs w:val="24"/>
    </w:rPr>
  </w:style>
  <w:style w:type="paragraph" w:customStyle="1" w:styleId="Subitem">
    <w:name w:val="Subitem"/>
    <w:aliases w:val="iss"/>
    <w:rsid w:val="00F72FC8"/>
    <w:pPr>
      <w:spacing w:before="180"/>
      <w:ind w:left="709" w:hanging="709"/>
    </w:pPr>
    <w:rPr>
      <w:sz w:val="22"/>
      <w:szCs w:val="24"/>
    </w:rPr>
  </w:style>
  <w:style w:type="paragraph" w:customStyle="1" w:styleId="SubitemHead">
    <w:name w:val="SubitemHead"/>
    <w:aliases w:val="issh"/>
    <w:next w:val="Subitem"/>
    <w:rsid w:val="00F72FC8"/>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F72FC8"/>
    <w:pPr>
      <w:tabs>
        <w:tab w:val="clear" w:pos="1021"/>
      </w:tabs>
      <w:spacing w:before="40"/>
      <w:ind w:firstLine="0"/>
    </w:pPr>
  </w:style>
  <w:style w:type="paragraph" w:customStyle="1" w:styleId="SubsectionHead">
    <w:name w:val="SubsectionHead"/>
    <w:aliases w:val="ssh"/>
    <w:basedOn w:val="subsection"/>
    <w:next w:val="subsection"/>
    <w:rsid w:val="00F72FC8"/>
    <w:pPr>
      <w:keepNext/>
      <w:keepLines/>
      <w:tabs>
        <w:tab w:val="clear" w:pos="1021"/>
      </w:tabs>
      <w:spacing w:before="240"/>
      <w:ind w:firstLine="0"/>
    </w:pPr>
    <w:rPr>
      <w:i/>
    </w:rPr>
  </w:style>
  <w:style w:type="paragraph" w:customStyle="1" w:styleId="Tablea">
    <w:name w:val="Table(a)"/>
    <w:aliases w:val="ta"/>
    <w:rsid w:val="00F72FC8"/>
    <w:pPr>
      <w:spacing w:before="60"/>
      <w:ind w:left="284" w:hanging="284"/>
    </w:pPr>
    <w:rPr>
      <w:szCs w:val="24"/>
    </w:rPr>
  </w:style>
  <w:style w:type="paragraph" w:customStyle="1" w:styleId="Tablei">
    <w:name w:val="Table(i)"/>
    <w:aliases w:val="taa"/>
    <w:rsid w:val="00F72FC8"/>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F72FC8"/>
    <w:pPr>
      <w:tabs>
        <w:tab w:val="clear" w:pos="970"/>
      </w:tabs>
      <w:ind w:left="1055"/>
    </w:pPr>
  </w:style>
  <w:style w:type="paragraph" w:customStyle="1" w:styleId="TLPBoxTextnote">
    <w:name w:val="TLPBoxText(note"/>
    <w:aliases w:val="right)"/>
    <w:rsid w:val="00F72FC8"/>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F72FC8"/>
    <w:pPr>
      <w:keepLines w:val="0"/>
      <w:spacing w:before="360"/>
      <w:ind w:firstLine="0"/>
      <w:outlineLvl w:val="9"/>
    </w:pPr>
    <w:rPr>
      <w:b w:val="0"/>
      <w:kern w:val="0"/>
      <w:sz w:val="20"/>
    </w:rPr>
  </w:style>
  <w:style w:type="paragraph" w:customStyle="1" w:styleId="TLPNotebullet">
    <w:name w:val="TLPNote(bullet)"/>
    <w:rsid w:val="00893AED"/>
    <w:pPr>
      <w:spacing w:before="60" w:line="198" w:lineRule="exact"/>
    </w:pPr>
    <w:rPr>
      <w:sz w:val="18"/>
    </w:rPr>
  </w:style>
  <w:style w:type="paragraph" w:customStyle="1" w:styleId="TLPnoteright">
    <w:name w:val="TLPnote(right)"/>
    <w:aliases w:val="nr"/>
    <w:rsid w:val="00F72FC8"/>
    <w:pPr>
      <w:spacing w:before="122" w:line="198" w:lineRule="exact"/>
      <w:ind w:left="1985" w:hanging="851"/>
      <w:jc w:val="right"/>
    </w:pPr>
    <w:rPr>
      <w:sz w:val="18"/>
      <w:szCs w:val="24"/>
    </w:rPr>
  </w:style>
  <w:style w:type="paragraph" w:customStyle="1" w:styleId="TLPTableBullet">
    <w:name w:val="TLPTableBullet"/>
    <w:aliases w:val="ttb"/>
    <w:rsid w:val="00F72FC8"/>
    <w:pPr>
      <w:spacing w:line="240" w:lineRule="exact"/>
      <w:ind w:left="284" w:hanging="284"/>
    </w:pPr>
    <w:rPr>
      <w:szCs w:val="24"/>
    </w:rPr>
  </w:style>
  <w:style w:type="paragraph" w:customStyle="1" w:styleId="TofSectsGroupHeading">
    <w:name w:val="TofSects(GroupHeading)"/>
    <w:basedOn w:val="TOC4"/>
    <w:next w:val="Normal"/>
    <w:rsid w:val="00F72FC8"/>
    <w:pPr>
      <w:spacing w:before="240" w:after="120"/>
      <w:ind w:left="794"/>
    </w:pPr>
  </w:style>
  <w:style w:type="paragraph" w:customStyle="1" w:styleId="TofSectsHeading">
    <w:name w:val="TofSects(Heading)"/>
    <w:basedOn w:val="TOC5"/>
    <w:next w:val="Normal"/>
    <w:rsid w:val="00F72FC8"/>
    <w:pPr>
      <w:spacing w:before="240" w:after="120"/>
      <w:ind w:left="0"/>
    </w:pPr>
    <w:rPr>
      <w:b/>
    </w:rPr>
  </w:style>
  <w:style w:type="paragraph" w:customStyle="1" w:styleId="TofSectsSection">
    <w:name w:val="TofSects(Section)"/>
    <w:basedOn w:val="TOC5"/>
    <w:rsid w:val="00F72FC8"/>
    <w:pPr>
      <w:ind w:left="1588" w:hanging="794"/>
    </w:pPr>
  </w:style>
  <w:style w:type="paragraph" w:customStyle="1" w:styleId="TofSectsSubdiv">
    <w:name w:val="TofSects(Subdiv)"/>
    <w:basedOn w:val="TOC4"/>
    <w:rsid w:val="00F72FC8"/>
    <w:pPr>
      <w:ind w:left="1588" w:hanging="794"/>
    </w:pPr>
    <w:rPr>
      <w:b w:val="0"/>
      <w:sz w:val="22"/>
    </w:rPr>
  </w:style>
  <w:style w:type="paragraph" w:customStyle="1" w:styleId="ActHead1">
    <w:name w:val="ActHead 1"/>
    <w:aliases w:val="c"/>
    <w:next w:val="Normal"/>
    <w:rsid w:val="00F72FC8"/>
    <w:pPr>
      <w:keepNext/>
      <w:keepLines/>
      <w:ind w:left="1134" w:hanging="1134"/>
      <w:outlineLvl w:val="0"/>
    </w:pPr>
    <w:rPr>
      <w:b/>
      <w:bCs/>
      <w:kern w:val="28"/>
      <w:sz w:val="36"/>
      <w:szCs w:val="32"/>
    </w:rPr>
  </w:style>
  <w:style w:type="paragraph" w:customStyle="1" w:styleId="ActHead2">
    <w:name w:val="ActHead 2"/>
    <w:aliases w:val="p"/>
    <w:basedOn w:val="ActHead1"/>
    <w:next w:val="Normal"/>
    <w:rsid w:val="00F72FC8"/>
    <w:pPr>
      <w:spacing w:before="280"/>
      <w:outlineLvl w:val="1"/>
    </w:pPr>
    <w:rPr>
      <w:sz w:val="32"/>
    </w:rPr>
  </w:style>
  <w:style w:type="paragraph" w:customStyle="1" w:styleId="ActHead3">
    <w:name w:val="ActHead 3"/>
    <w:aliases w:val="d"/>
    <w:basedOn w:val="ActHead1"/>
    <w:next w:val="Normal"/>
    <w:rsid w:val="00F72FC8"/>
    <w:pPr>
      <w:spacing w:before="240"/>
      <w:outlineLvl w:val="2"/>
    </w:pPr>
    <w:rPr>
      <w:sz w:val="28"/>
    </w:rPr>
  </w:style>
  <w:style w:type="paragraph" w:customStyle="1" w:styleId="ActHead4">
    <w:name w:val="ActHead 4"/>
    <w:aliases w:val="sd"/>
    <w:basedOn w:val="ActHead1"/>
    <w:next w:val="Normal"/>
    <w:rsid w:val="00F72FC8"/>
    <w:pPr>
      <w:spacing w:before="220"/>
      <w:outlineLvl w:val="3"/>
    </w:pPr>
    <w:rPr>
      <w:sz w:val="26"/>
    </w:rPr>
  </w:style>
  <w:style w:type="paragraph" w:customStyle="1" w:styleId="ActHead5">
    <w:name w:val="ActHead 5"/>
    <w:aliases w:val="s"/>
    <w:basedOn w:val="ActHead1"/>
    <w:next w:val="subsection"/>
    <w:rsid w:val="00F72FC8"/>
    <w:pPr>
      <w:spacing w:before="280"/>
      <w:outlineLvl w:val="4"/>
    </w:pPr>
    <w:rPr>
      <w:sz w:val="24"/>
    </w:rPr>
  </w:style>
  <w:style w:type="paragraph" w:customStyle="1" w:styleId="ActHead6">
    <w:name w:val="ActHead 6"/>
    <w:aliases w:val="as"/>
    <w:basedOn w:val="ActHead1"/>
    <w:next w:val="Normal"/>
    <w:rsid w:val="00F72FC8"/>
    <w:pPr>
      <w:outlineLvl w:val="5"/>
    </w:pPr>
    <w:rPr>
      <w:rFonts w:ascii="Arial" w:hAnsi="Arial"/>
      <w:sz w:val="32"/>
    </w:rPr>
  </w:style>
  <w:style w:type="paragraph" w:customStyle="1" w:styleId="ActHead7">
    <w:name w:val="ActHead 7"/>
    <w:aliases w:val="ap"/>
    <w:basedOn w:val="ActHead6"/>
    <w:next w:val="ItemHead"/>
    <w:rsid w:val="00F72FC8"/>
    <w:pPr>
      <w:spacing w:before="280"/>
      <w:outlineLvl w:val="6"/>
    </w:pPr>
    <w:rPr>
      <w:sz w:val="28"/>
    </w:rPr>
  </w:style>
  <w:style w:type="paragraph" w:customStyle="1" w:styleId="ActHead8">
    <w:name w:val="ActHead 8"/>
    <w:aliases w:val="ad"/>
    <w:basedOn w:val="ActHead6"/>
    <w:next w:val="Normal"/>
    <w:qFormat/>
    <w:rsid w:val="00F72FC8"/>
    <w:pPr>
      <w:spacing w:before="240"/>
      <w:outlineLvl w:val="7"/>
    </w:pPr>
    <w:rPr>
      <w:sz w:val="26"/>
    </w:rPr>
  </w:style>
  <w:style w:type="paragraph" w:customStyle="1" w:styleId="ActHead9">
    <w:name w:val="ActHead 9"/>
    <w:aliases w:val="aat"/>
    <w:basedOn w:val="ActHead1"/>
    <w:next w:val="ItemHead"/>
    <w:rsid w:val="00F72FC8"/>
    <w:pPr>
      <w:keepNext w:val="0"/>
      <w:spacing w:before="280"/>
      <w:outlineLvl w:val="8"/>
    </w:pPr>
    <w:rPr>
      <w:i/>
      <w:sz w:val="28"/>
    </w:rPr>
  </w:style>
  <w:style w:type="paragraph" w:customStyle="1" w:styleId="AnnRepBodyParaBullet">
    <w:name w:val="AnnRepBodyParaBullet"/>
    <w:aliases w:val="arbpb"/>
    <w:basedOn w:val="BodyParaBullet"/>
    <w:rsid w:val="00F72FC8"/>
    <w:pPr>
      <w:tabs>
        <w:tab w:val="clear" w:pos="2160"/>
        <w:tab w:val="left" w:pos="480"/>
      </w:tabs>
    </w:pPr>
  </w:style>
  <w:style w:type="paragraph" w:customStyle="1" w:styleId="table">
    <w:name w:val="table"/>
    <w:aliases w:val="t,Table"/>
    <w:basedOn w:val="Normal"/>
    <w:rsid w:val="00F72FC8"/>
    <w:pPr>
      <w:spacing w:before="60" w:line="240" w:lineRule="atLeast"/>
    </w:pPr>
    <w:rPr>
      <w:sz w:val="20"/>
      <w:szCs w:val="20"/>
    </w:rPr>
  </w:style>
  <w:style w:type="table" w:styleId="TableSimple1">
    <w:name w:val="Table Simple 1"/>
    <w:basedOn w:val="TableNormal"/>
    <w:rsid w:val="00F72F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59"/>
    <w:rsid w:val="00F72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rsid w:val="00F72FC8"/>
    <w:pPr>
      <w:spacing w:before="100" w:beforeAutospacing="1" w:after="100" w:afterAutospacing="1"/>
    </w:pPr>
  </w:style>
  <w:style w:type="paragraph" w:customStyle="1" w:styleId="AnnualReportBullet">
    <w:name w:val="AnnualReportBullet"/>
    <w:aliases w:val="arb"/>
    <w:basedOn w:val="BodyParaBullet"/>
    <w:link w:val="AnnualReportBulletChar"/>
    <w:rsid w:val="00326C23"/>
    <w:pPr>
      <w:tabs>
        <w:tab w:val="clear" w:pos="2160"/>
      </w:tabs>
      <w:spacing w:before="60"/>
    </w:pPr>
    <w:rPr>
      <w:rFonts w:ascii="Arial" w:hAnsi="Arial"/>
      <w:sz w:val="20"/>
    </w:rPr>
  </w:style>
  <w:style w:type="character" w:customStyle="1" w:styleId="BodyChar">
    <w:name w:val="Body Char"/>
    <w:aliases w:val="b Char"/>
    <w:basedOn w:val="DefaultParagraphFont"/>
    <w:link w:val="Body"/>
    <w:rsid w:val="00F72FC8"/>
    <w:rPr>
      <w:rFonts w:ascii="Arial" w:hAnsi="Arial"/>
      <w:szCs w:val="24"/>
    </w:rPr>
  </w:style>
  <w:style w:type="character" w:customStyle="1" w:styleId="BodyParaBulletChar">
    <w:name w:val="BodyParaBullet Char"/>
    <w:aliases w:val="bpb Char"/>
    <w:basedOn w:val="BodyChar"/>
    <w:link w:val="BodyParaBullet"/>
    <w:rsid w:val="006B567E"/>
    <w:rPr>
      <w:rFonts w:ascii="Arial" w:hAnsi="Arial"/>
      <w:sz w:val="18"/>
      <w:szCs w:val="24"/>
    </w:rPr>
  </w:style>
  <w:style w:type="character" w:customStyle="1" w:styleId="AnnualReportBulletChar">
    <w:name w:val="AnnualReportBullet Char"/>
    <w:aliases w:val="arb Char"/>
    <w:basedOn w:val="BodyParaBulletChar"/>
    <w:link w:val="AnnualReportBullet"/>
    <w:rsid w:val="00326C23"/>
    <w:rPr>
      <w:rFonts w:ascii="Arial" w:hAnsi="Arial"/>
      <w:sz w:val="18"/>
      <w:szCs w:val="24"/>
    </w:rPr>
  </w:style>
  <w:style w:type="paragraph" w:customStyle="1" w:styleId="TableBodyText">
    <w:name w:val="TableBodyText"/>
    <w:basedOn w:val="Normal"/>
    <w:next w:val="Normal"/>
    <w:rsid w:val="00F72FC8"/>
    <w:pPr>
      <w:spacing w:before="20" w:after="20"/>
    </w:pPr>
    <w:rPr>
      <w:rFonts w:ascii="Tahoma" w:hAnsi="Tahoma"/>
      <w:sz w:val="16"/>
      <w:szCs w:val="20"/>
      <w:lang w:val="en-US"/>
    </w:rPr>
  </w:style>
  <w:style w:type="paragraph" w:customStyle="1" w:styleId="TableBodyTextIndented">
    <w:name w:val="TableBodyTextIndented"/>
    <w:basedOn w:val="TableBodyText"/>
    <w:next w:val="TableBodyText"/>
    <w:rsid w:val="00F72FC8"/>
    <w:pPr>
      <w:ind w:left="284"/>
    </w:pPr>
    <w:rPr>
      <w:snapToGrid w:val="0"/>
      <w:lang w:eastAsia="en-US"/>
    </w:rPr>
  </w:style>
  <w:style w:type="paragraph" w:customStyle="1" w:styleId="Tabletexthead">
    <w:name w:val="Tabletexthead"/>
    <w:aliases w:val="tth"/>
    <w:basedOn w:val="Tabletext"/>
    <w:rsid w:val="00F72FC8"/>
    <w:pPr>
      <w:spacing w:before="120" w:after="120" w:line="240" w:lineRule="auto"/>
    </w:pPr>
    <w:rPr>
      <w:b/>
      <w:color w:val="0000FF"/>
      <w:szCs w:val="20"/>
    </w:rPr>
  </w:style>
  <w:style w:type="paragraph" w:customStyle="1" w:styleId="Toc10">
    <w:name w:val="Toc1"/>
    <w:basedOn w:val="TOC1"/>
    <w:rsid w:val="00F72FC8"/>
    <w:pPr>
      <w:keepNext w:val="0"/>
      <w:tabs>
        <w:tab w:val="clear" w:pos="9000"/>
        <w:tab w:val="right" w:pos="7144"/>
      </w:tabs>
      <w:ind w:left="0" w:right="868" w:firstLine="0"/>
    </w:pPr>
    <w:rPr>
      <w:i/>
      <w:noProof/>
      <w:sz w:val="24"/>
    </w:rPr>
  </w:style>
  <w:style w:type="paragraph" w:customStyle="1" w:styleId="font5">
    <w:name w:val="font5"/>
    <w:basedOn w:val="Normal"/>
    <w:rsid w:val="00F72FC8"/>
    <w:pPr>
      <w:spacing w:before="100" w:beforeAutospacing="1" w:after="100" w:afterAutospacing="1"/>
    </w:pPr>
    <w:rPr>
      <w:rFonts w:ascii="Arial" w:eastAsia="Arial Unicode MS" w:hAnsi="Arial" w:cs="Arial"/>
      <w:i/>
      <w:iCs/>
      <w:sz w:val="16"/>
      <w:szCs w:val="16"/>
      <w:lang w:eastAsia="en-US"/>
    </w:rPr>
  </w:style>
  <w:style w:type="paragraph" w:customStyle="1" w:styleId="GeneralCommentaryNumberedText">
    <w:name w:val="General Commentary Numbered Text"/>
    <w:basedOn w:val="Normal"/>
    <w:autoRedefine/>
    <w:rsid w:val="00F72FC8"/>
    <w:pPr>
      <w:tabs>
        <w:tab w:val="left" w:pos="567"/>
      </w:tabs>
      <w:spacing w:before="180" w:after="40" w:line="240" w:lineRule="atLeast"/>
      <w:ind w:right="113"/>
      <w:jc w:val="both"/>
    </w:pPr>
    <w:rPr>
      <w:sz w:val="22"/>
      <w:szCs w:val="20"/>
      <w:lang w:eastAsia="en-US"/>
    </w:rPr>
  </w:style>
  <w:style w:type="paragraph" w:customStyle="1" w:styleId="GeneralCommentaryBullet1">
    <w:name w:val="General Commentary Bullet 1"/>
    <w:basedOn w:val="Normal"/>
    <w:autoRedefine/>
    <w:rsid w:val="00F72FC8"/>
    <w:pPr>
      <w:tabs>
        <w:tab w:val="left" w:pos="851"/>
      </w:tabs>
      <w:spacing w:after="40"/>
      <w:ind w:right="113"/>
      <w:jc w:val="both"/>
    </w:pPr>
    <w:rPr>
      <w:snapToGrid w:val="0"/>
      <w:sz w:val="22"/>
      <w:szCs w:val="20"/>
      <w:lang w:val="en-US" w:eastAsia="en-US"/>
    </w:rPr>
  </w:style>
  <w:style w:type="paragraph" w:customStyle="1" w:styleId="NotesBulletPoint">
    <w:name w:val="Notes Bullet Point"/>
    <w:basedOn w:val="GeneralCommentaryBullet1"/>
    <w:autoRedefine/>
    <w:rsid w:val="00F72FC8"/>
    <w:pPr>
      <w:tabs>
        <w:tab w:val="clear" w:pos="851"/>
        <w:tab w:val="left" w:pos="413"/>
      </w:tabs>
      <w:spacing w:after="0"/>
    </w:pPr>
    <w:rPr>
      <w:sz w:val="20"/>
    </w:rPr>
  </w:style>
  <w:style w:type="paragraph" w:customStyle="1" w:styleId="NoteText0">
    <w:name w:val="Note Text"/>
    <w:basedOn w:val="Normal"/>
    <w:autoRedefine/>
    <w:rsid w:val="00F72FC8"/>
    <w:pPr>
      <w:tabs>
        <w:tab w:val="left" w:pos="7797"/>
      </w:tabs>
      <w:spacing w:after="120"/>
      <w:ind w:left="1077" w:right="1009"/>
      <w:jc w:val="both"/>
    </w:pPr>
    <w:rPr>
      <w:rFonts w:ascii="Arial" w:hAnsi="Arial" w:cs="Arial"/>
      <w:snapToGrid w:val="0"/>
      <w:sz w:val="16"/>
      <w:szCs w:val="20"/>
      <w:lang w:val="en-US" w:eastAsia="en-US"/>
    </w:rPr>
  </w:style>
  <w:style w:type="paragraph" w:customStyle="1" w:styleId="NotesHeading4">
    <w:name w:val="Notes Heading 4"/>
    <w:basedOn w:val="NoteText0"/>
    <w:autoRedefine/>
    <w:rsid w:val="00F72FC8"/>
    <w:pPr>
      <w:keepNext/>
      <w:spacing w:before="200" w:after="80"/>
      <w:ind w:left="142"/>
    </w:pPr>
    <w:rPr>
      <w:i/>
    </w:rPr>
  </w:style>
  <w:style w:type="paragraph" w:customStyle="1" w:styleId="Contents">
    <w:name w:val="Contents"/>
    <w:basedOn w:val="Head2"/>
    <w:rsid w:val="00F72FC8"/>
    <w:pPr>
      <w:outlineLvl w:val="9"/>
    </w:pPr>
  </w:style>
  <w:style w:type="paragraph" w:customStyle="1" w:styleId="bodyparabullet0">
    <w:name w:val="bodyparabullet"/>
    <w:basedOn w:val="Normal"/>
    <w:rsid w:val="00F72FC8"/>
    <w:pPr>
      <w:spacing w:before="100" w:beforeAutospacing="1" w:after="100" w:afterAutospacing="1"/>
    </w:pPr>
  </w:style>
  <w:style w:type="character" w:customStyle="1" w:styleId="BodyNumChar">
    <w:name w:val="BodyNum Char"/>
    <w:aliases w:val="b1 Char"/>
    <w:basedOn w:val="BodyChar"/>
    <w:link w:val="BodyNum"/>
    <w:rsid w:val="00A80292"/>
    <w:rPr>
      <w:rFonts w:ascii="Arial" w:hAnsi="Arial"/>
      <w:szCs w:val="24"/>
    </w:rPr>
  </w:style>
  <w:style w:type="paragraph" w:customStyle="1" w:styleId="NormalIndent0">
    <w:name w:val="NormalIndent"/>
    <w:basedOn w:val="Normal"/>
    <w:rsid w:val="00893AED"/>
    <w:pPr>
      <w:tabs>
        <w:tab w:val="left" w:pos="6112"/>
      </w:tabs>
    </w:pPr>
    <w:rPr>
      <w:sz w:val="18"/>
      <w:szCs w:val="18"/>
    </w:rPr>
  </w:style>
  <w:style w:type="paragraph" w:styleId="ListParagraph">
    <w:name w:val="List Paragraph"/>
    <w:basedOn w:val="Normal"/>
    <w:uiPriority w:val="34"/>
    <w:qFormat/>
    <w:rsid w:val="00BC2482"/>
    <w:pPr>
      <w:ind w:left="720"/>
    </w:pPr>
    <w:rPr>
      <w:rFonts w:ascii="Calibri" w:eastAsiaTheme="minorHAnsi" w:hAnsi="Calibri"/>
      <w:sz w:val="22"/>
      <w:szCs w:val="22"/>
    </w:rPr>
  </w:style>
  <w:style w:type="numbering" w:customStyle="1" w:styleId="OPCBodyList">
    <w:name w:val="OPCBodyList"/>
    <w:uiPriority w:val="99"/>
    <w:rsid w:val="00246266"/>
    <w:pPr>
      <w:numPr>
        <w:numId w:val="16"/>
      </w:numPr>
    </w:pPr>
  </w:style>
  <w:style w:type="character" w:customStyle="1" w:styleId="HeaderChar">
    <w:name w:val="Header Char"/>
    <w:basedOn w:val="DefaultParagraphFont"/>
    <w:link w:val="Header"/>
    <w:rsid w:val="00DC7B00"/>
    <w:rPr>
      <w:rFonts w:ascii="Arial" w:hAnsi="Arial"/>
      <w:color w:val="0000FF"/>
    </w:rPr>
  </w:style>
  <w:style w:type="character" w:customStyle="1" w:styleId="FooterChar">
    <w:name w:val="Footer Char"/>
    <w:basedOn w:val="DefaultParagraphFont"/>
    <w:link w:val="Footer"/>
    <w:rsid w:val="00DC7B00"/>
    <w:rPr>
      <w:sz w:val="24"/>
      <w:szCs w:val="24"/>
    </w:rPr>
  </w:style>
  <w:style w:type="paragraph" w:customStyle="1" w:styleId="mhb1">
    <w:name w:val="mhb1"/>
    <w:basedOn w:val="Normal"/>
    <w:uiPriority w:val="99"/>
    <w:rsid w:val="000C5713"/>
    <w:pPr>
      <w:tabs>
        <w:tab w:val="left" w:pos="567"/>
      </w:tabs>
      <w:spacing w:before="240"/>
    </w:pPr>
    <w:rPr>
      <w:b/>
      <w:szCs w:val="20"/>
    </w:rPr>
  </w:style>
  <w:style w:type="paragraph" w:styleId="Bibliography">
    <w:name w:val="Bibliography"/>
    <w:basedOn w:val="Normal"/>
    <w:next w:val="Normal"/>
    <w:uiPriority w:val="37"/>
    <w:semiHidden/>
    <w:unhideWhenUsed/>
    <w:rsid w:val="00893AED"/>
  </w:style>
  <w:style w:type="paragraph" w:styleId="IntenseQuote">
    <w:name w:val="Intense Quote"/>
    <w:basedOn w:val="Normal"/>
    <w:next w:val="Normal"/>
    <w:link w:val="IntenseQuoteChar"/>
    <w:uiPriority w:val="30"/>
    <w:qFormat/>
    <w:rsid w:val="00893A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3AED"/>
    <w:rPr>
      <w:b/>
      <w:bCs/>
      <w:i/>
      <w:iCs/>
      <w:color w:val="4F81BD" w:themeColor="accent1"/>
      <w:sz w:val="24"/>
      <w:szCs w:val="24"/>
    </w:rPr>
  </w:style>
  <w:style w:type="paragraph" w:styleId="NoSpacing">
    <w:name w:val="No Spacing"/>
    <w:uiPriority w:val="1"/>
    <w:qFormat/>
    <w:rsid w:val="00893AED"/>
    <w:rPr>
      <w:sz w:val="24"/>
      <w:szCs w:val="24"/>
    </w:rPr>
  </w:style>
  <w:style w:type="paragraph" w:styleId="Quote">
    <w:name w:val="Quote"/>
    <w:basedOn w:val="Normal"/>
    <w:next w:val="Normal"/>
    <w:link w:val="QuoteChar"/>
    <w:uiPriority w:val="29"/>
    <w:qFormat/>
    <w:rsid w:val="00893AED"/>
    <w:rPr>
      <w:i/>
      <w:iCs/>
      <w:color w:val="000000" w:themeColor="text1"/>
    </w:rPr>
  </w:style>
  <w:style w:type="character" w:customStyle="1" w:styleId="QuoteChar">
    <w:name w:val="Quote Char"/>
    <w:basedOn w:val="DefaultParagraphFont"/>
    <w:link w:val="Quote"/>
    <w:uiPriority w:val="29"/>
    <w:rsid w:val="00893AED"/>
    <w:rPr>
      <w:i/>
      <w:iCs/>
      <w:color w:val="000000" w:themeColor="text1"/>
      <w:sz w:val="24"/>
      <w:szCs w:val="24"/>
    </w:rPr>
  </w:style>
  <w:style w:type="paragraph" w:styleId="TOCHeading">
    <w:name w:val="TOC Heading"/>
    <w:basedOn w:val="Heading1"/>
    <w:next w:val="Normal"/>
    <w:uiPriority w:val="39"/>
    <w:semiHidden/>
    <w:unhideWhenUsed/>
    <w:qFormat/>
    <w:rsid w:val="00893AED"/>
    <w:pPr>
      <w:spacing w:before="480" w:line="240" w:lineRule="auto"/>
      <w:ind w:left="0" w:firstLine="0"/>
      <w:outlineLvl w:val="9"/>
    </w:pPr>
    <w:rPr>
      <w:rFonts w:asciiTheme="majorHAnsi" w:eastAsiaTheme="majorEastAsia" w:hAnsiTheme="majorHAnsi" w:cstheme="majorBidi"/>
      <w:color w:val="365F91" w:themeColor="accent1" w:themeShade="BF"/>
      <w:kern w:val="0"/>
      <w:sz w:val="28"/>
      <w:szCs w:val="28"/>
    </w:rPr>
  </w:style>
  <w:style w:type="paragraph" w:customStyle="1" w:styleId="TableHeading">
    <w:name w:val="TableHeading"/>
    <w:aliases w:val="th"/>
    <w:basedOn w:val="Normal"/>
    <w:next w:val="Tabletext"/>
    <w:rsid w:val="00B37353"/>
    <w:pPr>
      <w:keepNext/>
      <w:spacing w:before="60" w:line="240" w:lineRule="atLeast"/>
    </w:pPr>
    <w:rPr>
      <w:b/>
      <w:sz w:val="20"/>
      <w:szCs w:val="20"/>
    </w:rPr>
  </w:style>
  <w:style w:type="paragraph" w:customStyle="1" w:styleId="Head6">
    <w:name w:val="Head 6"/>
    <w:aliases w:val="6"/>
    <w:basedOn w:val="BodyNum"/>
    <w:rsid w:val="00B37353"/>
    <w:pPr>
      <w:numPr>
        <w:numId w:val="0"/>
      </w:numPr>
    </w:pPr>
  </w:style>
  <w:style w:type="paragraph" w:customStyle="1" w:styleId="BodyParaBulletSub">
    <w:name w:val="BodyParaBulletSub"/>
    <w:basedOn w:val="Normal"/>
    <w:link w:val="BodyParaBulletSubChar"/>
    <w:qFormat/>
    <w:rsid w:val="00F07DD2"/>
    <w:pPr>
      <w:spacing w:before="120" w:line="300" w:lineRule="exact"/>
      <w:ind w:left="709" w:hanging="352"/>
    </w:pPr>
    <w:rPr>
      <w:rFonts w:ascii="Arial" w:hAnsi="Arial"/>
      <w:sz w:val="20"/>
    </w:rPr>
  </w:style>
  <w:style w:type="character" w:customStyle="1" w:styleId="BodyParaBulletSubChar">
    <w:name w:val="BodyParaBulletSub Char"/>
    <w:basedOn w:val="DefaultParagraphFont"/>
    <w:link w:val="BodyParaBulletSub"/>
    <w:rsid w:val="00F07DD2"/>
    <w:rPr>
      <w:rFonts w:ascii="Arial" w:hAnsi="Arial"/>
      <w:szCs w:val="24"/>
    </w:rPr>
  </w:style>
  <w:style w:type="paragraph" w:styleId="Revision">
    <w:name w:val="Revision"/>
    <w:hidden/>
    <w:uiPriority w:val="99"/>
    <w:semiHidden/>
    <w:rsid w:val="00A235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9222">
      <w:bodyDiv w:val="1"/>
      <w:marLeft w:val="0"/>
      <w:marRight w:val="0"/>
      <w:marTop w:val="0"/>
      <w:marBottom w:val="0"/>
      <w:divBdr>
        <w:top w:val="none" w:sz="0" w:space="0" w:color="auto"/>
        <w:left w:val="none" w:sz="0" w:space="0" w:color="auto"/>
        <w:bottom w:val="none" w:sz="0" w:space="0" w:color="auto"/>
        <w:right w:val="none" w:sz="0" w:space="0" w:color="auto"/>
      </w:divBdr>
    </w:div>
    <w:div w:id="154958744">
      <w:bodyDiv w:val="1"/>
      <w:marLeft w:val="0"/>
      <w:marRight w:val="0"/>
      <w:marTop w:val="0"/>
      <w:marBottom w:val="0"/>
      <w:divBdr>
        <w:top w:val="none" w:sz="0" w:space="0" w:color="auto"/>
        <w:left w:val="none" w:sz="0" w:space="0" w:color="auto"/>
        <w:bottom w:val="none" w:sz="0" w:space="0" w:color="auto"/>
        <w:right w:val="none" w:sz="0" w:space="0" w:color="auto"/>
      </w:divBdr>
    </w:div>
    <w:div w:id="173884127">
      <w:bodyDiv w:val="1"/>
      <w:marLeft w:val="0"/>
      <w:marRight w:val="0"/>
      <w:marTop w:val="0"/>
      <w:marBottom w:val="0"/>
      <w:divBdr>
        <w:top w:val="none" w:sz="0" w:space="0" w:color="auto"/>
        <w:left w:val="none" w:sz="0" w:space="0" w:color="auto"/>
        <w:bottom w:val="none" w:sz="0" w:space="0" w:color="auto"/>
        <w:right w:val="none" w:sz="0" w:space="0" w:color="auto"/>
      </w:divBdr>
    </w:div>
    <w:div w:id="182667762">
      <w:bodyDiv w:val="1"/>
      <w:marLeft w:val="0"/>
      <w:marRight w:val="0"/>
      <w:marTop w:val="0"/>
      <w:marBottom w:val="0"/>
      <w:divBdr>
        <w:top w:val="none" w:sz="0" w:space="0" w:color="auto"/>
        <w:left w:val="none" w:sz="0" w:space="0" w:color="auto"/>
        <w:bottom w:val="none" w:sz="0" w:space="0" w:color="auto"/>
        <w:right w:val="none" w:sz="0" w:space="0" w:color="auto"/>
      </w:divBdr>
    </w:div>
    <w:div w:id="203491055">
      <w:bodyDiv w:val="1"/>
      <w:marLeft w:val="0"/>
      <w:marRight w:val="0"/>
      <w:marTop w:val="0"/>
      <w:marBottom w:val="0"/>
      <w:divBdr>
        <w:top w:val="none" w:sz="0" w:space="0" w:color="auto"/>
        <w:left w:val="none" w:sz="0" w:space="0" w:color="auto"/>
        <w:bottom w:val="none" w:sz="0" w:space="0" w:color="auto"/>
        <w:right w:val="none" w:sz="0" w:space="0" w:color="auto"/>
      </w:divBdr>
    </w:div>
    <w:div w:id="205602371">
      <w:bodyDiv w:val="1"/>
      <w:marLeft w:val="0"/>
      <w:marRight w:val="0"/>
      <w:marTop w:val="0"/>
      <w:marBottom w:val="0"/>
      <w:divBdr>
        <w:top w:val="none" w:sz="0" w:space="0" w:color="auto"/>
        <w:left w:val="none" w:sz="0" w:space="0" w:color="auto"/>
        <w:bottom w:val="none" w:sz="0" w:space="0" w:color="auto"/>
        <w:right w:val="none" w:sz="0" w:space="0" w:color="auto"/>
      </w:divBdr>
    </w:div>
    <w:div w:id="256333178">
      <w:bodyDiv w:val="1"/>
      <w:marLeft w:val="0"/>
      <w:marRight w:val="0"/>
      <w:marTop w:val="0"/>
      <w:marBottom w:val="0"/>
      <w:divBdr>
        <w:top w:val="none" w:sz="0" w:space="0" w:color="auto"/>
        <w:left w:val="none" w:sz="0" w:space="0" w:color="auto"/>
        <w:bottom w:val="none" w:sz="0" w:space="0" w:color="auto"/>
        <w:right w:val="none" w:sz="0" w:space="0" w:color="auto"/>
      </w:divBdr>
    </w:div>
    <w:div w:id="284966724">
      <w:bodyDiv w:val="1"/>
      <w:marLeft w:val="0"/>
      <w:marRight w:val="0"/>
      <w:marTop w:val="0"/>
      <w:marBottom w:val="0"/>
      <w:divBdr>
        <w:top w:val="none" w:sz="0" w:space="0" w:color="auto"/>
        <w:left w:val="none" w:sz="0" w:space="0" w:color="auto"/>
        <w:bottom w:val="none" w:sz="0" w:space="0" w:color="auto"/>
        <w:right w:val="none" w:sz="0" w:space="0" w:color="auto"/>
      </w:divBdr>
    </w:div>
    <w:div w:id="376975127">
      <w:bodyDiv w:val="1"/>
      <w:marLeft w:val="0"/>
      <w:marRight w:val="0"/>
      <w:marTop w:val="0"/>
      <w:marBottom w:val="0"/>
      <w:divBdr>
        <w:top w:val="none" w:sz="0" w:space="0" w:color="auto"/>
        <w:left w:val="none" w:sz="0" w:space="0" w:color="auto"/>
        <w:bottom w:val="none" w:sz="0" w:space="0" w:color="auto"/>
        <w:right w:val="none" w:sz="0" w:space="0" w:color="auto"/>
      </w:divBdr>
    </w:div>
    <w:div w:id="377123933">
      <w:bodyDiv w:val="1"/>
      <w:marLeft w:val="0"/>
      <w:marRight w:val="0"/>
      <w:marTop w:val="0"/>
      <w:marBottom w:val="0"/>
      <w:divBdr>
        <w:top w:val="none" w:sz="0" w:space="0" w:color="auto"/>
        <w:left w:val="none" w:sz="0" w:space="0" w:color="auto"/>
        <w:bottom w:val="none" w:sz="0" w:space="0" w:color="auto"/>
        <w:right w:val="none" w:sz="0" w:space="0" w:color="auto"/>
      </w:divBdr>
    </w:div>
    <w:div w:id="402534361">
      <w:bodyDiv w:val="1"/>
      <w:marLeft w:val="0"/>
      <w:marRight w:val="0"/>
      <w:marTop w:val="0"/>
      <w:marBottom w:val="0"/>
      <w:divBdr>
        <w:top w:val="none" w:sz="0" w:space="0" w:color="auto"/>
        <w:left w:val="none" w:sz="0" w:space="0" w:color="auto"/>
        <w:bottom w:val="none" w:sz="0" w:space="0" w:color="auto"/>
        <w:right w:val="none" w:sz="0" w:space="0" w:color="auto"/>
      </w:divBdr>
    </w:div>
    <w:div w:id="414910009">
      <w:bodyDiv w:val="1"/>
      <w:marLeft w:val="0"/>
      <w:marRight w:val="0"/>
      <w:marTop w:val="0"/>
      <w:marBottom w:val="0"/>
      <w:divBdr>
        <w:top w:val="none" w:sz="0" w:space="0" w:color="auto"/>
        <w:left w:val="none" w:sz="0" w:space="0" w:color="auto"/>
        <w:bottom w:val="none" w:sz="0" w:space="0" w:color="auto"/>
        <w:right w:val="none" w:sz="0" w:space="0" w:color="auto"/>
      </w:divBdr>
    </w:div>
    <w:div w:id="448671818">
      <w:bodyDiv w:val="1"/>
      <w:marLeft w:val="0"/>
      <w:marRight w:val="0"/>
      <w:marTop w:val="0"/>
      <w:marBottom w:val="0"/>
      <w:divBdr>
        <w:top w:val="none" w:sz="0" w:space="0" w:color="auto"/>
        <w:left w:val="none" w:sz="0" w:space="0" w:color="auto"/>
        <w:bottom w:val="none" w:sz="0" w:space="0" w:color="auto"/>
        <w:right w:val="none" w:sz="0" w:space="0" w:color="auto"/>
      </w:divBdr>
    </w:div>
    <w:div w:id="451024762">
      <w:bodyDiv w:val="1"/>
      <w:marLeft w:val="0"/>
      <w:marRight w:val="0"/>
      <w:marTop w:val="0"/>
      <w:marBottom w:val="0"/>
      <w:divBdr>
        <w:top w:val="none" w:sz="0" w:space="0" w:color="auto"/>
        <w:left w:val="none" w:sz="0" w:space="0" w:color="auto"/>
        <w:bottom w:val="none" w:sz="0" w:space="0" w:color="auto"/>
        <w:right w:val="none" w:sz="0" w:space="0" w:color="auto"/>
      </w:divBdr>
    </w:div>
    <w:div w:id="520513271">
      <w:bodyDiv w:val="1"/>
      <w:marLeft w:val="0"/>
      <w:marRight w:val="0"/>
      <w:marTop w:val="0"/>
      <w:marBottom w:val="0"/>
      <w:divBdr>
        <w:top w:val="none" w:sz="0" w:space="0" w:color="auto"/>
        <w:left w:val="none" w:sz="0" w:space="0" w:color="auto"/>
        <w:bottom w:val="none" w:sz="0" w:space="0" w:color="auto"/>
        <w:right w:val="none" w:sz="0" w:space="0" w:color="auto"/>
      </w:divBdr>
    </w:div>
    <w:div w:id="529340843">
      <w:bodyDiv w:val="1"/>
      <w:marLeft w:val="0"/>
      <w:marRight w:val="0"/>
      <w:marTop w:val="0"/>
      <w:marBottom w:val="0"/>
      <w:divBdr>
        <w:top w:val="none" w:sz="0" w:space="0" w:color="auto"/>
        <w:left w:val="none" w:sz="0" w:space="0" w:color="auto"/>
        <w:bottom w:val="none" w:sz="0" w:space="0" w:color="auto"/>
        <w:right w:val="none" w:sz="0" w:space="0" w:color="auto"/>
      </w:divBdr>
    </w:div>
    <w:div w:id="649749761">
      <w:bodyDiv w:val="1"/>
      <w:marLeft w:val="0"/>
      <w:marRight w:val="0"/>
      <w:marTop w:val="0"/>
      <w:marBottom w:val="0"/>
      <w:divBdr>
        <w:top w:val="none" w:sz="0" w:space="0" w:color="auto"/>
        <w:left w:val="none" w:sz="0" w:space="0" w:color="auto"/>
        <w:bottom w:val="none" w:sz="0" w:space="0" w:color="auto"/>
        <w:right w:val="none" w:sz="0" w:space="0" w:color="auto"/>
      </w:divBdr>
    </w:div>
    <w:div w:id="672419952">
      <w:bodyDiv w:val="1"/>
      <w:marLeft w:val="0"/>
      <w:marRight w:val="0"/>
      <w:marTop w:val="0"/>
      <w:marBottom w:val="0"/>
      <w:divBdr>
        <w:top w:val="none" w:sz="0" w:space="0" w:color="auto"/>
        <w:left w:val="none" w:sz="0" w:space="0" w:color="auto"/>
        <w:bottom w:val="none" w:sz="0" w:space="0" w:color="auto"/>
        <w:right w:val="none" w:sz="0" w:space="0" w:color="auto"/>
      </w:divBdr>
    </w:div>
    <w:div w:id="706761225">
      <w:bodyDiv w:val="1"/>
      <w:marLeft w:val="0"/>
      <w:marRight w:val="0"/>
      <w:marTop w:val="0"/>
      <w:marBottom w:val="0"/>
      <w:divBdr>
        <w:top w:val="none" w:sz="0" w:space="0" w:color="auto"/>
        <w:left w:val="none" w:sz="0" w:space="0" w:color="auto"/>
        <w:bottom w:val="none" w:sz="0" w:space="0" w:color="auto"/>
        <w:right w:val="none" w:sz="0" w:space="0" w:color="auto"/>
      </w:divBdr>
    </w:div>
    <w:div w:id="730613734">
      <w:bodyDiv w:val="1"/>
      <w:marLeft w:val="0"/>
      <w:marRight w:val="0"/>
      <w:marTop w:val="0"/>
      <w:marBottom w:val="0"/>
      <w:divBdr>
        <w:top w:val="none" w:sz="0" w:space="0" w:color="auto"/>
        <w:left w:val="none" w:sz="0" w:space="0" w:color="auto"/>
        <w:bottom w:val="none" w:sz="0" w:space="0" w:color="auto"/>
        <w:right w:val="none" w:sz="0" w:space="0" w:color="auto"/>
      </w:divBdr>
    </w:div>
    <w:div w:id="789587205">
      <w:bodyDiv w:val="1"/>
      <w:marLeft w:val="0"/>
      <w:marRight w:val="0"/>
      <w:marTop w:val="0"/>
      <w:marBottom w:val="0"/>
      <w:divBdr>
        <w:top w:val="none" w:sz="0" w:space="0" w:color="auto"/>
        <w:left w:val="none" w:sz="0" w:space="0" w:color="auto"/>
        <w:bottom w:val="none" w:sz="0" w:space="0" w:color="auto"/>
        <w:right w:val="none" w:sz="0" w:space="0" w:color="auto"/>
      </w:divBdr>
    </w:div>
    <w:div w:id="799493654">
      <w:bodyDiv w:val="1"/>
      <w:marLeft w:val="0"/>
      <w:marRight w:val="0"/>
      <w:marTop w:val="0"/>
      <w:marBottom w:val="0"/>
      <w:divBdr>
        <w:top w:val="none" w:sz="0" w:space="0" w:color="auto"/>
        <w:left w:val="none" w:sz="0" w:space="0" w:color="auto"/>
        <w:bottom w:val="none" w:sz="0" w:space="0" w:color="auto"/>
        <w:right w:val="none" w:sz="0" w:space="0" w:color="auto"/>
      </w:divBdr>
    </w:div>
    <w:div w:id="843252389">
      <w:bodyDiv w:val="1"/>
      <w:marLeft w:val="0"/>
      <w:marRight w:val="0"/>
      <w:marTop w:val="0"/>
      <w:marBottom w:val="0"/>
      <w:divBdr>
        <w:top w:val="none" w:sz="0" w:space="0" w:color="auto"/>
        <w:left w:val="none" w:sz="0" w:space="0" w:color="auto"/>
        <w:bottom w:val="none" w:sz="0" w:space="0" w:color="auto"/>
        <w:right w:val="none" w:sz="0" w:space="0" w:color="auto"/>
      </w:divBdr>
    </w:div>
    <w:div w:id="925304764">
      <w:bodyDiv w:val="1"/>
      <w:marLeft w:val="0"/>
      <w:marRight w:val="0"/>
      <w:marTop w:val="0"/>
      <w:marBottom w:val="0"/>
      <w:divBdr>
        <w:top w:val="none" w:sz="0" w:space="0" w:color="auto"/>
        <w:left w:val="none" w:sz="0" w:space="0" w:color="auto"/>
        <w:bottom w:val="none" w:sz="0" w:space="0" w:color="auto"/>
        <w:right w:val="none" w:sz="0" w:space="0" w:color="auto"/>
      </w:divBdr>
    </w:div>
    <w:div w:id="994181720">
      <w:bodyDiv w:val="1"/>
      <w:marLeft w:val="0"/>
      <w:marRight w:val="0"/>
      <w:marTop w:val="0"/>
      <w:marBottom w:val="0"/>
      <w:divBdr>
        <w:top w:val="none" w:sz="0" w:space="0" w:color="auto"/>
        <w:left w:val="none" w:sz="0" w:space="0" w:color="auto"/>
        <w:bottom w:val="none" w:sz="0" w:space="0" w:color="auto"/>
        <w:right w:val="none" w:sz="0" w:space="0" w:color="auto"/>
      </w:divBdr>
    </w:div>
    <w:div w:id="997461297">
      <w:bodyDiv w:val="1"/>
      <w:marLeft w:val="0"/>
      <w:marRight w:val="0"/>
      <w:marTop w:val="0"/>
      <w:marBottom w:val="0"/>
      <w:divBdr>
        <w:top w:val="none" w:sz="0" w:space="0" w:color="auto"/>
        <w:left w:val="none" w:sz="0" w:space="0" w:color="auto"/>
        <w:bottom w:val="none" w:sz="0" w:space="0" w:color="auto"/>
        <w:right w:val="none" w:sz="0" w:space="0" w:color="auto"/>
      </w:divBdr>
    </w:div>
    <w:div w:id="1003699998">
      <w:bodyDiv w:val="1"/>
      <w:marLeft w:val="0"/>
      <w:marRight w:val="0"/>
      <w:marTop w:val="0"/>
      <w:marBottom w:val="0"/>
      <w:divBdr>
        <w:top w:val="none" w:sz="0" w:space="0" w:color="auto"/>
        <w:left w:val="none" w:sz="0" w:space="0" w:color="auto"/>
        <w:bottom w:val="none" w:sz="0" w:space="0" w:color="auto"/>
        <w:right w:val="none" w:sz="0" w:space="0" w:color="auto"/>
      </w:divBdr>
    </w:div>
    <w:div w:id="1069882527">
      <w:bodyDiv w:val="1"/>
      <w:marLeft w:val="0"/>
      <w:marRight w:val="0"/>
      <w:marTop w:val="0"/>
      <w:marBottom w:val="0"/>
      <w:divBdr>
        <w:top w:val="none" w:sz="0" w:space="0" w:color="auto"/>
        <w:left w:val="none" w:sz="0" w:space="0" w:color="auto"/>
        <w:bottom w:val="none" w:sz="0" w:space="0" w:color="auto"/>
        <w:right w:val="none" w:sz="0" w:space="0" w:color="auto"/>
      </w:divBdr>
      <w:divsChild>
        <w:div w:id="1657302339">
          <w:marLeft w:val="0"/>
          <w:marRight w:val="0"/>
          <w:marTop w:val="0"/>
          <w:marBottom w:val="0"/>
          <w:divBdr>
            <w:top w:val="none" w:sz="0" w:space="0" w:color="auto"/>
            <w:left w:val="none" w:sz="0" w:space="0" w:color="auto"/>
            <w:bottom w:val="none" w:sz="0" w:space="0" w:color="auto"/>
            <w:right w:val="none" w:sz="0" w:space="0" w:color="auto"/>
          </w:divBdr>
          <w:divsChild>
            <w:div w:id="1565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9666">
      <w:bodyDiv w:val="1"/>
      <w:marLeft w:val="0"/>
      <w:marRight w:val="0"/>
      <w:marTop w:val="0"/>
      <w:marBottom w:val="0"/>
      <w:divBdr>
        <w:top w:val="none" w:sz="0" w:space="0" w:color="auto"/>
        <w:left w:val="none" w:sz="0" w:space="0" w:color="auto"/>
        <w:bottom w:val="none" w:sz="0" w:space="0" w:color="auto"/>
        <w:right w:val="none" w:sz="0" w:space="0" w:color="auto"/>
      </w:divBdr>
    </w:div>
    <w:div w:id="1130320730">
      <w:bodyDiv w:val="1"/>
      <w:marLeft w:val="0"/>
      <w:marRight w:val="0"/>
      <w:marTop w:val="0"/>
      <w:marBottom w:val="0"/>
      <w:divBdr>
        <w:top w:val="none" w:sz="0" w:space="0" w:color="auto"/>
        <w:left w:val="none" w:sz="0" w:space="0" w:color="auto"/>
        <w:bottom w:val="none" w:sz="0" w:space="0" w:color="auto"/>
        <w:right w:val="none" w:sz="0" w:space="0" w:color="auto"/>
      </w:divBdr>
    </w:div>
    <w:div w:id="1295328720">
      <w:bodyDiv w:val="1"/>
      <w:marLeft w:val="0"/>
      <w:marRight w:val="0"/>
      <w:marTop w:val="0"/>
      <w:marBottom w:val="0"/>
      <w:divBdr>
        <w:top w:val="none" w:sz="0" w:space="0" w:color="auto"/>
        <w:left w:val="none" w:sz="0" w:space="0" w:color="auto"/>
        <w:bottom w:val="none" w:sz="0" w:space="0" w:color="auto"/>
        <w:right w:val="none" w:sz="0" w:space="0" w:color="auto"/>
      </w:divBdr>
    </w:div>
    <w:div w:id="1311204811">
      <w:bodyDiv w:val="1"/>
      <w:marLeft w:val="0"/>
      <w:marRight w:val="0"/>
      <w:marTop w:val="0"/>
      <w:marBottom w:val="0"/>
      <w:divBdr>
        <w:top w:val="none" w:sz="0" w:space="0" w:color="auto"/>
        <w:left w:val="none" w:sz="0" w:space="0" w:color="auto"/>
        <w:bottom w:val="none" w:sz="0" w:space="0" w:color="auto"/>
        <w:right w:val="none" w:sz="0" w:space="0" w:color="auto"/>
      </w:divBdr>
    </w:div>
    <w:div w:id="1352534025">
      <w:bodyDiv w:val="1"/>
      <w:marLeft w:val="0"/>
      <w:marRight w:val="0"/>
      <w:marTop w:val="0"/>
      <w:marBottom w:val="0"/>
      <w:divBdr>
        <w:top w:val="none" w:sz="0" w:space="0" w:color="auto"/>
        <w:left w:val="none" w:sz="0" w:space="0" w:color="auto"/>
        <w:bottom w:val="none" w:sz="0" w:space="0" w:color="auto"/>
        <w:right w:val="none" w:sz="0" w:space="0" w:color="auto"/>
      </w:divBdr>
    </w:div>
    <w:div w:id="1472675760">
      <w:bodyDiv w:val="1"/>
      <w:marLeft w:val="0"/>
      <w:marRight w:val="0"/>
      <w:marTop w:val="0"/>
      <w:marBottom w:val="0"/>
      <w:divBdr>
        <w:top w:val="none" w:sz="0" w:space="0" w:color="auto"/>
        <w:left w:val="none" w:sz="0" w:space="0" w:color="auto"/>
        <w:bottom w:val="none" w:sz="0" w:space="0" w:color="auto"/>
        <w:right w:val="none" w:sz="0" w:space="0" w:color="auto"/>
      </w:divBdr>
    </w:div>
    <w:div w:id="1508982656">
      <w:bodyDiv w:val="1"/>
      <w:marLeft w:val="0"/>
      <w:marRight w:val="0"/>
      <w:marTop w:val="0"/>
      <w:marBottom w:val="0"/>
      <w:divBdr>
        <w:top w:val="none" w:sz="0" w:space="0" w:color="auto"/>
        <w:left w:val="none" w:sz="0" w:space="0" w:color="auto"/>
        <w:bottom w:val="none" w:sz="0" w:space="0" w:color="auto"/>
        <w:right w:val="none" w:sz="0" w:space="0" w:color="auto"/>
      </w:divBdr>
    </w:div>
    <w:div w:id="1564559524">
      <w:bodyDiv w:val="1"/>
      <w:marLeft w:val="0"/>
      <w:marRight w:val="0"/>
      <w:marTop w:val="0"/>
      <w:marBottom w:val="0"/>
      <w:divBdr>
        <w:top w:val="none" w:sz="0" w:space="0" w:color="auto"/>
        <w:left w:val="none" w:sz="0" w:space="0" w:color="auto"/>
        <w:bottom w:val="none" w:sz="0" w:space="0" w:color="auto"/>
        <w:right w:val="none" w:sz="0" w:space="0" w:color="auto"/>
      </w:divBdr>
    </w:div>
    <w:div w:id="1614166150">
      <w:bodyDiv w:val="1"/>
      <w:marLeft w:val="0"/>
      <w:marRight w:val="0"/>
      <w:marTop w:val="0"/>
      <w:marBottom w:val="0"/>
      <w:divBdr>
        <w:top w:val="none" w:sz="0" w:space="0" w:color="auto"/>
        <w:left w:val="none" w:sz="0" w:space="0" w:color="auto"/>
        <w:bottom w:val="none" w:sz="0" w:space="0" w:color="auto"/>
        <w:right w:val="none" w:sz="0" w:space="0" w:color="auto"/>
      </w:divBdr>
    </w:div>
    <w:div w:id="1720980398">
      <w:bodyDiv w:val="1"/>
      <w:marLeft w:val="0"/>
      <w:marRight w:val="0"/>
      <w:marTop w:val="0"/>
      <w:marBottom w:val="0"/>
      <w:divBdr>
        <w:top w:val="none" w:sz="0" w:space="0" w:color="auto"/>
        <w:left w:val="none" w:sz="0" w:space="0" w:color="auto"/>
        <w:bottom w:val="none" w:sz="0" w:space="0" w:color="auto"/>
        <w:right w:val="none" w:sz="0" w:space="0" w:color="auto"/>
      </w:divBdr>
    </w:div>
    <w:div w:id="1756128886">
      <w:bodyDiv w:val="1"/>
      <w:marLeft w:val="0"/>
      <w:marRight w:val="0"/>
      <w:marTop w:val="0"/>
      <w:marBottom w:val="0"/>
      <w:divBdr>
        <w:top w:val="none" w:sz="0" w:space="0" w:color="auto"/>
        <w:left w:val="none" w:sz="0" w:space="0" w:color="auto"/>
        <w:bottom w:val="none" w:sz="0" w:space="0" w:color="auto"/>
        <w:right w:val="none" w:sz="0" w:space="0" w:color="auto"/>
      </w:divBdr>
    </w:div>
    <w:div w:id="1822186097">
      <w:bodyDiv w:val="1"/>
      <w:marLeft w:val="0"/>
      <w:marRight w:val="0"/>
      <w:marTop w:val="0"/>
      <w:marBottom w:val="0"/>
      <w:divBdr>
        <w:top w:val="none" w:sz="0" w:space="0" w:color="auto"/>
        <w:left w:val="none" w:sz="0" w:space="0" w:color="auto"/>
        <w:bottom w:val="none" w:sz="0" w:space="0" w:color="auto"/>
        <w:right w:val="none" w:sz="0" w:space="0" w:color="auto"/>
      </w:divBdr>
    </w:div>
    <w:div w:id="1840269662">
      <w:bodyDiv w:val="1"/>
      <w:marLeft w:val="0"/>
      <w:marRight w:val="0"/>
      <w:marTop w:val="0"/>
      <w:marBottom w:val="0"/>
      <w:divBdr>
        <w:top w:val="none" w:sz="0" w:space="0" w:color="auto"/>
        <w:left w:val="none" w:sz="0" w:space="0" w:color="auto"/>
        <w:bottom w:val="none" w:sz="0" w:space="0" w:color="auto"/>
        <w:right w:val="none" w:sz="0" w:space="0" w:color="auto"/>
      </w:divBdr>
    </w:div>
    <w:div w:id="1871337422">
      <w:bodyDiv w:val="1"/>
      <w:marLeft w:val="0"/>
      <w:marRight w:val="0"/>
      <w:marTop w:val="0"/>
      <w:marBottom w:val="0"/>
      <w:divBdr>
        <w:top w:val="none" w:sz="0" w:space="0" w:color="auto"/>
        <w:left w:val="none" w:sz="0" w:space="0" w:color="auto"/>
        <w:bottom w:val="none" w:sz="0" w:space="0" w:color="auto"/>
        <w:right w:val="none" w:sz="0" w:space="0" w:color="auto"/>
      </w:divBdr>
    </w:div>
    <w:div w:id="1931622003">
      <w:bodyDiv w:val="1"/>
      <w:marLeft w:val="0"/>
      <w:marRight w:val="0"/>
      <w:marTop w:val="0"/>
      <w:marBottom w:val="0"/>
      <w:divBdr>
        <w:top w:val="none" w:sz="0" w:space="0" w:color="auto"/>
        <w:left w:val="none" w:sz="0" w:space="0" w:color="auto"/>
        <w:bottom w:val="none" w:sz="0" w:space="0" w:color="auto"/>
        <w:right w:val="none" w:sz="0" w:space="0" w:color="auto"/>
      </w:divBdr>
    </w:div>
    <w:div w:id="1973172652">
      <w:bodyDiv w:val="1"/>
      <w:marLeft w:val="0"/>
      <w:marRight w:val="0"/>
      <w:marTop w:val="0"/>
      <w:marBottom w:val="0"/>
      <w:divBdr>
        <w:top w:val="none" w:sz="0" w:space="0" w:color="auto"/>
        <w:left w:val="none" w:sz="0" w:space="0" w:color="auto"/>
        <w:bottom w:val="none" w:sz="0" w:space="0" w:color="auto"/>
        <w:right w:val="none" w:sz="0" w:space="0" w:color="auto"/>
      </w:divBdr>
    </w:div>
    <w:div w:id="1984385190">
      <w:bodyDiv w:val="1"/>
      <w:marLeft w:val="0"/>
      <w:marRight w:val="0"/>
      <w:marTop w:val="0"/>
      <w:marBottom w:val="0"/>
      <w:divBdr>
        <w:top w:val="none" w:sz="0" w:space="0" w:color="auto"/>
        <w:left w:val="none" w:sz="0" w:space="0" w:color="auto"/>
        <w:bottom w:val="none" w:sz="0" w:space="0" w:color="auto"/>
        <w:right w:val="none" w:sz="0" w:space="0" w:color="auto"/>
      </w:divBdr>
    </w:div>
    <w:div w:id="1984500947">
      <w:bodyDiv w:val="1"/>
      <w:marLeft w:val="0"/>
      <w:marRight w:val="0"/>
      <w:marTop w:val="0"/>
      <w:marBottom w:val="0"/>
      <w:divBdr>
        <w:top w:val="none" w:sz="0" w:space="0" w:color="auto"/>
        <w:left w:val="none" w:sz="0" w:space="0" w:color="auto"/>
        <w:bottom w:val="none" w:sz="0" w:space="0" w:color="auto"/>
        <w:right w:val="none" w:sz="0" w:space="0" w:color="auto"/>
      </w:divBdr>
    </w:div>
    <w:div w:id="2061316779">
      <w:bodyDiv w:val="1"/>
      <w:marLeft w:val="0"/>
      <w:marRight w:val="0"/>
      <w:marTop w:val="0"/>
      <w:marBottom w:val="0"/>
      <w:divBdr>
        <w:top w:val="none" w:sz="0" w:space="0" w:color="auto"/>
        <w:left w:val="none" w:sz="0" w:space="0" w:color="auto"/>
        <w:bottom w:val="none" w:sz="0" w:space="0" w:color="auto"/>
        <w:right w:val="none" w:sz="0" w:space="0" w:color="auto"/>
      </w:divBdr>
    </w:div>
    <w:div w:id="2071465867">
      <w:bodyDiv w:val="1"/>
      <w:marLeft w:val="0"/>
      <w:marRight w:val="0"/>
      <w:marTop w:val="0"/>
      <w:marBottom w:val="0"/>
      <w:divBdr>
        <w:top w:val="none" w:sz="0" w:space="0" w:color="auto"/>
        <w:left w:val="none" w:sz="0" w:space="0" w:color="auto"/>
        <w:bottom w:val="none" w:sz="0" w:space="0" w:color="auto"/>
        <w:right w:val="none" w:sz="0" w:space="0" w:color="auto"/>
      </w:divBdr>
    </w:div>
    <w:div w:id="2080904320">
      <w:bodyDiv w:val="1"/>
      <w:marLeft w:val="0"/>
      <w:marRight w:val="0"/>
      <w:marTop w:val="0"/>
      <w:marBottom w:val="0"/>
      <w:divBdr>
        <w:top w:val="none" w:sz="0" w:space="0" w:color="auto"/>
        <w:left w:val="none" w:sz="0" w:space="0" w:color="auto"/>
        <w:bottom w:val="none" w:sz="0" w:space="0" w:color="auto"/>
        <w:right w:val="none" w:sz="0" w:space="0" w:color="auto"/>
      </w:divBdr>
    </w:div>
    <w:div w:id="2084989250">
      <w:bodyDiv w:val="1"/>
      <w:marLeft w:val="0"/>
      <w:marRight w:val="0"/>
      <w:marTop w:val="0"/>
      <w:marBottom w:val="0"/>
      <w:divBdr>
        <w:top w:val="none" w:sz="0" w:space="0" w:color="auto"/>
        <w:left w:val="none" w:sz="0" w:space="0" w:color="auto"/>
        <w:bottom w:val="none" w:sz="0" w:space="0" w:color="auto"/>
        <w:right w:val="none" w:sz="0" w:space="0" w:color="auto"/>
      </w:divBdr>
    </w:div>
    <w:div w:id="2089884644">
      <w:bodyDiv w:val="1"/>
      <w:marLeft w:val="0"/>
      <w:marRight w:val="0"/>
      <w:marTop w:val="0"/>
      <w:marBottom w:val="0"/>
      <w:divBdr>
        <w:top w:val="none" w:sz="0" w:space="0" w:color="auto"/>
        <w:left w:val="none" w:sz="0" w:space="0" w:color="auto"/>
        <w:bottom w:val="none" w:sz="0" w:space="0" w:color="auto"/>
        <w:right w:val="none" w:sz="0" w:space="0" w:color="auto"/>
      </w:divBdr>
    </w:div>
    <w:div w:id="2092853725">
      <w:bodyDiv w:val="1"/>
      <w:marLeft w:val="0"/>
      <w:marRight w:val="0"/>
      <w:marTop w:val="0"/>
      <w:marBottom w:val="0"/>
      <w:divBdr>
        <w:top w:val="none" w:sz="0" w:space="0" w:color="auto"/>
        <w:left w:val="none" w:sz="0" w:space="0" w:color="auto"/>
        <w:bottom w:val="none" w:sz="0" w:space="0" w:color="auto"/>
        <w:right w:val="none" w:sz="0" w:space="0" w:color="auto"/>
      </w:divBdr>
    </w:div>
    <w:div w:id="2113933005">
      <w:bodyDiv w:val="1"/>
      <w:marLeft w:val="0"/>
      <w:marRight w:val="0"/>
      <w:marTop w:val="0"/>
      <w:marBottom w:val="0"/>
      <w:divBdr>
        <w:top w:val="none" w:sz="0" w:space="0" w:color="auto"/>
        <w:left w:val="none" w:sz="0" w:space="0" w:color="auto"/>
        <w:bottom w:val="none" w:sz="0" w:space="0" w:color="auto"/>
        <w:right w:val="none" w:sz="0" w:space="0" w:color="auto"/>
      </w:divBdr>
    </w:div>
    <w:div w:id="2128036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14.emf"/><Relationship Id="rId21" Type="http://schemas.openxmlformats.org/officeDocument/2006/relationships/header" Target="header6.xml"/><Relationship Id="rId42" Type="http://schemas.openxmlformats.org/officeDocument/2006/relationships/footer" Target="footer13.xml"/><Relationship Id="rId47" Type="http://schemas.openxmlformats.org/officeDocument/2006/relationships/header" Target="header23.xml"/><Relationship Id="rId63" Type="http://schemas.openxmlformats.org/officeDocument/2006/relationships/footer" Target="footer18.xml"/><Relationship Id="rId68" Type="http://schemas.openxmlformats.org/officeDocument/2006/relationships/footer" Target="footer21.xml"/><Relationship Id="rId84" Type="http://schemas.openxmlformats.org/officeDocument/2006/relationships/footer" Target="footer29.xml"/><Relationship Id="rId89" Type="http://schemas.openxmlformats.org/officeDocument/2006/relationships/header" Target="header47.xml"/><Relationship Id="rId112" Type="http://schemas.openxmlformats.org/officeDocument/2006/relationships/image" Target="media/image9.emf"/><Relationship Id="rId133" Type="http://schemas.openxmlformats.org/officeDocument/2006/relationships/image" Target="media/image28.emf"/><Relationship Id="rId138" Type="http://schemas.openxmlformats.org/officeDocument/2006/relationships/header" Target="header61.xml"/><Relationship Id="rId16" Type="http://schemas.openxmlformats.org/officeDocument/2006/relationships/image" Target="media/image2.jpeg"/><Relationship Id="rId107" Type="http://schemas.openxmlformats.org/officeDocument/2006/relationships/image" Target="media/image4.jpeg"/><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0.xml"/><Relationship Id="rId53" Type="http://schemas.openxmlformats.org/officeDocument/2006/relationships/header" Target="header29.xml"/><Relationship Id="rId58" Type="http://schemas.openxmlformats.org/officeDocument/2006/relationships/header" Target="header32.xml"/><Relationship Id="rId74" Type="http://schemas.openxmlformats.org/officeDocument/2006/relationships/header" Target="header40.xml"/><Relationship Id="rId79" Type="http://schemas.openxmlformats.org/officeDocument/2006/relationships/footer" Target="footer26.xml"/><Relationship Id="rId102" Type="http://schemas.openxmlformats.org/officeDocument/2006/relationships/footer" Target="footer38.xml"/><Relationship Id="rId123" Type="http://schemas.openxmlformats.org/officeDocument/2006/relationships/header" Target="header56.xml"/><Relationship Id="rId128" Type="http://schemas.openxmlformats.org/officeDocument/2006/relationships/image" Target="media/image23.emf"/><Relationship Id="rId5" Type="http://schemas.openxmlformats.org/officeDocument/2006/relationships/settings" Target="settings.xml"/><Relationship Id="rId90" Type="http://schemas.openxmlformats.org/officeDocument/2006/relationships/header" Target="header48.xml"/><Relationship Id="rId95" Type="http://schemas.openxmlformats.org/officeDocument/2006/relationships/header" Target="header50.xml"/><Relationship Id="rId22" Type="http://schemas.openxmlformats.org/officeDocument/2006/relationships/header" Target="header7.xml"/><Relationship Id="rId27" Type="http://schemas.openxmlformats.org/officeDocument/2006/relationships/footer" Target="footer8.xml"/><Relationship Id="rId43" Type="http://schemas.openxmlformats.org/officeDocument/2006/relationships/header" Target="header19.xml"/><Relationship Id="rId48" Type="http://schemas.openxmlformats.org/officeDocument/2006/relationships/header" Target="header24.xml"/><Relationship Id="rId64" Type="http://schemas.openxmlformats.org/officeDocument/2006/relationships/footer" Target="footer19.xml"/><Relationship Id="rId69" Type="http://schemas.openxmlformats.org/officeDocument/2006/relationships/header" Target="header37.xml"/><Relationship Id="rId113" Type="http://schemas.openxmlformats.org/officeDocument/2006/relationships/image" Target="media/image10.emf"/><Relationship Id="rId118" Type="http://schemas.openxmlformats.org/officeDocument/2006/relationships/image" Target="media/image15.emf"/><Relationship Id="rId134" Type="http://schemas.openxmlformats.org/officeDocument/2006/relationships/image" Target="media/image29.emf"/><Relationship Id="rId139" Type="http://schemas.openxmlformats.org/officeDocument/2006/relationships/header" Target="header62.xml"/><Relationship Id="rId8" Type="http://schemas.openxmlformats.org/officeDocument/2006/relationships/endnotes" Target="endnotes.xml"/><Relationship Id="rId51" Type="http://schemas.openxmlformats.org/officeDocument/2006/relationships/header" Target="header27.xml"/><Relationship Id="rId72" Type="http://schemas.openxmlformats.org/officeDocument/2006/relationships/footer" Target="footer23.xml"/><Relationship Id="rId80" Type="http://schemas.openxmlformats.org/officeDocument/2006/relationships/footer" Target="footer27.xml"/><Relationship Id="rId85" Type="http://schemas.openxmlformats.org/officeDocument/2006/relationships/header" Target="header45.xml"/><Relationship Id="rId93" Type="http://schemas.openxmlformats.org/officeDocument/2006/relationships/header" Target="header49.xml"/><Relationship Id="rId98" Type="http://schemas.openxmlformats.org/officeDocument/2006/relationships/footer" Target="footer36.xml"/><Relationship Id="rId121" Type="http://schemas.openxmlformats.org/officeDocument/2006/relationships/image" Target="media/image18.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footer" Target="footer11.xml"/><Relationship Id="rId46" Type="http://schemas.openxmlformats.org/officeDocument/2006/relationships/header" Target="header22.xml"/><Relationship Id="rId59" Type="http://schemas.openxmlformats.org/officeDocument/2006/relationships/footer" Target="footer16.xml"/><Relationship Id="rId67" Type="http://schemas.openxmlformats.org/officeDocument/2006/relationships/footer" Target="footer20.xml"/><Relationship Id="rId103" Type="http://schemas.openxmlformats.org/officeDocument/2006/relationships/header" Target="header54.xml"/><Relationship Id="rId108" Type="http://schemas.openxmlformats.org/officeDocument/2006/relationships/image" Target="media/image5.jpeg"/><Relationship Id="rId116" Type="http://schemas.openxmlformats.org/officeDocument/2006/relationships/image" Target="media/image13.emf"/><Relationship Id="rId124" Type="http://schemas.openxmlformats.org/officeDocument/2006/relationships/header" Target="header57.xml"/><Relationship Id="rId129" Type="http://schemas.openxmlformats.org/officeDocument/2006/relationships/image" Target="media/image24.emf"/><Relationship Id="rId137" Type="http://schemas.openxmlformats.org/officeDocument/2006/relationships/header" Target="header60.xml"/><Relationship Id="rId20" Type="http://schemas.openxmlformats.org/officeDocument/2006/relationships/footer" Target="footer5.xml"/><Relationship Id="rId41" Type="http://schemas.openxmlformats.org/officeDocument/2006/relationships/footer" Target="footer12.xml"/><Relationship Id="rId54" Type="http://schemas.openxmlformats.org/officeDocument/2006/relationships/header" Target="header30.xml"/><Relationship Id="rId62" Type="http://schemas.openxmlformats.org/officeDocument/2006/relationships/header" Target="header34.xml"/><Relationship Id="rId70" Type="http://schemas.openxmlformats.org/officeDocument/2006/relationships/header" Target="header38.xml"/><Relationship Id="rId75" Type="http://schemas.openxmlformats.org/officeDocument/2006/relationships/footer" Target="footer24.xml"/><Relationship Id="rId83" Type="http://schemas.openxmlformats.org/officeDocument/2006/relationships/footer" Target="footer28.xml"/><Relationship Id="rId88" Type="http://schemas.openxmlformats.org/officeDocument/2006/relationships/footer" Target="footer31.xml"/><Relationship Id="rId91" Type="http://schemas.openxmlformats.org/officeDocument/2006/relationships/footer" Target="footer32.xml"/><Relationship Id="rId96" Type="http://schemas.openxmlformats.org/officeDocument/2006/relationships/header" Target="header51.xml"/><Relationship Id="rId111" Type="http://schemas.openxmlformats.org/officeDocument/2006/relationships/image" Target="media/image8.emf"/><Relationship Id="rId132" Type="http://schemas.openxmlformats.org/officeDocument/2006/relationships/image" Target="media/image27.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eader" Target="header16.xml"/><Relationship Id="rId49" Type="http://schemas.openxmlformats.org/officeDocument/2006/relationships/header" Target="header25.xml"/><Relationship Id="rId57" Type="http://schemas.openxmlformats.org/officeDocument/2006/relationships/header" Target="header31.xml"/><Relationship Id="rId106" Type="http://schemas.openxmlformats.org/officeDocument/2006/relationships/footer" Target="footer40.xml"/><Relationship Id="rId114" Type="http://schemas.openxmlformats.org/officeDocument/2006/relationships/image" Target="media/image11.emf"/><Relationship Id="rId119" Type="http://schemas.openxmlformats.org/officeDocument/2006/relationships/image" Target="media/image16.emf"/><Relationship Id="rId127" Type="http://schemas.openxmlformats.org/officeDocument/2006/relationships/image" Target="media/image22.emf"/><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footer" Target="footer17.xml"/><Relationship Id="rId65" Type="http://schemas.openxmlformats.org/officeDocument/2006/relationships/header" Target="header35.xml"/><Relationship Id="rId73" Type="http://schemas.openxmlformats.org/officeDocument/2006/relationships/header" Target="header39.xml"/><Relationship Id="rId78" Type="http://schemas.openxmlformats.org/officeDocument/2006/relationships/header" Target="header42.xml"/><Relationship Id="rId81" Type="http://schemas.openxmlformats.org/officeDocument/2006/relationships/header" Target="header43.xml"/><Relationship Id="rId86" Type="http://schemas.openxmlformats.org/officeDocument/2006/relationships/header" Target="header46.xml"/><Relationship Id="rId94" Type="http://schemas.openxmlformats.org/officeDocument/2006/relationships/footer" Target="footer34.xml"/><Relationship Id="rId99" Type="http://schemas.openxmlformats.org/officeDocument/2006/relationships/header" Target="header52.xml"/><Relationship Id="rId101" Type="http://schemas.openxmlformats.org/officeDocument/2006/relationships/footer" Target="footer37.xml"/><Relationship Id="rId122" Type="http://schemas.openxmlformats.org/officeDocument/2006/relationships/image" Target="media/image19.emf"/><Relationship Id="rId130" Type="http://schemas.openxmlformats.org/officeDocument/2006/relationships/image" Target="media/image25.emf"/><Relationship Id="rId135" Type="http://schemas.openxmlformats.org/officeDocument/2006/relationships/header" Target="header5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7.xml"/><Relationship Id="rId109" Type="http://schemas.openxmlformats.org/officeDocument/2006/relationships/image" Target="media/image6.jpeg"/><Relationship Id="rId34" Type="http://schemas.openxmlformats.org/officeDocument/2006/relationships/header" Target="header14.xml"/><Relationship Id="rId50" Type="http://schemas.openxmlformats.org/officeDocument/2006/relationships/header" Target="header26.xml"/><Relationship Id="rId55" Type="http://schemas.openxmlformats.org/officeDocument/2006/relationships/footer" Target="footer14.xml"/><Relationship Id="rId76" Type="http://schemas.openxmlformats.org/officeDocument/2006/relationships/footer" Target="footer25.xml"/><Relationship Id="rId97" Type="http://schemas.openxmlformats.org/officeDocument/2006/relationships/footer" Target="footer35.xml"/><Relationship Id="rId104" Type="http://schemas.openxmlformats.org/officeDocument/2006/relationships/header" Target="header55.xml"/><Relationship Id="rId120" Type="http://schemas.openxmlformats.org/officeDocument/2006/relationships/image" Target="media/image17.emf"/><Relationship Id="rId125" Type="http://schemas.openxmlformats.org/officeDocument/2006/relationships/image" Target="media/image20.emf"/><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2.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image" Target="media/image3.jpg"/><Relationship Id="rId24" Type="http://schemas.openxmlformats.org/officeDocument/2006/relationships/footer" Target="footer7.xml"/><Relationship Id="rId40" Type="http://schemas.openxmlformats.org/officeDocument/2006/relationships/header" Target="header18.xml"/><Relationship Id="rId45" Type="http://schemas.openxmlformats.org/officeDocument/2006/relationships/header" Target="header21.xml"/><Relationship Id="rId66" Type="http://schemas.openxmlformats.org/officeDocument/2006/relationships/header" Target="header36.xml"/><Relationship Id="rId87" Type="http://schemas.openxmlformats.org/officeDocument/2006/relationships/footer" Target="footer30.xml"/><Relationship Id="rId110" Type="http://schemas.openxmlformats.org/officeDocument/2006/relationships/image" Target="media/image7.emf"/><Relationship Id="rId115" Type="http://schemas.openxmlformats.org/officeDocument/2006/relationships/image" Target="media/image12.emf"/><Relationship Id="rId131" Type="http://schemas.openxmlformats.org/officeDocument/2006/relationships/image" Target="media/image26.emf"/><Relationship Id="rId136" Type="http://schemas.openxmlformats.org/officeDocument/2006/relationships/header" Target="header59.xml"/><Relationship Id="rId61" Type="http://schemas.openxmlformats.org/officeDocument/2006/relationships/header" Target="header33.xml"/><Relationship Id="rId82" Type="http://schemas.openxmlformats.org/officeDocument/2006/relationships/header" Target="header44.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header" Target="header15.xml"/><Relationship Id="rId56" Type="http://schemas.openxmlformats.org/officeDocument/2006/relationships/footer" Target="footer15.xml"/><Relationship Id="rId77" Type="http://schemas.openxmlformats.org/officeDocument/2006/relationships/header" Target="header41.xml"/><Relationship Id="rId100" Type="http://schemas.openxmlformats.org/officeDocument/2006/relationships/header" Target="header53.xml"/><Relationship Id="rId105" Type="http://schemas.openxmlformats.org/officeDocument/2006/relationships/footer" Target="footer39.xml"/><Relationship Id="rId126"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Office%20Documents\Annual%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18658-30E7-40DD-A419-3C60B528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Report.dotx</Template>
  <TotalTime>2</TotalTime>
  <Pages>114</Pages>
  <Words>23544</Words>
  <Characters>132558</Characters>
  <Application>Microsoft Office Word</Application>
  <DocSecurity>8</DocSecurity>
  <PresentationFormat/>
  <Lines>6312</Lines>
  <Paragraphs>2559</Paragraphs>
  <ScaleCrop>false</ScaleCrop>
  <HeadingPairs>
    <vt:vector size="2" baseType="variant">
      <vt:variant>
        <vt:lpstr>Title</vt:lpstr>
      </vt:variant>
      <vt:variant>
        <vt:i4>1</vt:i4>
      </vt:variant>
    </vt:vector>
  </HeadingPairs>
  <TitlesOfParts>
    <vt:vector size="1" baseType="lpstr">
      <vt:lpstr>Annual Report 2016-2017</vt:lpstr>
    </vt:vector>
  </TitlesOfParts>
  <Company>Office of Parliamentary Counsel</Company>
  <LinksUpToDate>false</LinksUpToDate>
  <CharactersWithSpaces>153543</CharactersWithSpaces>
  <SharedDoc>false</SharedDoc>
  <HyperlinkBase/>
  <HLinks>
    <vt:vector size="6" baseType="variant">
      <vt:variant>
        <vt:i4>5373963</vt:i4>
      </vt:variant>
      <vt:variant>
        <vt:i4>0</vt:i4>
      </vt:variant>
      <vt:variant>
        <vt:i4>0</vt:i4>
      </vt:variant>
      <vt:variant>
        <vt:i4>5</vt:i4>
      </vt:variant>
      <vt:variant>
        <vt:lpwstr>http://www.ag.gov.au/cca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2016-2017</dc:title>
  <dc:creator>RobertsS</dc:creator>
  <cp:lastModifiedBy>Kugler</cp:lastModifiedBy>
  <cp:revision>2</cp:revision>
  <cp:lastPrinted>2017-09-18T02:48:00Z</cp:lastPrinted>
  <dcterms:created xsi:type="dcterms:W3CDTF">2017-10-17T01:11:00Z</dcterms:created>
  <dcterms:modified xsi:type="dcterms:W3CDTF">2017-10-17T01:11:00Z</dcterms:modified>
  <cp:category>Other - Final for web page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TrimID">
    <vt:lpwstr>PC:</vt:lpwstr>
  </property>
  <property fmtid="{D5CDD505-2E9C-101B-9397-08002B2CF9AE}" pid="4" name="DoNotAsk">
    <vt:lpwstr>1</vt:lpwstr>
  </property>
  <property fmtid="{D5CDD505-2E9C-101B-9397-08002B2CF9AE}" pid="5" name="ChangedTitle">
    <vt:lpwstr>Annual Report 2016_x001e_2017</vt:lpwstr>
  </property>
  <property fmtid="{D5CDD505-2E9C-101B-9397-08002B2CF9AE}" pid="6" name="DLM">
    <vt:lpwstr>No DLM</vt:lpwstr>
  </property>
</Properties>
</file>