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7.xml" ContentType="application/vnd.openxmlformats-officedocument.wordprocessingml.header+xml"/>
  <Override PartName="/word/footer3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54F" w:rsidRDefault="00CB554F">
      <w:pPr>
        <w:pStyle w:val="Blocks"/>
      </w:pPr>
      <w:bookmarkStart w:id="0" w:name="_GoBack"/>
      <w:bookmarkEnd w:id="0"/>
    </w:p>
    <w:p w:rsidR="00885363" w:rsidRDefault="00885363">
      <w:pPr>
        <w:pStyle w:val="Blocks"/>
      </w:pPr>
    </w:p>
    <w:p w:rsidR="00CB554F" w:rsidRDefault="00CB554F">
      <w:pPr>
        <w:pStyle w:val="Blocks"/>
      </w:pPr>
    </w:p>
    <w:p w:rsidR="00CB554F" w:rsidRDefault="00CB554F">
      <w:pPr>
        <w:pStyle w:val="Blocks"/>
      </w:pPr>
    </w:p>
    <w:p w:rsidR="00CB554F" w:rsidRDefault="00E8400B">
      <w:pPr>
        <w:pStyle w:val="Blocks"/>
      </w:pPr>
      <w:r>
        <w:rPr>
          <w:b/>
          <w:noProof/>
          <w:sz w:val="44"/>
          <w:szCs w:val="44"/>
        </w:rPr>
        <w:drawing>
          <wp:anchor distT="0" distB="0" distL="114300" distR="114300" simplePos="0" relativeHeight="251656192" behindDoc="0" locked="0" layoutInCell="0" allowOverlap="1" wp14:anchorId="6C8722CE" wp14:editId="174F2DBA">
            <wp:simplePos x="0" y="0"/>
            <wp:positionH relativeFrom="column">
              <wp:posOffset>-152400</wp:posOffset>
            </wp:positionH>
            <wp:positionV relativeFrom="paragraph">
              <wp:posOffset>87630</wp:posOffset>
            </wp:positionV>
            <wp:extent cx="3962400" cy="999490"/>
            <wp:effectExtent l="0" t="0" r="0" b="0"/>
            <wp:wrapNone/>
            <wp:docPr id="42" name="Picture 6" descr="O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C_inline"/>
                    <pic:cNvPicPr>
                      <a:picLocks noChangeAspect="1" noChangeArrowheads="1"/>
                    </pic:cNvPicPr>
                  </pic:nvPicPr>
                  <pic:blipFill>
                    <a:blip r:embed="rId9" cstate="print"/>
                    <a:srcRect/>
                    <a:stretch>
                      <a:fillRect/>
                    </a:stretch>
                  </pic:blipFill>
                  <pic:spPr bwMode="auto">
                    <a:xfrm>
                      <a:off x="0" y="0"/>
                      <a:ext cx="3962400" cy="999490"/>
                    </a:xfrm>
                    <a:prstGeom prst="rect">
                      <a:avLst/>
                    </a:prstGeom>
                    <a:noFill/>
                    <a:ln w="9525">
                      <a:noFill/>
                      <a:miter lim="800000"/>
                      <a:headEnd/>
                      <a:tailEnd/>
                    </a:ln>
                  </pic:spPr>
                </pic:pic>
              </a:graphicData>
            </a:graphic>
          </wp:anchor>
        </w:drawing>
      </w:r>
    </w:p>
    <w:p w:rsidR="00CB554F" w:rsidRDefault="00CB554F">
      <w:pPr>
        <w:pStyle w:val="Blocks"/>
      </w:pPr>
    </w:p>
    <w:p w:rsidR="00CB554F" w:rsidRDefault="00CB554F">
      <w:pPr>
        <w:pStyle w:val="Blocks"/>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015835">
      <w:pPr>
        <w:pStyle w:val="Head1"/>
      </w:pPr>
      <w:r>
        <w:t>Annual Report 20</w:t>
      </w:r>
      <w:r w:rsidR="002A5F8D">
        <w:t>1</w:t>
      </w:r>
      <w:r w:rsidR="00B310CE">
        <w:t>5</w:t>
      </w:r>
      <w:r w:rsidR="00CB554F">
        <w:noBreakHyphen/>
        <w:t>20</w:t>
      </w:r>
      <w:r w:rsidR="00531DE8">
        <w:t>1</w:t>
      </w:r>
      <w:r w:rsidR="00B310CE">
        <w:t>6</w:t>
      </w:r>
    </w:p>
    <w:p w:rsidR="00322375" w:rsidRPr="00322375" w:rsidRDefault="00322375" w:rsidP="00322375">
      <w:pPr>
        <w:sectPr w:rsidR="00322375" w:rsidRPr="00322375">
          <w:headerReference w:type="even" r:id="rId10"/>
          <w:footerReference w:type="even" r:id="rId11"/>
          <w:type w:val="continuous"/>
          <w:pgSz w:w="11907" w:h="16839" w:code="9"/>
          <w:pgMar w:top="1134" w:right="2410" w:bottom="4253" w:left="2410" w:header="510" w:footer="3402" w:gutter="0"/>
          <w:pgNumType w:start="1"/>
          <w:cols w:space="709"/>
          <w:docGrid w:linePitch="326"/>
        </w:sectPr>
      </w:pPr>
    </w:p>
    <w:p w:rsidR="00CB554F" w:rsidRDefault="00CB554F" w:rsidP="00322375">
      <w:pPr>
        <w:pStyle w:val="PageBreak"/>
      </w:pPr>
      <w:r>
        <w:lastRenderedPageBreak/>
        <w:br w:type="page"/>
      </w:r>
    </w:p>
    <w:p w:rsidR="00CB554F" w:rsidRDefault="00CB554F">
      <w:pPr>
        <w:pStyle w:val="Body"/>
      </w:pPr>
    </w:p>
    <w:p w:rsidR="00CB554F" w:rsidRDefault="00CB554F">
      <w:pPr>
        <w:pStyle w:val="Body"/>
      </w:pPr>
      <w:r>
        <w:t>ISSN 1034-3202</w:t>
      </w:r>
    </w:p>
    <w:p w:rsidR="00CB554F" w:rsidRDefault="00CB554F">
      <w:pPr>
        <w:pStyle w:val="Body"/>
      </w:pPr>
    </w:p>
    <w:p w:rsidR="00CB554F" w:rsidRDefault="00CB554F">
      <w:pPr>
        <w:pStyle w:val="Body"/>
      </w:pPr>
    </w:p>
    <w:p w:rsidR="00821ED2" w:rsidRDefault="00821ED2" w:rsidP="00821ED2">
      <w:pPr>
        <w:pStyle w:val="NormalWeb"/>
        <w:rPr>
          <w:rFonts w:ascii="Arial" w:hAnsi="Arial" w:cs="Arial"/>
          <w:sz w:val="20"/>
          <w:szCs w:val="20"/>
        </w:rPr>
      </w:pPr>
      <w:r w:rsidRPr="00821ED2">
        <w:rPr>
          <w:rFonts w:ascii="Arial" w:hAnsi="Arial" w:cs="Arial"/>
          <w:sz w:val="20"/>
          <w:szCs w:val="20"/>
        </w:rPr>
        <w:t>With the exception of the Comm</w:t>
      </w:r>
      <w:r w:rsidR="00211BA1">
        <w:rPr>
          <w:rFonts w:ascii="Arial" w:hAnsi="Arial" w:cs="Arial"/>
          <w:sz w:val="20"/>
          <w:szCs w:val="20"/>
        </w:rPr>
        <w:t xml:space="preserve">onwealth Coat of Arms and where </w:t>
      </w:r>
      <w:r w:rsidRPr="00821ED2">
        <w:rPr>
          <w:rFonts w:ascii="Arial" w:hAnsi="Arial" w:cs="Arial"/>
          <w:sz w:val="20"/>
          <w:szCs w:val="20"/>
        </w:rPr>
        <w:t>otherwise noted, all material presented in this publication is provided under a Creative Commons Attr</w:t>
      </w:r>
      <w:r w:rsidR="003C39D9">
        <w:rPr>
          <w:rFonts w:ascii="Arial" w:hAnsi="Arial" w:cs="Arial"/>
          <w:sz w:val="20"/>
          <w:szCs w:val="20"/>
        </w:rPr>
        <w:t>ibution 2.5 Australia licence.</w:t>
      </w:r>
    </w:p>
    <w:p w:rsidR="00821ED2" w:rsidRPr="00821ED2" w:rsidRDefault="00821ED2" w:rsidP="00821ED2">
      <w:pPr>
        <w:pStyle w:val="NormalWeb"/>
        <w:rPr>
          <w:rFonts w:ascii="Arial" w:hAnsi="Arial" w:cs="Arial"/>
          <w:sz w:val="20"/>
          <w:szCs w:val="20"/>
        </w:rPr>
      </w:pPr>
    </w:p>
    <w:p w:rsidR="00821ED2" w:rsidRDefault="00821ED2" w:rsidP="00821ED2">
      <w:pPr>
        <w:pStyle w:val="NormalWeb"/>
        <w:rPr>
          <w:rFonts w:ascii="Arial" w:hAnsi="Arial" w:cs="Arial"/>
          <w:sz w:val="20"/>
          <w:szCs w:val="20"/>
        </w:rPr>
      </w:pPr>
      <w:r w:rsidRPr="00821ED2">
        <w:rPr>
          <w:rFonts w:ascii="Arial" w:hAnsi="Arial" w:cs="Arial"/>
          <w:sz w:val="20"/>
          <w:szCs w:val="20"/>
        </w:rPr>
        <w:t>The details of the relevant licence conditions are available on the Creative Commons website (http://creativecommons.o</w:t>
      </w:r>
      <w:r w:rsidR="003C39D9">
        <w:rPr>
          <w:rFonts w:ascii="Arial" w:hAnsi="Arial" w:cs="Arial"/>
          <w:sz w:val="20"/>
          <w:szCs w:val="20"/>
        </w:rPr>
        <w:t>rg/licenses/by/2.5/au/deed.en).</w:t>
      </w:r>
    </w:p>
    <w:p w:rsidR="00821ED2" w:rsidRPr="00821ED2" w:rsidRDefault="00821ED2" w:rsidP="00821ED2">
      <w:pPr>
        <w:pStyle w:val="NormalWeb"/>
        <w:rPr>
          <w:rFonts w:ascii="Arial" w:hAnsi="Arial" w:cs="Arial"/>
          <w:sz w:val="20"/>
          <w:szCs w:val="20"/>
        </w:rPr>
      </w:pPr>
    </w:p>
    <w:p w:rsidR="00821ED2" w:rsidRPr="00821ED2" w:rsidRDefault="00821ED2" w:rsidP="00821ED2">
      <w:pPr>
        <w:pStyle w:val="NormalWeb"/>
        <w:rPr>
          <w:rFonts w:ascii="Arial" w:hAnsi="Arial" w:cs="Arial"/>
          <w:sz w:val="20"/>
          <w:szCs w:val="20"/>
        </w:rPr>
      </w:pPr>
      <w:r w:rsidRPr="00821ED2">
        <w:rPr>
          <w:rFonts w:ascii="Arial" w:hAnsi="Arial" w:cs="Arial"/>
          <w:sz w:val="20"/>
          <w:szCs w:val="20"/>
        </w:rPr>
        <w:t>Content from this publication should be attributed to the Australian Office of Parliamentary Counsel.</w:t>
      </w:r>
    </w:p>
    <w:p w:rsidR="00CB554F" w:rsidRDefault="00CB554F">
      <w:pPr>
        <w:pStyle w:val="Body"/>
      </w:pPr>
    </w:p>
    <w:p w:rsidR="00CB554F" w:rsidRDefault="00CB554F">
      <w:pPr>
        <w:pStyle w:val="Body"/>
      </w:pPr>
    </w:p>
    <w:p w:rsidR="00CB554F" w:rsidRDefault="00CB554F">
      <w:pPr>
        <w:pStyle w:val="Body"/>
      </w:pPr>
      <w:r>
        <w:t>Produced by Canprint Communications Pty Ltd</w:t>
      </w:r>
    </w:p>
    <w:p w:rsidR="00C927E9" w:rsidRDefault="00CB554F">
      <w:pPr>
        <w:pStyle w:val="Body"/>
        <w:spacing w:before="0" w:line="240" w:lineRule="auto"/>
      </w:pPr>
      <w:r>
        <w:br w:type="page"/>
      </w:r>
    </w:p>
    <w:p w:rsidR="00CB554F" w:rsidRDefault="00FB069A" w:rsidP="00322CC3">
      <w:pPr>
        <w:pStyle w:val="Body"/>
        <w:spacing w:before="0" w:line="240" w:lineRule="auto"/>
        <w:ind w:left="-142"/>
      </w:pPr>
      <w:r>
        <w:rPr>
          <w:noProof/>
        </w:rPr>
        <w:lastRenderedPageBreak/>
        <w:drawing>
          <wp:inline distT="0" distB="0" distL="0" distR="0" wp14:anchorId="229B5AF4" wp14:editId="541AF94A">
            <wp:extent cx="5461000" cy="7162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66399" cy="7169882"/>
                    </a:xfrm>
                    <a:prstGeom prst="rect">
                      <a:avLst/>
                    </a:prstGeom>
                  </pic:spPr>
                </pic:pic>
              </a:graphicData>
            </a:graphic>
          </wp:inline>
        </w:drawing>
      </w:r>
    </w:p>
    <w:p w:rsidR="00CB554F" w:rsidRDefault="00CB554F" w:rsidP="00322CC3">
      <w:pPr>
        <w:pStyle w:val="Body"/>
        <w:spacing w:line="240" w:lineRule="auto"/>
        <w:sectPr w:rsidR="00CB554F">
          <w:headerReference w:type="even" r:id="rId13"/>
          <w:headerReference w:type="default" r:id="rId14"/>
          <w:footerReference w:type="even" r:id="rId15"/>
          <w:footerReference w:type="default" r:id="rId16"/>
          <w:type w:val="continuous"/>
          <w:pgSz w:w="11907" w:h="16839" w:code="9"/>
          <w:pgMar w:top="1134" w:right="2410" w:bottom="4253" w:left="2410" w:header="510" w:footer="3402" w:gutter="0"/>
          <w:pgNumType w:fmt="lowerRoman" w:start="1"/>
          <w:cols w:space="709"/>
          <w:docGrid w:linePitch="326"/>
        </w:sectPr>
      </w:pPr>
    </w:p>
    <w:p w:rsidR="00CB554F" w:rsidRDefault="00CB554F">
      <w:pPr>
        <w:pStyle w:val="Contents"/>
      </w:pPr>
      <w:r>
        <w:lastRenderedPageBreak/>
        <w:t>Contents</w:t>
      </w:r>
    </w:p>
    <w:p w:rsidR="00EE72EF" w:rsidRDefault="00D93245">
      <w:pPr>
        <w:pStyle w:val="TOC2"/>
        <w:rPr>
          <w:rFonts w:asciiTheme="minorHAnsi" w:eastAsiaTheme="minorEastAsia" w:hAnsiTheme="minorHAnsi" w:cstheme="minorBidi"/>
          <w:b w:val="0"/>
          <w:iCs w:val="0"/>
          <w:kern w:val="0"/>
          <w:sz w:val="22"/>
          <w:szCs w:val="22"/>
        </w:rPr>
      </w:pPr>
      <w:r w:rsidRPr="00EE72EF">
        <w:fldChar w:fldCharType="begin"/>
      </w:r>
      <w:r>
        <w:instrText xml:space="preserve"> TOC \o "2-</w:instrText>
      </w:r>
      <w:r w:rsidR="002E10D1">
        <w:instrText>3</w:instrText>
      </w:r>
      <w:r>
        <w:instrText xml:space="preserve">" </w:instrText>
      </w:r>
      <w:r w:rsidRPr="00EE72EF">
        <w:fldChar w:fldCharType="separate"/>
      </w:r>
      <w:r w:rsidR="00EE72EF">
        <w:t>First Parliamentary Counsel’s Review</w:t>
      </w:r>
      <w:r w:rsidR="00EE72EF" w:rsidRPr="00EE72EF">
        <w:rPr>
          <w:rFonts w:ascii="Times New Roman" w:hAnsi="Times New Roman" w:cs="Times New Roman"/>
          <w:b w:val="0"/>
          <w:sz w:val="20"/>
        </w:rPr>
        <w:tab/>
      </w:r>
      <w:r w:rsidR="00EE72EF" w:rsidRPr="00EE72EF">
        <w:rPr>
          <w:rFonts w:ascii="Times New Roman" w:hAnsi="Times New Roman" w:cs="Times New Roman"/>
          <w:b w:val="0"/>
          <w:sz w:val="20"/>
        </w:rPr>
        <w:fldChar w:fldCharType="begin"/>
      </w:r>
      <w:r w:rsidR="00EE72EF" w:rsidRPr="00EE72EF">
        <w:rPr>
          <w:rFonts w:ascii="Times New Roman" w:hAnsi="Times New Roman" w:cs="Times New Roman"/>
          <w:b w:val="0"/>
          <w:sz w:val="20"/>
        </w:rPr>
        <w:instrText xml:space="preserve"> PAGEREF _Toc463613708 \h </w:instrText>
      </w:r>
      <w:r w:rsidR="00EE72EF" w:rsidRPr="00EE72EF">
        <w:rPr>
          <w:rFonts w:ascii="Times New Roman" w:hAnsi="Times New Roman" w:cs="Times New Roman"/>
          <w:b w:val="0"/>
          <w:sz w:val="20"/>
        </w:rPr>
      </w:r>
      <w:r w:rsidR="00EE72EF" w:rsidRPr="00EE72EF">
        <w:rPr>
          <w:rFonts w:ascii="Times New Roman" w:hAnsi="Times New Roman" w:cs="Times New Roman"/>
          <w:b w:val="0"/>
          <w:sz w:val="20"/>
        </w:rPr>
        <w:fldChar w:fldCharType="separate"/>
      </w:r>
      <w:r w:rsidR="006C41B7">
        <w:rPr>
          <w:rFonts w:ascii="Times New Roman" w:hAnsi="Times New Roman" w:cs="Times New Roman"/>
          <w:b w:val="0"/>
          <w:sz w:val="20"/>
        </w:rPr>
        <w:t>1</w:t>
      </w:r>
      <w:r w:rsidR="00EE72EF"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Move to new building</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_Toc463613709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Change to Legislation Act 2003</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_Toc463613710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w:t>
      </w:r>
      <w:r w:rsidRPr="00EE72EF">
        <w:rPr>
          <w:rFonts w:ascii="Times New Roman" w:hAnsi="Times New Roman" w:cs="Times New Roman"/>
          <w:b w:val="0"/>
          <w:sz w:val="20"/>
        </w:rPr>
        <w:fldChar w:fldCharType="end"/>
      </w:r>
    </w:p>
    <w:p w:rsidR="00EE72EF" w:rsidRDefault="00EE72EF" w:rsidP="00EE72EF">
      <w:pPr>
        <w:pStyle w:val="TOC3"/>
        <w:ind w:left="425" w:firstLine="0"/>
        <w:rPr>
          <w:rFonts w:asciiTheme="minorHAnsi" w:eastAsiaTheme="minorEastAsia" w:hAnsiTheme="minorHAnsi" w:cstheme="minorBidi"/>
          <w:b w:val="0"/>
          <w:kern w:val="0"/>
          <w:sz w:val="22"/>
          <w:szCs w:val="22"/>
        </w:rPr>
      </w:pPr>
      <w:r>
        <w:t>Bills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_Toc463613711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2</w:t>
      </w:r>
      <w:r w:rsidRPr="00EE72EF">
        <w:rPr>
          <w:rFonts w:ascii="Times New Roman" w:hAnsi="Times New Roman" w:cs="Times New Roman"/>
          <w:b w:val="0"/>
          <w:sz w:val="20"/>
        </w:rPr>
        <w:fldChar w:fldCharType="end"/>
      </w:r>
    </w:p>
    <w:p w:rsidR="00EE72EF" w:rsidRDefault="00EE72EF" w:rsidP="00EE72EF">
      <w:pPr>
        <w:pStyle w:val="TOC3"/>
        <w:ind w:left="425" w:firstLine="0"/>
        <w:rPr>
          <w:rFonts w:asciiTheme="minorHAnsi" w:eastAsiaTheme="minorEastAsia" w:hAnsiTheme="minorHAnsi" w:cstheme="minorBidi"/>
          <w:b w:val="0"/>
          <w:kern w:val="0"/>
          <w:sz w:val="22"/>
          <w:szCs w:val="22"/>
        </w:rPr>
      </w:pPr>
      <w:r>
        <w:t>Repeal Day</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_Toc463613712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2</w:t>
      </w:r>
      <w:r w:rsidRPr="00EE72EF">
        <w:rPr>
          <w:rFonts w:ascii="Times New Roman" w:hAnsi="Times New Roman" w:cs="Times New Roman"/>
          <w:b w:val="0"/>
          <w:sz w:val="20"/>
        </w:rPr>
        <w:fldChar w:fldCharType="end"/>
      </w:r>
    </w:p>
    <w:p w:rsidR="00EE72EF" w:rsidRDefault="00EE72EF" w:rsidP="00EE72EF">
      <w:pPr>
        <w:pStyle w:val="TOC3"/>
        <w:ind w:left="425" w:firstLine="0"/>
        <w:rPr>
          <w:rFonts w:asciiTheme="minorHAnsi" w:eastAsiaTheme="minorEastAsia" w:hAnsiTheme="minorHAnsi" w:cstheme="minorBidi"/>
          <w:b w:val="0"/>
          <w:kern w:val="0"/>
          <w:sz w:val="22"/>
          <w:szCs w:val="22"/>
        </w:rPr>
      </w:pPr>
      <w:r>
        <w:t>Instruments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_Toc463613713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3</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Sunsetting instruments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_Toc463613714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3</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Encouraging high drafting standards for legislative instruments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_Toc463613715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3</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Drafting resources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_Toc463613716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w:t>
      </w:r>
      <w:r w:rsidRPr="00EE72EF">
        <w:rPr>
          <w:rFonts w:ascii="Times New Roman" w:hAnsi="Times New Roman" w:cs="Times New Roman"/>
          <w:b w:val="0"/>
          <w:sz w:val="20"/>
        </w:rPr>
        <w:fldChar w:fldCharType="end"/>
      </w:r>
    </w:p>
    <w:p w:rsidR="00EE72EF" w:rsidRDefault="00EE72EF" w:rsidP="00EE72EF">
      <w:pPr>
        <w:pStyle w:val="TOC3"/>
        <w:ind w:left="425" w:firstLine="0"/>
        <w:rPr>
          <w:rFonts w:asciiTheme="minorHAnsi" w:eastAsiaTheme="minorEastAsia" w:hAnsiTheme="minorHAnsi" w:cstheme="minorBidi"/>
          <w:b w:val="0"/>
          <w:kern w:val="0"/>
          <w:sz w:val="22"/>
          <w:szCs w:val="22"/>
        </w:rPr>
      </w:pPr>
      <w:r>
        <w:t>Publications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_Toc463613717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Documentation and training</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_Toc463613718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5</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Financial performance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_Toc463613719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5</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Liaison outside OPC</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_Toc463613720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5</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Corporate Services support</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_Toc463613721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Retirement of Iain McMillan</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_Toc463613722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7</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Appointment of Meredith Leigh</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_Toc463613723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7</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Placements in House and Senate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_Toc463613724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8</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Election projects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_Toc463613725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8</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Outlook for coming year</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_Toc463613726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8</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Chapter 1—Overview of OPC</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_Toc463613727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10</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Role and functions of OPC</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_Toc463613728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10</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Organisational structure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_Toc463613729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11</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Outcome and program structure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_Toc463613730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12</w:t>
      </w:r>
      <w:r w:rsidRPr="00EE72EF">
        <w:rPr>
          <w:rFonts w:ascii="Times New Roman" w:hAnsi="Times New Roman" w:cs="Times New Roman"/>
          <w:b w:val="0"/>
          <w:sz w:val="20"/>
        </w:rPr>
        <w:fldChar w:fldCharType="end"/>
      </w:r>
    </w:p>
    <w:p w:rsidR="00EE72EF" w:rsidRDefault="00EE72EF" w:rsidP="00EE72EF">
      <w:pPr>
        <w:pStyle w:val="TOC3"/>
        <w:ind w:left="425" w:firstLine="0"/>
        <w:rPr>
          <w:rFonts w:asciiTheme="minorHAnsi" w:eastAsiaTheme="minorEastAsia" w:hAnsiTheme="minorHAnsi" w:cstheme="minorBidi"/>
          <w:b w:val="0"/>
          <w:kern w:val="0"/>
          <w:sz w:val="22"/>
          <w:szCs w:val="22"/>
        </w:rPr>
      </w:pPr>
      <w:r>
        <w:t>Purpose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_Toc463613731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12</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Chapter 2—Annual Performance Statement</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_Toc463613732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13</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Introductory statement</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_Toc463613733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13</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OPC’s purposes and results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_Toc463613734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13</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Analysis of performance against Purpose 1: Legislative Drafting</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_Toc463613735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15</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Analysis of performance against Purpose 2: Publication</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_Toc463613736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33</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Influences on OPC’s performance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_Toc463613737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38</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OPC’s financial performance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_Toc463613738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40</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Chapter 3—Management and accountability</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_Toc463613739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42</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Corporate governance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_Toc463613740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42</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Risk management and fraud control</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_Toc463613741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44</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lastRenderedPageBreak/>
        <w:t>Operational risks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_Toc463613742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44</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Maintenance of ethical standards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_Toc463613743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46</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SES remuneration</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_Toc463613744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47</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External scrutiny</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_Toc463613745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47</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Chapter 4—Management of human resources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_Toc463613746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48</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Survey of OPC staff</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_Toc463613747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48</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Management and development of human resources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_Toc463613748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50</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Workplace diversity</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_Toc463613749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56</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Work health and safety</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_Toc463613750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59</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Chapter 5—Purchasing and consultants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_Toc463613751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62</w:t>
      </w:r>
      <w:r w:rsidRPr="00EE72EF">
        <w:rPr>
          <w:rFonts w:ascii="Times New Roman" w:hAnsi="Times New Roman" w:cs="Times New Roman"/>
          <w:b w:val="0"/>
          <w:sz w:val="20"/>
        </w:rPr>
        <w:fldChar w:fldCharType="end"/>
      </w:r>
    </w:p>
    <w:p w:rsidR="00EE72EF" w:rsidRDefault="00EE72EF" w:rsidP="00EE72EF">
      <w:pPr>
        <w:pStyle w:val="TOC3"/>
        <w:ind w:left="425" w:firstLine="0"/>
        <w:rPr>
          <w:rFonts w:asciiTheme="minorHAnsi" w:eastAsiaTheme="minorEastAsia" w:hAnsiTheme="minorHAnsi" w:cstheme="minorBidi"/>
          <w:b w:val="0"/>
          <w:kern w:val="0"/>
          <w:sz w:val="22"/>
          <w:szCs w:val="22"/>
        </w:rPr>
      </w:pPr>
      <w:r>
        <w:t>Purchasing</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_Toc463613752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62</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Procurement initiatives to support small business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_Toc463613753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62</w:t>
      </w:r>
      <w:r w:rsidRPr="00EE72EF">
        <w:rPr>
          <w:rFonts w:ascii="Times New Roman" w:hAnsi="Times New Roman" w:cs="Times New Roman"/>
          <w:b w:val="0"/>
          <w:sz w:val="20"/>
        </w:rPr>
        <w:fldChar w:fldCharType="end"/>
      </w:r>
    </w:p>
    <w:p w:rsidR="00EE72EF" w:rsidRDefault="00EE72EF" w:rsidP="00EE72EF">
      <w:pPr>
        <w:pStyle w:val="TOC3"/>
        <w:ind w:left="425" w:firstLine="0"/>
        <w:rPr>
          <w:rFonts w:asciiTheme="minorHAnsi" w:eastAsiaTheme="minorEastAsia" w:hAnsiTheme="minorHAnsi" w:cstheme="minorBidi"/>
          <w:b w:val="0"/>
          <w:kern w:val="0"/>
          <w:sz w:val="22"/>
          <w:szCs w:val="22"/>
        </w:rPr>
      </w:pPr>
      <w:r>
        <w:t>Consultants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_Toc463613754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62</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Chapter 6—Miscellaneous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_Toc463613755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64</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Freedom of information</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_Toc463613756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64</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Advertising and market research etc.</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_Toc463613757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64</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Ecologically sustainable development and environmental performance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_Toc463613758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64</w:t>
      </w:r>
      <w:r w:rsidRPr="00EE72EF">
        <w:rPr>
          <w:rFonts w:ascii="Times New Roman" w:hAnsi="Times New Roman" w:cs="Times New Roman"/>
          <w:b w:val="0"/>
          <w:sz w:val="20"/>
        </w:rPr>
        <w:fldChar w:fldCharType="end"/>
      </w:r>
    </w:p>
    <w:p w:rsidR="00EE72EF" w:rsidRDefault="00EE72EF">
      <w:pPr>
        <w:pStyle w:val="TOC3"/>
        <w:rPr>
          <w:rFonts w:asciiTheme="minorHAnsi" w:eastAsiaTheme="minorEastAsia" w:hAnsiTheme="minorHAnsi" w:cstheme="minorBidi"/>
          <w:b w:val="0"/>
          <w:kern w:val="0"/>
          <w:sz w:val="22"/>
          <w:szCs w:val="22"/>
        </w:rPr>
      </w:pPr>
      <w:r>
        <w:t>Additional information</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_Toc463613759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64</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Appendix A—Entity resource statement and Expenses by outcome</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_Toc463613760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65</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Appendix B—Staffing statistics and salary ranges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_Toc463613761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67</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 xml:space="preserve">Appendix C—Reporting required by section 516A of the </w:t>
      </w:r>
      <w:r w:rsidRPr="00D74481">
        <w:rPr>
          <w:i/>
        </w:rPr>
        <w:t>Environment Protection and Biodiversity Conservation Act 1999</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_Toc463613762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70</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Appendix D—Financial Statements 2015-2016</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_Toc463613763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73</w:t>
      </w:r>
      <w:r w:rsidRPr="00EE72EF">
        <w:rPr>
          <w:rFonts w:ascii="Times New Roman" w:hAnsi="Times New Roman" w:cs="Times New Roman"/>
          <w:b w:val="0"/>
          <w:sz w:val="20"/>
        </w:rPr>
        <w:fldChar w:fldCharType="end"/>
      </w:r>
    </w:p>
    <w:p w:rsidR="00EE72EF" w:rsidRDefault="00EE72EF">
      <w:pPr>
        <w:pStyle w:val="TOC2"/>
        <w:rPr>
          <w:rFonts w:asciiTheme="minorHAnsi" w:eastAsiaTheme="minorEastAsia" w:hAnsiTheme="minorHAnsi" w:cstheme="minorBidi"/>
          <w:b w:val="0"/>
          <w:iCs w:val="0"/>
          <w:kern w:val="0"/>
          <w:sz w:val="22"/>
          <w:szCs w:val="22"/>
        </w:rPr>
      </w:pPr>
      <w:r>
        <w:t>Appendix E—List of requirements</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_Toc463613764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105</w:t>
      </w:r>
      <w:r w:rsidRPr="00EE72EF">
        <w:rPr>
          <w:rFonts w:ascii="Times New Roman" w:hAnsi="Times New Roman" w:cs="Times New Roman"/>
          <w:b w:val="0"/>
          <w:sz w:val="20"/>
        </w:rPr>
        <w:fldChar w:fldCharType="end"/>
      </w:r>
    </w:p>
    <w:p w:rsidR="00EE72EF" w:rsidRDefault="00EE72EF" w:rsidP="00EE72EF">
      <w:pPr>
        <w:pStyle w:val="TOC2"/>
        <w:ind w:left="0" w:firstLine="0"/>
        <w:rPr>
          <w:rFonts w:asciiTheme="minorHAnsi" w:eastAsiaTheme="minorEastAsia" w:hAnsiTheme="minorHAnsi" w:cstheme="minorBidi"/>
          <w:b w:val="0"/>
          <w:iCs w:val="0"/>
          <w:kern w:val="0"/>
          <w:sz w:val="22"/>
          <w:szCs w:val="22"/>
        </w:rPr>
      </w:pPr>
      <w:r>
        <w:t>Glossary</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_Toc463613765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112</w:t>
      </w:r>
      <w:r w:rsidRPr="00EE72EF">
        <w:rPr>
          <w:rFonts w:ascii="Times New Roman" w:hAnsi="Times New Roman" w:cs="Times New Roman"/>
          <w:b w:val="0"/>
          <w:sz w:val="20"/>
        </w:rPr>
        <w:fldChar w:fldCharType="end"/>
      </w:r>
    </w:p>
    <w:p w:rsidR="00EE72EF" w:rsidRPr="00EE72EF" w:rsidRDefault="00EE72EF" w:rsidP="00EE72EF">
      <w:pPr>
        <w:pStyle w:val="TOC2"/>
        <w:ind w:left="0" w:firstLine="0"/>
        <w:rPr>
          <w:rFonts w:ascii="Times New Roman" w:eastAsiaTheme="minorEastAsia" w:hAnsi="Times New Roman" w:cs="Times New Roman"/>
          <w:b w:val="0"/>
          <w:iCs w:val="0"/>
          <w:kern w:val="0"/>
          <w:sz w:val="20"/>
          <w:szCs w:val="22"/>
        </w:rPr>
      </w:pPr>
      <w:r>
        <w:t>Index</w:t>
      </w:r>
      <w:r w:rsidRPr="00EE72EF">
        <w:rPr>
          <w:rFonts w:ascii="Times New Roman" w:hAnsi="Times New Roman" w:cs="Times New Roman"/>
          <w:b w:val="0"/>
          <w:sz w:val="20"/>
        </w:rPr>
        <w:tab/>
      </w:r>
      <w:r w:rsidRPr="00EE72EF">
        <w:rPr>
          <w:rFonts w:ascii="Times New Roman" w:hAnsi="Times New Roman" w:cs="Times New Roman"/>
          <w:b w:val="0"/>
          <w:sz w:val="20"/>
        </w:rPr>
        <w:fldChar w:fldCharType="begin"/>
      </w:r>
      <w:r w:rsidRPr="00EE72EF">
        <w:rPr>
          <w:rFonts w:ascii="Times New Roman" w:hAnsi="Times New Roman" w:cs="Times New Roman"/>
          <w:b w:val="0"/>
          <w:sz w:val="20"/>
        </w:rPr>
        <w:instrText xml:space="preserve"> PAGEREF _Toc463613766 \h </w:instrText>
      </w:r>
      <w:r w:rsidRPr="00EE72EF">
        <w:rPr>
          <w:rFonts w:ascii="Times New Roman" w:hAnsi="Times New Roman" w:cs="Times New Roman"/>
          <w:b w:val="0"/>
          <w:sz w:val="20"/>
        </w:rPr>
      </w:r>
      <w:r w:rsidRPr="00EE72EF">
        <w:rPr>
          <w:rFonts w:ascii="Times New Roman" w:hAnsi="Times New Roman" w:cs="Times New Roman"/>
          <w:b w:val="0"/>
          <w:sz w:val="20"/>
        </w:rPr>
        <w:fldChar w:fldCharType="separate"/>
      </w:r>
      <w:r w:rsidR="006C41B7">
        <w:rPr>
          <w:rFonts w:ascii="Times New Roman" w:hAnsi="Times New Roman" w:cs="Times New Roman"/>
          <w:b w:val="0"/>
          <w:sz w:val="20"/>
        </w:rPr>
        <w:t>114</w:t>
      </w:r>
      <w:r w:rsidRPr="00EE72EF">
        <w:rPr>
          <w:rFonts w:ascii="Times New Roman" w:hAnsi="Times New Roman" w:cs="Times New Roman"/>
          <w:b w:val="0"/>
          <w:sz w:val="20"/>
        </w:rPr>
        <w:fldChar w:fldCharType="end"/>
      </w:r>
    </w:p>
    <w:p w:rsidR="00CB554F" w:rsidRDefault="00D93245" w:rsidP="00EE72EF">
      <w:r w:rsidRPr="00EE72EF">
        <w:rPr>
          <w:sz w:val="20"/>
        </w:rPr>
        <w:fldChar w:fldCharType="end"/>
      </w:r>
    </w:p>
    <w:p w:rsidR="00D93245" w:rsidRPr="00322375" w:rsidRDefault="00D93245" w:rsidP="00FE6514">
      <w:pPr>
        <w:sectPr w:rsidR="00D93245" w:rsidRPr="00322375">
          <w:headerReference w:type="even" r:id="rId17"/>
          <w:headerReference w:type="default" r:id="rId18"/>
          <w:footerReference w:type="even" r:id="rId19"/>
          <w:footerReference w:type="default" r:id="rId20"/>
          <w:pgSz w:w="11907" w:h="16839" w:code="9"/>
          <w:pgMar w:top="1134" w:right="2410" w:bottom="4253" w:left="2410" w:header="510" w:footer="3402" w:gutter="0"/>
          <w:pgNumType w:fmt="lowerRoman" w:start="1"/>
          <w:cols w:space="709"/>
          <w:docGrid w:linePitch="326"/>
        </w:sectPr>
      </w:pPr>
    </w:p>
    <w:p w:rsidR="00CB554F" w:rsidRDefault="00CB554F">
      <w:pPr>
        <w:pStyle w:val="Head2"/>
        <w:sectPr w:rsidR="00CB554F">
          <w:headerReference w:type="even" r:id="rId21"/>
          <w:headerReference w:type="default" r:id="rId22"/>
          <w:footerReference w:type="even" r:id="rId23"/>
          <w:footerReference w:type="default" r:id="rId24"/>
          <w:type w:val="oddPage"/>
          <w:pgSz w:w="11907" w:h="16839" w:code="9"/>
          <w:pgMar w:top="1134" w:right="2410" w:bottom="4253" w:left="2410" w:header="510" w:footer="3402" w:gutter="0"/>
          <w:pgNumType w:start="1"/>
          <w:cols w:space="709"/>
          <w:docGrid w:linePitch="326"/>
        </w:sectPr>
      </w:pPr>
      <w:bookmarkStart w:id="1" w:name="_Toc463613708"/>
      <w:r>
        <w:lastRenderedPageBreak/>
        <w:t>First Parliamentary Counsel</w:t>
      </w:r>
      <w:r w:rsidR="003C39D9">
        <w:t>’</w:t>
      </w:r>
      <w:r>
        <w:t xml:space="preserve">s </w:t>
      </w:r>
      <w:r w:rsidR="00557DF0">
        <w:t>R</w:t>
      </w:r>
      <w:r>
        <w:t>eview</w:t>
      </w:r>
      <w:bookmarkEnd w:id="1"/>
    </w:p>
    <w:p w:rsidR="00CB554F" w:rsidRDefault="00CE15C5">
      <w:r>
        <w:rPr>
          <w:noProof/>
        </w:rPr>
        <w:lastRenderedPageBreak/>
        <w:drawing>
          <wp:inline distT="0" distB="0" distL="0" distR="0" wp14:anchorId="356A060B" wp14:editId="3F7692C9">
            <wp:extent cx="1990344" cy="2983992"/>
            <wp:effectExtent l="0" t="0" r="0" b="6985"/>
            <wp:docPr id="2" name="Picture 2" descr="Photo of F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 - resis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0344" cy="2983992"/>
                    </a:xfrm>
                    <a:prstGeom prst="rect">
                      <a:avLst/>
                    </a:prstGeom>
                  </pic:spPr>
                </pic:pic>
              </a:graphicData>
            </a:graphic>
          </wp:inline>
        </w:drawing>
      </w:r>
    </w:p>
    <w:p w:rsidR="00DF7C4F" w:rsidRPr="00EF7F1C" w:rsidRDefault="00DF7C4F" w:rsidP="00DF7C4F">
      <w:pPr>
        <w:pStyle w:val="BodyNum"/>
      </w:pPr>
      <w:bookmarkStart w:id="2" w:name="_Ref144888830"/>
      <w:r w:rsidRPr="002A315C">
        <w:t xml:space="preserve">The year has been </w:t>
      </w:r>
      <w:r>
        <w:t xml:space="preserve">one of both change and consolidation </w:t>
      </w:r>
      <w:r w:rsidRPr="002A315C">
        <w:t xml:space="preserve">for the Office of </w:t>
      </w:r>
      <w:r w:rsidRPr="00EF7F1C">
        <w:t>Parliamentary Counsel (</w:t>
      </w:r>
      <w:r w:rsidRPr="00EF7F1C">
        <w:rPr>
          <w:b/>
          <w:i/>
        </w:rPr>
        <w:t>OPC</w:t>
      </w:r>
      <w:r w:rsidRPr="00EF7F1C">
        <w:t>).</w:t>
      </w:r>
    </w:p>
    <w:p w:rsidR="00CC37CC" w:rsidRDefault="00CC37CC" w:rsidP="00DF7C4F">
      <w:pPr>
        <w:pStyle w:val="Head3"/>
      </w:pPr>
      <w:bookmarkStart w:id="3" w:name="_Toc463613709"/>
      <w:bookmarkEnd w:id="2"/>
      <w:r>
        <w:t>Move to new building</w:t>
      </w:r>
      <w:bookmarkEnd w:id="3"/>
    </w:p>
    <w:p w:rsidR="00CC37CC" w:rsidRDefault="00CC37CC" w:rsidP="00CC37CC">
      <w:pPr>
        <w:pStyle w:val="BodyNum"/>
      </w:pPr>
      <w:r>
        <w:t xml:space="preserve">In August OPC moved into our new premises in Sydney Avenue, Forrest. </w:t>
      </w:r>
    </w:p>
    <w:p w:rsidR="00CC37CC" w:rsidRDefault="00CC37CC" w:rsidP="00CC37CC">
      <w:pPr>
        <w:pStyle w:val="BodyNum"/>
      </w:pPr>
      <w:r>
        <w:t>This was an important occasion as it was the first time in a number of decades that all of OPC’s office space was located on one floor of one building.</w:t>
      </w:r>
    </w:p>
    <w:p w:rsidR="00CC37CC" w:rsidRDefault="00CC37CC" w:rsidP="00CC37CC">
      <w:pPr>
        <w:pStyle w:val="BodyNum"/>
      </w:pPr>
      <w:r>
        <w:t xml:space="preserve">In particular, it brought together staff who had been split </w:t>
      </w:r>
      <w:r>
        <w:lastRenderedPageBreak/>
        <w:t>across 2 buildings a few kilometres apart.</w:t>
      </w:r>
    </w:p>
    <w:p w:rsidR="00CC37CC" w:rsidRDefault="003534D7" w:rsidP="00CC37CC">
      <w:pPr>
        <w:pStyle w:val="BodyNum"/>
      </w:pPr>
      <w:r>
        <w:t>The fitting-</w:t>
      </w:r>
      <w:r w:rsidR="00CC37CC">
        <w:t>out of the building and the move went very smoothly and is a credit to all involved.</w:t>
      </w:r>
    </w:p>
    <w:p w:rsidR="00CC37CC" w:rsidRPr="00CC37CC" w:rsidRDefault="00CC37CC" w:rsidP="00CC37CC">
      <w:pPr>
        <w:pStyle w:val="BodyNum"/>
      </w:pPr>
      <w:r>
        <w:t xml:space="preserve">The new premises </w:t>
      </w:r>
      <w:r w:rsidR="004B2C06">
        <w:t>is</w:t>
      </w:r>
      <w:r>
        <w:t xml:space="preserve"> extremely well suited to OPC.</w:t>
      </w:r>
    </w:p>
    <w:p w:rsidR="00CC37CC" w:rsidRDefault="00CC37CC" w:rsidP="00DF7C4F">
      <w:pPr>
        <w:pStyle w:val="Head3"/>
      </w:pPr>
      <w:bookmarkStart w:id="4" w:name="_Toc463613710"/>
      <w:r>
        <w:t>Change to Legislation Act 2003</w:t>
      </w:r>
      <w:bookmarkEnd w:id="4"/>
    </w:p>
    <w:p w:rsidR="00CC37CC" w:rsidRDefault="00CC37CC" w:rsidP="00CC37CC">
      <w:pPr>
        <w:pStyle w:val="BodyNum"/>
      </w:pPr>
      <w:r>
        <w:t xml:space="preserve">The </w:t>
      </w:r>
      <w:r w:rsidRPr="00CC37CC">
        <w:rPr>
          <w:i/>
        </w:rPr>
        <w:t>Acts and Instruments (Framework Reform) Act 2015</w:t>
      </w:r>
      <w:r>
        <w:t xml:space="preserve"> commenced on 5 March 2016.</w:t>
      </w:r>
    </w:p>
    <w:p w:rsidR="00CC37CC" w:rsidRDefault="00CC37CC" w:rsidP="00CC37CC">
      <w:pPr>
        <w:pStyle w:val="BodyNum"/>
      </w:pPr>
      <w:r>
        <w:t>This Act made a range of changes that are important to OPC.</w:t>
      </w:r>
    </w:p>
    <w:p w:rsidR="00CC37CC" w:rsidRDefault="00CC37CC" w:rsidP="00CC37CC">
      <w:pPr>
        <w:pStyle w:val="BodyNum"/>
      </w:pPr>
      <w:r>
        <w:t xml:space="preserve">A major change was to alter the name and scope of the </w:t>
      </w:r>
      <w:r w:rsidRPr="00CC37CC">
        <w:rPr>
          <w:i/>
        </w:rPr>
        <w:t>Legislative Instruments Act 2003</w:t>
      </w:r>
      <w:r>
        <w:t xml:space="preserve">. This Act is now the </w:t>
      </w:r>
      <w:r w:rsidRPr="00CC37CC">
        <w:rPr>
          <w:i/>
        </w:rPr>
        <w:t>Legislation Act 2003</w:t>
      </w:r>
      <w:r w:rsidR="003534D7">
        <w:t xml:space="preserve"> (</w:t>
      </w:r>
      <w:r w:rsidR="003534D7" w:rsidRPr="003534D7">
        <w:rPr>
          <w:b/>
          <w:i/>
        </w:rPr>
        <w:t>the Legislation Act</w:t>
      </w:r>
      <w:r w:rsidR="003534D7">
        <w:t>).</w:t>
      </w:r>
    </w:p>
    <w:p w:rsidR="00CC37CC" w:rsidRDefault="00FB1A63" w:rsidP="00CC37CC">
      <w:pPr>
        <w:pStyle w:val="BodyNum"/>
      </w:pPr>
      <w:r>
        <w:t>One</w:t>
      </w:r>
      <w:r w:rsidR="00CC37CC">
        <w:t xml:space="preserve"> result of these changes</w:t>
      </w:r>
      <w:r>
        <w:t xml:space="preserve"> is that</w:t>
      </w:r>
      <w:r w:rsidR="00CC37CC">
        <w:t xml:space="preserve"> ComLaw has now become the Federal Register of Legislation</w:t>
      </w:r>
      <w:r w:rsidR="003534D7">
        <w:t xml:space="preserve"> (</w:t>
      </w:r>
      <w:r w:rsidR="003534D7" w:rsidRPr="003534D7">
        <w:rPr>
          <w:b/>
          <w:i/>
        </w:rPr>
        <w:t>the Legislation Register</w:t>
      </w:r>
      <w:r w:rsidR="003534D7">
        <w:t>)</w:t>
      </w:r>
      <w:r w:rsidR="00CC37CC">
        <w:t>.</w:t>
      </w:r>
    </w:p>
    <w:p w:rsidR="00CC37CC" w:rsidRPr="00CC37CC" w:rsidRDefault="00CC37CC" w:rsidP="00CC37CC">
      <w:pPr>
        <w:pStyle w:val="BodyNum"/>
      </w:pPr>
      <w:r>
        <w:t>In addition, I (as First Parliamentary Counsel) have been given limited editorial powers to correct legislation.</w:t>
      </w:r>
    </w:p>
    <w:p w:rsidR="00EF7F1C" w:rsidRPr="00EF7F1C" w:rsidRDefault="00EF7F1C" w:rsidP="00EF7F1C">
      <w:pPr>
        <w:pStyle w:val="Head3"/>
      </w:pPr>
      <w:bookmarkStart w:id="5" w:name="_Toc463613711"/>
      <w:r w:rsidRPr="00EF7F1C">
        <w:lastRenderedPageBreak/>
        <w:t>Bills</w:t>
      </w:r>
      <w:bookmarkEnd w:id="5"/>
    </w:p>
    <w:p w:rsidR="00DF7C4F" w:rsidRPr="00EF7F1C" w:rsidRDefault="00DF7C4F" w:rsidP="00DF7C4F">
      <w:pPr>
        <w:pStyle w:val="BodyNum"/>
      </w:pPr>
      <w:r w:rsidRPr="00EF7F1C">
        <w:t xml:space="preserve">Over the year </w:t>
      </w:r>
      <w:r w:rsidR="000C3160">
        <w:t>1</w:t>
      </w:r>
      <w:r w:rsidR="005167ED">
        <w:t>43</w:t>
      </w:r>
      <w:r w:rsidRPr="00EF7F1C">
        <w:t xml:space="preserve"> Bills, totalling </w:t>
      </w:r>
      <w:r w:rsidR="005167ED">
        <w:t>5,213</w:t>
      </w:r>
      <w:r w:rsidRPr="00EF7F1C">
        <w:t xml:space="preserve"> pages, were introduced. These figures </w:t>
      </w:r>
      <w:r w:rsidR="005167ED">
        <w:t>are less than some previous years due to there being a very short Winter sittings due to the election.</w:t>
      </w:r>
    </w:p>
    <w:p w:rsidR="00E344F8" w:rsidRDefault="00DF7C4F" w:rsidP="00E344F8">
      <w:pPr>
        <w:pStyle w:val="BodyNum"/>
      </w:pPr>
      <w:r w:rsidRPr="00EF7F1C">
        <w:t xml:space="preserve">Major legislation </w:t>
      </w:r>
      <w:r w:rsidR="00E344F8">
        <w:t xml:space="preserve">that </w:t>
      </w:r>
      <w:r w:rsidRPr="00EF7F1C">
        <w:t>was introduced</w:t>
      </w:r>
      <w:r w:rsidR="00E344F8">
        <w:t xml:space="preserve"> included: </w:t>
      </w:r>
    </w:p>
    <w:p w:rsidR="00E344F8" w:rsidRDefault="00844178" w:rsidP="00E344F8">
      <w:pPr>
        <w:pStyle w:val="AnnualReportBullet"/>
        <w:numPr>
          <w:ilvl w:val="0"/>
          <w:numId w:val="30"/>
        </w:numPr>
      </w:pPr>
      <w:r>
        <w:t>amendments to the electoral laws</w:t>
      </w:r>
      <w:r w:rsidR="00E344F8">
        <w:t>;</w:t>
      </w:r>
    </w:p>
    <w:p w:rsidR="00844178" w:rsidRDefault="00E43C1F" w:rsidP="00E43C1F">
      <w:pPr>
        <w:pStyle w:val="AnnualReportBullet"/>
        <w:numPr>
          <w:ilvl w:val="0"/>
          <w:numId w:val="30"/>
        </w:numPr>
      </w:pPr>
      <w:r>
        <w:t xml:space="preserve">laws </w:t>
      </w:r>
      <w:r w:rsidRPr="00E43C1F">
        <w:t>regulating the cultivation of cannabis plants for medicinal purposes</w:t>
      </w:r>
      <w:r>
        <w:t>;</w:t>
      </w:r>
    </w:p>
    <w:p w:rsidR="00E43C1F" w:rsidRDefault="003534D7" w:rsidP="00E43C1F">
      <w:pPr>
        <w:pStyle w:val="AnnualReportBullet"/>
        <w:numPr>
          <w:ilvl w:val="0"/>
          <w:numId w:val="30"/>
        </w:numPr>
      </w:pPr>
      <w:r>
        <w:t>laws dealing with counter-t</w:t>
      </w:r>
      <w:r w:rsidR="00991570">
        <w:t>errorism;</w:t>
      </w:r>
    </w:p>
    <w:p w:rsidR="00991570" w:rsidRDefault="003534D7" w:rsidP="00E43C1F">
      <w:pPr>
        <w:pStyle w:val="AnnualReportBullet"/>
        <w:numPr>
          <w:ilvl w:val="0"/>
          <w:numId w:val="30"/>
        </w:numPr>
      </w:pPr>
      <w:r>
        <w:t>laws dealing with c</w:t>
      </w:r>
      <w:r w:rsidR="00991570">
        <w:t>ourts;</w:t>
      </w:r>
    </w:p>
    <w:p w:rsidR="004D7A61" w:rsidRDefault="004D7A61" w:rsidP="00E43C1F">
      <w:pPr>
        <w:pStyle w:val="AnnualReportBullet"/>
        <w:numPr>
          <w:ilvl w:val="0"/>
          <w:numId w:val="30"/>
        </w:numPr>
      </w:pPr>
      <w:r>
        <w:t xml:space="preserve">major reform of the </w:t>
      </w:r>
      <w:r w:rsidRPr="00FB1A63">
        <w:rPr>
          <w:i/>
        </w:rPr>
        <w:t>Defence Act</w:t>
      </w:r>
      <w:r w:rsidR="00FB1A63" w:rsidRPr="00FB1A63">
        <w:rPr>
          <w:i/>
        </w:rPr>
        <w:t xml:space="preserve"> 1903</w:t>
      </w:r>
      <w:r>
        <w:t>;</w:t>
      </w:r>
    </w:p>
    <w:p w:rsidR="004D7A61" w:rsidRDefault="004D7A61" w:rsidP="004D7A61">
      <w:pPr>
        <w:pStyle w:val="AnnualReportBullet"/>
        <w:numPr>
          <w:ilvl w:val="0"/>
          <w:numId w:val="30"/>
        </w:numPr>
      </w:pPr>
      <w:r>
        <w:t xml:space="preserve">legislation for </w:t>
      </w:r>
      <w:r w:rsidRPr="004D7A61">
        <w:t>financial assistance for the construction of infrastructure in Northern Australia</w:t>
      </w:r>
      <w:r w:rsidR="008C1733">
        <w:t>;</w:t>
      </w:r>
      <w:r w:rsidR="00B8704B">
        <w:t xml:space="preserve"> and</w:t>
      </w:r>
    </w:p>
    <w:p w:rsidR="008C1733" w:rsidRDefault="008C1733" w:rsidP="004D7A61">
      <w:pPr>
        <w:pStyle w:val="AnnualReportBullet"/>
        <w:numPr>
          <w:ilvl w:val="0"/>
          <w:numId w:val="30"/>
        </w:numPr>
      </w:pPr>
      <w:r>
        <w:t>laws on the taxation of</w:t>
      </w:r>
      <w:r w:rsidR="00B8704B">
        <w:t xml:space="preserve"> managed investment trusts</w:t>
      </w:r>
      <w:r w:rsidR="00683B9D">
        <w:t>.</w:t>
      </w:r>
    </w:p>
    <w:p w:rsidR="00EF7F1C" w:rsidRPr="00EF7F1C" w:rsidRDefault="00DF7C4F" w:rsidP="00EF7F1C">
      <w:pPr>
        <w:pStyle w:val="BodyNum"/>
      </w:pPr>
      <w:r w:rsidRPr="00EF7F1C">
        <w:t>Taxation and superannuation legislation continues to b</w:t>
      </w:r>
      <w:r>
        <w:t>e an area of substantial demand</w:t>
      </w:r>
      <w:r w:rsidR="00EF7F1C" w:rsidRPr="00EF7F1C">
        <w:t>.</w:t>
      </w:r>
    </w:p>
    <w:p w:rsidR="0066572D" w:rsidRDefault="0066572D" w:rsidP="0066572D">
      <w:pPr>
        <w:pStyle w:val="Head3"/>
      </w:pPr>
      <w:bookmarkStart w:id="6" w:name="_Toc463613712"/>
      <w:r>
        <w:lastRenderedPageBreak/>
        <w:t>Repeal Day</w:t>
      </w:r>
      <w:bookmarkEnd w:id="6"/>
    </w:p>
    <w:p w:rsidR="0066572D" w:rsidRDefault="0066572D" w:rsidP="0066572D">
      <w:pPr>
        <w:pStyle w:val="BodyNum"/>
      </w:pPr>
      <w:r>
        <w:t>OPC had a substantial involvement in the 2015 Spring Repeal Day.</w:t>
      </w:r>
    </w:p>
    <w:p w:rsidR="0066572D" w:rsidRDefault="0066572D" w:rsidP="0066572D">
      <w:pPr>
        <w:pStyle w:val="BodyNum"/>
      </w:pPr>
      <w:r>
        <w:t xml:space="preserve">A Statute Law Revision Bill and a Spent and Redundant Repeal Regulation was prepared for </w:t>
      </w:r>
      <w:r w:rsidR="00FB1A63">
        <w:t>the</w:t>
      </w:r>
      <w:r>
        <w:t xml:space="preserve"> Repeal Day as part of OPC’s ongoing commitment to maintaining the statute book and removing legislation that no longer has any operation.</w:t>
      </w:r>
    </w:p>
    <w:p w:rsidR="0066572D" w:rsidRDefault="0066572D" w:rsidP="0066572D">
      <w:pPr>
        <w:pStyle w:val="BodyNum"/>
      </w:pPr>
      <w:r>
        <w:t xml:space="preserve">The </w:t>
      </w:r>
      <w:r w:rsidRPr="0066572D">
        <w:rPr>
          <w:i/>
        </w:rPr>
        <w:t xml:space="preserve">Amending Acts 1990 to 1999 Repeal Act 2016 </w:t>
      </w:r>
      <w:r>
        <w:t>repealed 877 spent Acts. This Act was introduced in the 2015 Spring sittings and assented to on 11 February 2016.</w:t>
      </w:r>
    </w:p>
    <w:p w:rsidR="0066572D" w:rsidRDefault="0066572D" w:rsidP="0066572D">
      <w:pPr>
        <w:pStyle w:val="BodyNum"/>
      </w:pPr>
      <w:r>
        <w:t xml:space="preserve">The repeals of spent Acts remove a large amount of clutter from electronic databases such as </w:t>
      </w:r>
      <w:r w:rsidR="00683B9D">
        <w:t>the Legislation</w:t>
      </w:r>
      <w:r w:rsidR="003534D7">
        <w:t xml:space="preserve"> Register</w:t>
      </w:r>
      <w:r>
        <w:t>.</w:t>
      </w:r>
    </w:p>
    <w:p w:rsidR="0066572D" w:rsidRDefault="0066572D" w:rsidP="0066572D">
      <w:pPr>
        <w:pStyle w:val="BodyNum"/>
      </w:pPr>
      <w:r>
        <w:t>A range of other Bills were also introduced on Repeal Day including an Omnibus Bill containing material from most portfolios.</w:t>
      </w:r>
    </w:p>
    <w:p w:rsidR="0066572D" w:rsidRDefault="0066572D" w:rsidP="0066572D">
      <w:pPr>
        <w:pStyle w:val="BodyNum"/>
      </w:pPr>
      <w:r>
        <w:t>A number of instruments to repeal substantial numbers of redundant instruments were also tabled on Repeal Day.</w:t>
      </w:r>
    </w:p>
    <w:p w:rsidR="00387C01" w:rsidRDefault="00387C01" w:rsidP="00387C01">
      <w:pPr>
        <w:pStyle w:val="Head3"/>
      </w:pPr>
      <w:bookmarkStart w:id="7" w:name="_Toc463613713"/>
      <w:r>
        <w:lastRenderedPageBreak/>
        <w:t>Instruments</w:t>
      </w:r>
      <w:bookmarkEnd w:id="7"/>
    </w:p>
    <w:p w:rsidR="00387C01" w:rsidRDefault="00387C01" w:rsidP="00387C01">
      <w:pPr>
        <w:pStyle w:val="BodyNum"/>
      </w:pPr>
      <w:r w:rsidRPr="0017157F">
        <w:t xml:space="preserve">During the year, some </w:t>
      </w:r>
      <w:r>
        <w:t>302</w:t>
      </w:r>
      <w:r w:rsidRPr="0017157F">
        <w:t xml:space="preserve"> Federal Executive Council (</w:t>
      </w:r>
      <w:r w:rsidRPr="0017157F">
        <w:rPr>
          <w:b/>
          <w:i/>
        </w:rPr>
        <w:t>ExCo</w:t>
      </w:r>
      <w:r w:rsidRPr="0017157F">
        <w:t xml:space="preserve">) </w:t>
      </w:r>
      <w:r>
        <w:t>legislative and notifiable instruments</w:t>
      </w:r>
      <w:r w:rsidRPr="0017157F">
        <w:t xml:space="preserve">, totalling </w:t>
      </w:r>
      <w:r>
        <w:t>3,602</w:t>
      </w:r>
      <w:r w:rsidRPr="0017157F">
        <w:t xml:space="preserve"> pages, drafted by OPC were made and registered on the </w:t>
      </w:r>
      <w:r w:rsidR="000C61BE">
        <w:t>Legislation</w:t>
      </w:r>
      <w:r w:rsidRPr="0017157F">
        <w:t xml:space="preserve"> Register.</w:t>
      </w:r>
    </w:p>
    <w:p w:rsidR="00387C01" w:rsidRPr="00431A8C" w:rsidRDefault="00387C01" w:rsidP="00387C01">
      <w:pPr>
        <w:pStyle w:val="BodyNum"/>
      </w:pPr>
      <w:r w:rsidRPr="0017157F">
        <w:t>OPC also drafted approximately</w:t>
      </w:r>
      <w:r>
        <w:t xml:space="preserve"> 124</w:t>
      </w:r>
      <w:r w:rsidRPr="0017157F">
        <w:t xml:space="preserve"> other legislative instruments, totalling </w:t>
      </w:r>
      <w:r>
        <w:t xml:space="preserve">1,595 pages, </w:t>
      </w:r>
      <w:r w:rsidRPr="0017157F">
        <w:t>for government agency clients.</w:t>
      </w:r>
      <w:r>
        <w:t xml:space="preserve"> Major projects included instruments made </w:t>
      </w:r>
      <w:r w:rsidR="00FB1A63">
        <w:t xml:space="preserve">in preparation </w:t>
      </w:r>
      <w:r>
        <w:t xml:space="preserve">for the commencement of the </w:t>
      </w:r>
      <w:r w:rsidRPr="003B05FC">
        <w:rPr>
          <w:i/>
        </w:rPr>
        <w:t>Biosecurity Act 2015</w:t>
      </w:r>
      <w:r w:rsidRPr="003B05FC">
        <w:t>, i</w:t>
      </w:r>
      <w:r>
        <w:t>nstruments dealing with cost recovery for matters relating to biosecurity and export control, the Parliamentary Injury Compensation Scheme Instrument and the Customs Australian Trusted Trader Programme Rule.</w:t>
      </w:r>
    </w:p>
    <w:p w:rsidR="00387C01" w:rsidRPr="00D6019F" w:rsidRDefault="00387C01" w:rsidP="00387C01">
      <w:pPr>
        <w:pStyle w:val="Head3"/>
      </w:pPr>
      <w:bookmarkStart w:id="8" w:name="_Toc463613714"/>
      <w:r w:rsidRPr="00D6019F">
        <w:t>Sunsetting instruments</w:t>
      </w:r>
      <w:bookmarkEnd w:id="8"/>
    </w:p>
    <w:p w:rsidR="00387C01" w:rsidRPr="00B84374" w:rsidRDefault="00387C01" w:rsidP="00387C01">
      <w:pPr>
        <w:pStyle w:val="BodyNum"/>
      </w:pPr>
      <w:r w:rsidRPr="00B84374">
        <w:t xml:space="preserve">OPC continued to play a key role </w:t>
      </w:r>
      <w:r>
        <w:t>i</w:t>
      </w:r>
      <w:r w:rsidRPr="00B84374">
        <w:t>n the management of the sunsetting of legislative instruments.</w:t>
      </w:r>
    </w:p>
    <w:p w:rsidR="00387C01" w:rsidRPr="00487422" w:rsidRDefault="00387C01" w:rsidP="00387C01">
      <w:pPr>
        <w:pStyle w:val="BodyNum"/>
      </w:pPr>
      <w:r w:rsidRPr="00B84374">
        <w:t xml:space="preserve">OPC worked closely with sunsetting coordinators in all portfolios to encourage early action on instruments due to sunset. Key legislative instruments that were reviewed by portfolios and redrafted </w:t>
      </w:r>
      <w:r w:rsidRPr="00B84374">
        <w:lastRenderedPageBreak/>
        <w:t xml:space="preserve">by OPC before the instruments were due to sunset included the </w:t>
      </w:r>
      <w:r w:rsidRPr="00C11108">
        <w:rPr>
          <w:i/>
        </w:rPr>
        <w:t>Income Tax Assessment (1936 Act) Regulation 2015</w:t>
      </w:r>
      <w:r>
        <w:t xml:space="preserve">, the </w:t>
      </w:r>
      <w:r w:rsidRPr="00C11108">
        <w:rPr>
          <w:i/>
        </w:rPr>
        <w:t>Legislation (Exemptions and Other Matters) Regulation 2015</w:t>
      </w:r>
      <w:r>
        <w:t xml:space="preserve"> and the</w:t>
      </w:r>
      <w:r w:rsidRPr="00C11108">
        <w:rPr>
          <w:i/>
        </w:rPr>
        <w:t xml:space="preserve"> Elec</w:t>
      </w:r>
      <w:r w:rsidR="00A068F6">
        <w:rPr>
          <w:i/>
        </w:rPr>
        <w:t>toral and Referendum Regulation</w:t>
      </w:r>
      <w:r w:rsidRPr="00C11108">
        <w:rPr>
          <w:i/>
        </w:rPr>
        <w:t xml:space="preserve"> </w:t>
      </w:r>
      <w:r>
        <w:rPr>
          <w:i/>
        </w:rPr>
        <w:t>2016.</w:t>
      </w:r>
    </w:p>
    <w:p w:rsidR="00387C01" w:rsidRDefault="00387C01" w:rsidP="00387C01">
      <w:pPr>
        <w:pStyle w:val="BodyNum"/>
      </w:pPr>
      <w:r>
        <w:rPr>
          <w:i/>
        </w:rPr>
        <w:t xml:space="preserve"> </w:t>
      </w:r>
      <w:r>
        <w:t>OPC greatly improved the quality and readability of these instruments through this process.</w:t>
      </w:r>
    </w:p>
    <w:p w:rsidR="00387C01" w:rsidRDefault="00387C01" w:rsidP="00387C01">
      <w:pPr>
        <w:pStyle w:val="BodyNum"/>
      </w:pPr>
      <w:r w:rsidRPr="00D6019F">
        <w:t>OPC will continue to play an important role in repealing spent and redundant legislation and ensuring that the Commonwealth statute book is as coherent, readable and readily accessible as possible.</w:t>
      </w:r>
    </w:p>
    <w:p w:rsidR="00387C01" w:rsidRPr="00B84374" w:rsidRDefault="00387C01" w:rsidP="00387C01">
      <w:pPr>
        <w:pStyle w:val="Head3"/>
      </w:pPr>
      <w:bookmarkStart w:id="9" w:name="_Toc463613715"/>
      <w:r>
        <w:t>Encouraging high drafting standards for legislative instruments</w:t>
      </w:r>
      <w:bookmarkEnd w:id="9"/>
    </w:p>
    <w:p w:rsidR="00387C01" w:rsidRDefault="00387C01" w:rsidP="00387C01">
      <w:pPr>
        <w:pStyle w:val="BodyNum"/>
      </w:pPr>
      <w:r w:rsidRPr="00B84374">
        <w:t xml:space="preserve">In 2012 the obligation to encourage high standards in the drafting of legislative instruments under section 16 of the </w:t>
      </w:r>
      <w:r w:rsidRPr="003534D7">
        <w:t xml:space="preserve">Legislation Act </w:t>
      </w:r>
      <w:bookmarkStart w:id="10" w:name="BK_S5P4L54C14"/>
      <w:bookmarkEnd w:id="10"/>
      <w:r w:rsidRPr="00B84374">
        <w:t>was transferred to me from the Secretary of the Attorney-General’s Department</w:t>
      </w:r>
      <w:r>
        <w:t xml:space="preserve">. </w:t>
      </w:r>
      <w:r w:rsidRPr="00B84374">
        <w:t xml:space="preserve">Since 2012 I have </w:t>
      </w:r>
      <w:r>
        <w:t>taken a number of measures to fulfil my obligations under section 16 of the Legislation Act and enhance the Commonwealth’s overall statute book.</w:t>
      </w:r>
    </w:p>
    <w:p w:rsidR="00387C01" w:rsidRDefault="00387C01" w:rsidP="00387C01">
      <w:pPr>
        <w:pStyle w:val="BodyNum"/>
      </w:pPr>
      <w:r>
        <w:lastRenderedPageBreak/>
        <w:t xml:space="preserve">In 2015-2016 </w:t>
      </w:r>
      <w:r w:rsidRPr="00B84374">
        <w:t>OPC continued to engage</w:t>
      </w:r>
      <w:r w:rsidR="00FB1A63">
        <w:t xml:space="preserve"> actively</w:t>
      </w:r>
      <w:r w:rsidRPr="00B84374">
        <w:t xml:space="preserve"> with rule-making agencies </w:t>
      </w:r>
      <w:r>
        <w:t>to encourage high standards and provided services to assist agencies drafting legislative or notifiable instruments.</w:t>
      </w:r>
      <w:r w:rsidRPr="00B84374">
        <w:t xml:space="preserve"> This work expands on OPC</w:t>
      </w:r>
      <w:r>
        <w:t>’</w:t>
      </w:r>
      <w:r w:rsidRPr="00B84374">
        <w:t xml:space="preserve">s </w:t>
      </w:r>
      <w:r>
        <w:t>activities</w:t>
      </w:r>
      <w:r w:rsidRPr="00B84374">
        <w:t xml:space="preserve"> under </w:t>
      </w:r>
      <w:r w:rsidR="00683B9D">
        <w:t>the p</w:t>
      </w:r>
      <w:r>
        <w:t>rogram</w:t>
      </w:r>
      <w:r w:rsidRPr="00B84374">
        <w:t xml:space="preserve"> component standardisation and quality control of legislation.</w:t>
      </w:r>
    </w:p>
    <w:p w:rsidR="00387C01" w:rsidRPr="00D6019F" w:rsidRDefault="00387C01" w:rsidP="00387C01">
      <w:pPr>
        <w:pStyle w:val="BodyNum"/>
      </w:pPr>
      <w:r>
        <w:t>More information on these activities is set out in later sections of this Annual Report.</w:t>
      </w:r>
    </w:p>
    <w:p w:rsidR="00D6019F" w:rsidRDefault="00D6019F" w:rsidP="00D6019F">
      <w:pPr>
        <w:pStyle w:val="Head3"/>
      </w:pPr>
      <w:bookmarkStart w:id="11" w:name="_Toc463613716"/>
      <w:r>
        <w:t>Drafting resources</w:t>
      </w:r>
      <w:bookmarkEnd w:id="11"/>
    </w:p>
    <w:p w:rsidR="0044239B" w:rsidRDefault="0044239B" w:rsidP="00D6019F">
      <w:pPr>
        <w:pStyle w:val="BodyNum"/>
      </w:pPr>
      <w:r>
        <w:t xml:space="preserve">OPC continued to have a </w:t>
      </w:r>
      <w:r w:rsidR="00215B59">
        <w:t xml:space="preserve">slight </w:t>
      </w:r>
      <w:r>
        <w:t>reduction in drafting staff</w:t>
      </w:r>
      <w:r w:rsidR="003534D7">
        <w:t>,</w:t>
      </w:r>
      <w:r w:rsidR="00683B9D">
        <w:t xml:space="preserve"> however we have started</w:t>
      </w:r>
      <w:r w:rsidR="00215B59">
        <w:t xml:space="preserve"> recruiting new drafters to ensure that we will have sufficient capacity in the future</w:t>
      </w:r>
      <w:r>
        <w:t>.</w:t>
      </w:r>
    </w:p>
    <w:p w:rsidR="00D6019F" w:rsidRPr="00D6019F" w:rsidRDefault="00215B59" w:rsidP="00D6019F">
      <w:pPr>
        <w:pStyle w:val="BodyNum"/>
      </w:pPr>
      <w:r>
        <w:t xml:space="preserve">During the year </w:t>
      </w:r>
      <w:r w:rsidR="003534D7">
        <w:t>2</w:t>
      </w:r>
      <w:r>
        <w:t xml:space="preserve"> new drafters started with OPC. We also started a process to hire </w:t>
      </w:r>
      <w:r w:rsidR="003534D7">
        <w:t>2</w:t>
      </w:r>
      <w:r>
        <w:t xml:space="preserve"> more drafters.</w:t>
      </w:r>
    </w:p>
    <w:p w:rsidR="000F5520" w:rsidRDefault="000F5520">
      <w:pPr>
        <w:pStyle w:val="Head3"/>
      </w:pPr>
      <w:bookmarkStart w:id="12" w:name="_Toc463613717"/>
      <w:r>
        <w:t>Publications</w:t>
      </w:r>
      <w:bookmarkEnd w:id="12"/>
    </w:p>
    <w:p w:rsidR="00A76439" w:rsidRDefault="00A76439" w:rsidP="00A76439">
      <w:pPr>
        <w:pStyle w:val="BodyNum"/>
      </w:pPr>
      <w:r>
        <w:t>The Publications group functions include:</w:t>
      </w:r>
    </w:p>
    <w:p w:rsidR="00A76439" w:rsidRDefault="00A76439" w:rsidP="00A76439">
      <w:pPr>
        <w:pStyle w:val="AnnualReportBullet"/>
        <w:numPr>
          <w:ilvl w:val="0"/>
          <w:numId w:val="30"/>
        </w:numPr>
      </w:pPr>
      <w:r>
        <w:t xml:space="preserve">managing the </w:t>
      </w:r>
      <w:r w:rsidR="006848C2">
        <w:t>Legislation</w:t>
      </w:r>
      <w:r w:rsidR="003534D7">
        <w:t xml:space="preserve"> Register</w:t>
      </w:r>
      <w:r>
        <w:t>, including registering legislative instruments and lodging them for tabling in the Parliament;</w:t>
      </w:r>
    </w:p>
    <w:p w:rsidR="00A76439" w:rsidRDefault="00A76439" w:rsidP="00A76439">
      <w:pPr>
        <w:pStyle w:val="AnnualReportBullet"/>
        <w:numPr>
          <w:ilvl w:val="0"/>
          <w:numId w:val="30"/>
        </w:numPr>
      </w:pPr>
      <w:r>
        <w:lastRenderedPageBreak/>
        <w:t>preparing compilations and reprints of, and information relating to, Commonwealth laws;</w:t>
      </w:r>
    </w:p>
    <w:p w:rsidR="00A76439" w:rsidRDefault="00A76439" w:rsidP="00A76439">
      <w:pPr>
        <w:pStyle w:val="AnnualReportBullet"/>
        <w:numPr>
          <w:ilvl w:val="0"/>
          <w:numId w:val="30"/>
        </w:numPr>
      </w:pPr>
      <w:r>
        <w:t>publishing Commonwealth legislation and legislative information;</w:t>
      </w:r>
    </w:p>
    <w:p w:rsidR="00A76439" w:rsidRDefault="00A76439" w:rsidP="00A76439">
      <w:pPr>
        <w:pStyle w:val="AnnualReportBullet"/>
        <w:numPr>
          <w:ilvl w:val="0"/>
          <w:numId w:val="30"/>
        </w:numPr>
      </w:pPr>
      <w:r>
        <w:t>preparing and publishing the Government Notices Gazette; and</w:t>
      </w:r>
    </w:p>
    <w:p w:rsidR="00A76439" w:rsidRDefault="00A76439" w:rsidP="00A76439">
      <w:pPr>
        <w:pStyle w:val="AnnualReportBullet"/>
        <w:numPr>
          <w:ilvl w:val="0"/>
          <w:numId w:val="30"/>
        </w:numPr>
      </w:pPr>
      <w:r>
        <w:t xml:space="preserve">developing and operating </w:t>
      </w:r>
      <w:r w:rsidR="00683B9D">
        <w:t>the Legislation</w:t>
      </w:r>
      <w:r w:rsidR="00110EA7">
        <w:t xml:space="preserve"> Register</w:t>
      </w:r>
      <w:r>
        <w:t xml:space="preserve"> website (www.</w:t>
      </w:r>
      <w:r w:rsidR="00683B9D">
        <w:t>legislation</w:t>
      </w:r>
      <w:r>
        <w:t>.gov.au).</w:t>
      </w:r>
    </w:p>
    <w:p w:rsidR="00465B1B" w:rsidRPr="00465B1B" w:rsidRDefault="00683B9D" w:rsidP="00465B1B">
      <w:pPr>
        <w:pStyle w:val="BodyNum"/>
      </w:pPr>
      <w:r>
        <w:t>The main focus for the P</w:t>
      </w:r>
      <w:r w:rsidR="00465B1B" w:rsidRPr="00465B1B">
        <w:t xml:space="preserve">ublications group this year has been implementing the changes as required by amendments to the </w:t>
      </w:r>
      <w:r w:rsidR="00465B1B" w:rsidRPr="00110EA7">
        <w:t>Legislation Act</w:t>
      </w:r>
      <w:r w:rsidR="003534D7">
        <w:t xml:space="preserve">. </w:t>
      </w:r>
      <w:r w:rsidR="00465B1B" w:rsidRPr="00465B1B">
        <w:t>This included:</w:t>
      </w:r>
    </w:p>
    <w:p w:rsidR="00465B1B" w:rsidRDefault="00465B1B" w:rsidP="00465B1B">
      <w:pPr>
        <w:pStyle w:val="AnnualReportBullet"/>
        <w:numPr>
          <w:ilvl w:val="0"/>
          <w:numId w:val="30"/>
        </w:numPr>
      </w:pPr>
      <w:r>
        <w:t>develop</w:t>
      </w:r>
      <w:r w:rsidR="00110EA7">
        <w:t xml:space="preserve">ing the new </w:t>
      </w:r>
      <w:r>
        <w:t>Legislation</w:t>
      </w:r>
      <w:r w:rsidR="00110EA7">
        <w:t xml:space="preserve"> Register</w:t>
      </w:r>
      <w:r>
        <w:t xml:space="preserve"> to incorporate the content of ComLaw and the Federal </w:t>
      </w:r>
      <w:r w:rsidR="00683B9D">
        <w:t>R</w:t>
      </w:r>
      <w:r>
        <w:t>egister of Legislative Instruments</w:t>
      </w:r>
      <w:r w:rsidR="008A41E2">
        <w:t>;</w:t>
      </w:r>
    </w:p>
    <w:p w:rsidR="00465B1B" w:rsidRDefault="00465B1B" w:rsidP="00465B1B">
      <w:pPr>
        <w:pStyle w:val="AnnualReportBullet"/>
        <w:numPr>
          <w:ilvl w:val="0"/>
          <w:numId w:val="30"/>
        </w:numPr>
      </w:pPr>
      <w:r>
        <w:t xml:space="preserve">developing new functionality on </w:t>
      </w:r>
      <w:r w:rsidR="00683B9D">
        <w:t xml:space="preserve">the </w:t>
      </w:r>
      <w:r w:rsidR="00110EA7">
        <w:t>Legislation Register</w:t>
      </w:r>
      <w:r>
        <w:t xml:space="preserve"> to manage the new instrument type of notifiable instruments as well as requirements for replacement and supplementary explanatory statements</w:t>
      </w:r>
      <w:r w:rsidR="008A41E2">
        <w:t>;</w:t>
      </w:r>
    </w:p>
    <w:p w:rsidR="00465B1B" w:rsidRDefault="00465B1B" w:rsidP="00465B1B">
      <w:pPr>
        <w:pStyle w:val="AnnualReportBullet"/>
        <w:numPr>
          <w:ilvl w:val="0"/>
          <w:numId w:val="30"/>
        </w:numPr>
      </w:pPr>
      <w:r>
        <w:t>developing internal processes to manage and accurately publish information about editorial changes</w:t>
      </w:r>
      <w:r w:rsidR="008A41E2">
        <w:t>; and</w:t>
      </w:r>
    </w:p>
    <w:p w:rsidR="00465B1B" w:rsidRDefault="003534D7" w:rsidP="00465B1B">
      <w:pPr>
        <w:pStyle w:val="AnnualReportBullet"/>
        <w:numPr>
          <w:ilvl w:val="0"/>
          <w:numId w:val="30"/>
        </w:numPr>
      </w:pPr>
      <w:r>
        <w:lastRenderedPageBreak/>
        <w:t>updating</w:t>
      </w:r>
      <w:r w:rsidR="00465B1B">
        <w:t xml:space="preserve"> the website reference material and the Instruments Handbook to inform the public and agencies about changes in requirements of the </w:t>
      </w:r>
      <w:r w:rsidR="00110EA7">
        <w:t>Legislation Act</w:t>
      </w:r>
      <w:r w:rsidR="00465B1B">
        <w:t>.</w:t>
      </w:r>
    </w:p>
    <w:p w:rsidR="00D6019F" w:rsidRPr="00D6019F" w:rsidRDefault="00D6019F" w:rsidP="00D6019F">
      <w:pPr>
        <w:pStyle w:val="Head3"/>
      </w:pPr>
      <w:bookmarkStart w:id="13" w:name="_Toc463613718"/>
      <w:r w:rsidRPr="00D6019F">
        <w:t>Documentation and training</w:t>
      </w:r>
      <w:bookmarkEnd w:id="13"/>
    </w:p>
    <w:p w:rsidR="00D6019F" w:rsidRPr="00D6019F" w:rsidRDefault="00A76439" w:rsidP="00D6019F">
      <w:pPr>
        <w:pStyle w:val="BodyNum"/>
      </w:pPr>
      <w:r>
        <w:t xml:space="preserve">This year focus </w:t>
      </w:r>
      <w:r w:rsidR="00B8402C">
        <w:t>continued to be</w:t>
      </w:r>
      <w:r>
        <w:t xml:space="preserve"> given to documenting the matters that specifically related to the drafting of instruments.</w:t>
      </w:r>
    </w:p>
    <w:p w:rsidR="00D6019F" w:rsidRPr="00D6019F" w:rsidRDefault="00A76439" w:rsidP="00D6019F">
      <w:pPr>
        <w:pStyle w:val="BodyNum"/>
      </w:pPr>
      <w:r>
        <w:t xml:space="preserve">To provide greater training, drafters were rotated through Bill and instrument drafting positions. This will ensure that drafters can take on the full range of work that is now undertaken by </w:t>
      </w:r>
      <w:r w:rsidR="00C9756F">
        <w:t>OPC</w:t>
      </w:r>
      <w:r>
        <w:t>.</w:t>
      </w:r>
    </w:p>
    <w:p w:rsidR="00D6019F" w:rsidRPr="00D6019F" w:rsidRDefault="00A76439" w:rsidP="00D6019F">
      <w:pPr>
        <w:pStyle w:val="BodyNum"/>
      </w:pPr>
      <w:r w:rsidRPr="00D6019F">
        <w:t xml:space="preserve">The expansion of our functions has necessitated the rewriting of the legislation process course to cover the additional functions. This </w:t>
      </w:r>
      <w:r>
        <w:t>was complete</w:t>
      </w:r>
      <w:r w:rsidR="00B8402C">
        <w:t>d and the first of the new courses were run. These have proved very popular with high enrolments and excellent feedback.</w:t>
      </w:r>
    </w:p>
    <w:p w:rsidR="00D6019F" w:rsidRDefault="00B8402C" w:rsidP="00D6019F">
      <w:pPr>
        <w:pStyle w:val="BodyNum"/>
      </w:pPr>
      <w:r>
        <w:t>Substantial w</w:t>
      </w:r>
      <w:r w:rsidR="00A76439" w:rsidRPr="00D6019F">
        <w:t xml:space="preserve">ork </w:t>
      </w:r>
      <w:r>
        <w:t xml:space="preserve">was done during the election period on </w:t>
      </w:r>
      <w:r w:rsidR="00A76439" w:rsidRPr="00D6019F">
        <w:t>preparing training materials to assist those in agencies who are responsible for drafting a ra</w:t>
      </w:r>
      <w:r w:rsidR="00A76439">
        <w:t>nge of legislative instruments.</w:t>
      </w:r>
    </w:p>
    <w:p w:rsidR="00B8402C" w:rsidRDefault="00B8402C" w:rsidP="00D6019F">
      <w:pPr>
        <w:pStyle w:val="BodyNum"/>
      </w:pPr>
      <w:r>
        <w:lastRenderedPageBreak/>
        <w:t>A number of new courses have been written and these will begin early in the new financial year.</w:t>
      </w:r>
    </w:p>
    <w:p w:rsidR="009A584E" w:rsidRDefault="009A584E" w:rsidP="00D6019F">
      <w:pPr>
        <w:pStyle w:val="BodyNum"/>
      </w:pPr>
      <w:r>
        <w:t xml:space="preserve">Substantial work has been undertaken to prepare documentation of the processes and procedures of the </w:t>
      </w:r>
      <w:r w:rsidR="00683B9D">
        <w:t>P</w:t>
      </w:r>
      <w:r>
        <w:t>ublications group. This has assisted in training new staff and staff who have been trained in additional duties.</w:t>
      </w:r>
    </w:p>
    <w:p w:rsidR="00C2021E" w:rsidRPr="00D6019F" w:rsidRDefault="00C2021E" w:rsidP="00C2021E">
      <w:pPr>
        <w:pStyle w:val="Head3"/>
      </w:pPr>
      <w:bookmarkStart w:id="14" w:name="_Toc463613719"/>
      <w:r>
        <w:t>Financial performance</w:t>
      </w:r>
      <w:bookmarkEnd w:id="14"/>
    </w:p>
    <w:p w:rsidR="00C2021E" w:rsidRPr="00D6019F" w:rsidRDefault="00C2021E" w:rsidP="00D6019F">
      <w:pPr>
        <w:pStyle w:val="BodyNum"/>
      </w:pPr>
      <w:r>
        <w:t>Financially, OPC is in a good position. OPC had a small surplus for the year and is budgeting for a break-even position in 201</w:t>
      </w:r>
      <w:r w:rsidR="00B310CE">
        <w:t>6</w:t>
      </w:r>
      <w:r>
        <w:t>-201</w:t>
      </w:r>
      <w:r w:rsidR="00B310CE">
        <w:t>7</w:t>
      </w:r>
      <w:r>
        <w:t>.</w:t>
      </w:r>
    </w:p>
    <w:p w:rsidR="00D6019F" w:rsidRPr="00D6019F" w:rsidRDefault="00D6019F" w:rsidP="00D6019F">
      <w:pPr>
        <w:pStyle w:val="Head3"/>
      </w:pPr>
      <w:bookmarkStart w:id="15" w:name="_Toc463613720"/>
      <w:r w:rsidRPr="00D6019F">
        <w:t>Liaison outside OPC</w:t>
      </w:r>
      <w:bookmarkEnd w:id="15"/>
    </w:p>
    <w:p w:rsidR="00D6019F" w:rsidRPr="00D6019F" w:rsidRDefault="00A76439" w:rsidP="00D6019F">
      <w:pPr>
        <w:pStyle w:val="BodyNum"/>
      </w:pPr>
      <w:r w:rsidRPr="00D6019F">
        <w:t>Over the year, OPC has continued to work on building closer relations with a number of key stakeholders. These have been in the Treasury, in the Attorney-General’s Department</w:t>
      </w:r>
      <w:r w:rsidR="00762035">
        <w:t>, in the Department of Agriculture and Water Resources</w:t>
      </w:r>
      <w:r w:rsidRPr="00D6019F">
        <w:t xml:space="preserve"> and in the Department of the Prime Minister and Cabinet.</w:t>
      </w:r>
    </w:p>
    <w:p w:rsidR="00D6019F" w:rsidRDefault="00A76439" w:rsidP="00D6019F">
      <w:pPr>
        <w:pStyle w:val="BodyNum"/>
      </w:pPr>
      <w:r w:rsidRPr="00D6019F">
        <w:t xml:space="preserve">OPC </w:t>
      </w:r>
      <w:r w:rsidR="00B8402C">
        <w:t xml:space="preserve">continued our close </w:t>
      </w:r>
      <w:r w:rsidRPr="00D6019F">
        <w:t xml:space="preserve">ties with a range of areas within the Attorney-General’s Department on matters of mutual interest. In </w:t>
      </w:r>
      <w:r w:rsidRPr="00D6019F">
        <w:lastRenderedPageBreak/>
        <w:t xml:space="preserve">particular, I </w:t>
      </w:r>
      <w:r w:rsidR="00B8402C">
        <w:t>continued as</w:t>
      </w:r>
      <w:r w:rsidRPr="00D6019F">
        <w:t xml:space="preserve"> a member of the Department’s Legislation Committee.</w:t>
      </w:r>
    </w:p>
    <w:p w:rsidR="007C7980" w:rsidRPr="00D6019F" w:rsidRDefault="007C7980" w:rsidP="00D6019F">
      <w:pPr>
        <w:pStyle w:val="BodyNum"/>
      </w:pPr>
      <w:r>
        <w:t xml:space="preserve">OPC </w:t>
      </w:r>
      <w:r w:rsidR="00B8402C">
        <w:t xml:space="preserve">also </w:t>
      </w:r>
      <w:r>
        <w:t>has regular meetings with the Department of Immigration and Border Protection to assist with the management of their legislative program.</w:t>
      </w:r>
    </w:p>
    <w:p w:rsidR="00D6019F" w:rsidRDefault="00A76439" w:rsidP="00D6019F">
      <w:pPr>
        <w:pStyle w:val="BodyNum"/>
      </w:pPr>
      <w:r w:rsidRPr="00D6019F">
        <w:t>Through my membership of the Board of Taxation, I continued to maintain a close involvement in developments in taxation law and the implementation of that law.</w:t>
      </w:r>
    </w:p>
    <w:p w:rsidR="00D56795" w:rsidRPr="00D6019F" w:rsidRDefault="00A76439" w:rsidP="00D6019F">
      <w:pPr>
        <w:pStyle w:val="BodyNum"/>
      </w:pPr>
      <w:r>
        <w:t xml:space="preserve">Staff involved in Publications and Information Technology continued to be involved in the Australasian Parliamentary Counsel’s Committee IT Forum. This year the meeting was </w:t>
      </w:r>
      <w:r w:rsidR="00B8402C">
        <w:t xml:space="preserve">hosted by </w:t>
      </w:r>
      <w:r>
        <w:t>OPC</w:t>
      </w:r>
      <w:r w:rsidR="00683B9D">
        <w:t>.</w:t>
      </w:r>
      <w:r w:rsidR="00B8402C">
        <w:t xml:space="preserve"> The feedback that we got was that it was a great success</w:t>
      </w:r>
      <w:r>
        <w:t>.</w:t>
      </w:r>
    </w:p>
    <w:p w:rsidR="00A76439" w:rsidRDefault="00B8402C" w:rsidP="00B8402C">
      <w:pPr>
        <w:pStyle w:val="BodyNum"/>
      </w:pPr>
      <w:r>
        <w:t xml:space="preserve">A special drafting workshop was held with OPC drafters and </w:t>
      </w:r>
      <w:r w:rsidR="00A76439" w:rsidRPr="00D6019F">
        <w:t xml:space="preserve">drafters from </w:t>
      </w:r>
      <w:r w:rsidR="00A76439">
        <w:t xml:space="preserve">Hong Kong and Singapore, </w:t>
      </w:r>
      <w:r w:rsidR="00A76439" w:rsidRPr="00D6019F">
        <w:t xml:space="preserve">who </w:t>
      </w:r>
      <w:r>
        <w:t>came to the IT Forum.</w:t>
      </w:r>
    </w:p>
    <w:p w:rsidR="00FB1A63" w:rsidRDefault="00FB1A63" w:rsidP="00FB1A63">
      <w:pPr>
        <w:pStyle w:val="BodyNum"/>
      </w:pPr>
      <w:r>
        <w:t>I travelled to Malta to attend the Commonwealth Heads of Government Conference (CHOGM) and the associated People’s Forum. This was done in my capacity as President of the Commonwealth Association of Legislative Counsel.</w:t>
      </w:r>
    </w:p>
    <w:p w:rsidR="00844178" w:rsidRPr="00D6019F" w:rsidRDefault="00844178" w:rsidP="00B8402C">
      <w:pPr>
        <w:pStyle w:val="BodyNum"/>
      </w:pPr>
      <w:r>
        <w:t>We also met with delegations from South Korea, Thailand</w:t>
      </w:r>
      <w:r w:rsidR="00683B9D">
        <w:t xml:space="preserve"> and</w:t>
      </w:r>
      <w:r w:rsidR="000A58F2">
        <w:t xml:space="preserve"> Switzerland</w:t>
      </w:r>
      <w:r w:rsidR="00683B9D">
        <w:t>.</w:t>
      </w:r>
    </w:p>
    <w:p w:rsidR="00CB554F" w:rsidRDefault="00E8400B" w:rsidP="00301173">
      <w:pPr>
        <w:pStyle w:val="Head3"/>
      </w:pPr>
      <w:bookmarkStart w:id="16" w:name="_Toc463613721"/>
      <w:r>
        <w:t>Corporate S</w:t>
      </w:r>
      <w:r w:rsidR="00CB554F">
        <w:t>ervices support</w:t>
      </w:r>
      <w:bookmarkEnd w:id="16"/>
    </w:p>
    <w:p w:rsidR="00CB554F" w:rsidRDefault="00A76439" w:rsidP="00A80292">
      <w:pPr>
        <w:pStyle w:val="BodyNum"/>
      </w:pPr>
      <w:r>
        <w:t xml:space="preserve">OPC’s Corporate Services group has continued to provide outstanding support to the whole of OPC. Due to the small size of our Corporate Services group, many staff have duties covering a wide range of disparate areas. All of the Corporate Services staff have worked well in the small team environment to ensure that the drafters, the </w:t>
      </w:r>
      <w:r w:rsidR="003534D7">
        <w:t>S</w:t>
      </w:r>
      <w:r>
        <w:t xml:space="preserve">enior </w:t>
      </w:r>
      <w:r w:rsidR="003534D7">
        <w:t>M</w:t>
      </w:r>
      <w:r>
        <w:t xml:space="preserve">anagement </w:t>
      </w:r>
      <w:r w:rsidR="003534D7">
        <w:t>T</w:t>
      </w:r>
      <w:r>
        <w:t>eam and other staff received all the support that they needed.</w:t>
      </w:r>
    </w:p>
    <w:p w:rsidR="00DE340C" w:rsidRPr="0017157F" w:rsidRDefault="00A76439" w:rsidP="00DE340C">
      <w:pPr>
        <w:pStyle w:val="BodyNum"/>
      </w:pPr>
      <w:r>
        <w:t xml:space="preserve">In addition to the ongoing administrative work of OPC, significant administrative activity during the year was devoted </w:t>
      </w:r>
      <w:r w:rsidR="00DE340C" w:rsidRPr="0017157F">
        <w:t>to:</w:t>
      </w:r>
    </w:p>
    <w:p w:rsidR="00DE340C" w:rsidRDefault="00B310CE" w:rsidP="00DE340C">
      <w:pPr>
        <w:pStyle w:val="AnnualReportBullet"/>
        <w:numPr>
          <w:ilvl w:val="0"/>
          <w:numId w:val="30"/>
        </w:numPr>
      </w:pPr>
      <w:r>
        <w:t>finalising</w:t>
      </w:r>
      <w:r w:rsidR="00DE340C">
        <w:t xml:space="preserve"> the fit-out of the new premises;</w:t>
      </w:r>
    </w:p>
    <w:p w:rsidR="00B310CE" w:rsidRDefault="00B310CE" w:rsidP="00DE340C">
      <w:pPr>
        <w:pStyle w:val="AnnualReportBullet"/>
        <w:numPr>
          <w:ilvl w:val="0"/>
          <w:numId w:val="30"/>
        </w:numPr>
      </w:pPr>
      <w:r>
        <w:t>relocating all staff to the new premises;</w:t>
      </w:r>
    </w:p>
    <w:p w:rsidR="00DE340C" w:rsidRDefault="00B310CE" w:rsidP="00DE340C">
      <w:pPr>
        <w:pStyle w:val="AnnualReportBullet"/>
        <w:numPr>
          <w:ilvl w:val="0"/>
          <w:numId w:val="30"/>
        </w:numPr>
      </w:pPr>
      <w:r>
        <w:t xml:space="preserve">reviewing and updating </w:t>
      </w:r>
      <w:r w:rsidR="00DE340C">
        <w:t xml:space="preserve">policies, procedures and processes, particularly to </w:t>
      </w:r>
      <w:r>
        <w:t>account for the relocation to the new premises</w:t>
      </w:r>
      <w:r w:rsidR="00DE340C">
        <w:t>;</w:t>
      </w:r>
    </w:p>
    <w:p w:rsidR="00DE340C" w:rsidRDefault="00DE340C" w:rsidP="00DE340C">
      <w:pPr>
        <w:pStyle w:val="AnnualReportBullet"/>
        <w:numPr>
          <w:ilvl w:val="0"/>
          <w:numId w:val="30"/>
        </w:numPr>
      </w:pPr>
      <w:r>
        <w:t>developing and implementing a new</w:t>
      </w:r>
      <w:r w:rsidR="00B310CE">
        <w:t xml:space="preserve"> electronic IT Helpdesk system</w:t>
      </w:r>
      <w:r>
        <w:t>; and</w:t>
      </w:r>
    </w:p>
    <w:p w:rsidR="00DE340C" w:rsidRDefault="00110EA7" w:rsidP="00DE340C">
      <w:pPr>
        <w:pStyle w:val="AnnualReportBullet"/>
        <w:numPr>
          <w:ilvl w:val="0"/>
          <w:numId w:val="30"/>
        </w:numPr>
      </w:pPr>
      <w:r>
        <w:t>running short I</w:t>
      </w:r>
      <w:r w:rsidR="00B310CE">
        <w:t>T training courses for staff</w:t>
      </w:r>
      <w:r w:rsidR="00DE340C">
        <w:t>.</w:t>
      </w:r>
    </w:p>
    <w:p w:rsidR="00A76439" w:rsidRDefault="00A76439" w:rsidP="00A76439">
      <w:pPr>
        <w:pStyle w:val="Head3"/>
      </w:pPr>
      <w:bookmarkStart w:id="17" w:name="_Toc463613722"/>
      <w:r>
        <w:t xml:space="preserve">Retirement of </w:t>
      </w:r>
      <w:r w:rsidR="00B310CE">
        <w:t>Iain McMillan</w:t>
      </w:r>
      <w:bookmarkEnd w:id="17"/>
    </w:p>
    <w:p w:rsidR="00A76439" w:rsidRDefault="00A76439" w:rsidP="00A76439">
      <w:pPr>
        <w:pStyle w:val="BodyNum"/>
      </w:pPr>
      <w:r>
        <w:t xml:space="preserve">Mr </w:t>
      </w:r>
      <w:r w:rsidR="00B310CE">
        <w:t>Iain McMillan</w:t>
      </w:r>
      <w:r>
        <w:t xml:space="preserve"> retired from OPC this year.</w:t>
      </w:r>
    </w:p>
    <w:p w:rsidR="00B8402C" w:rsidRDefault="00714D06" w:rsidP="00A76439">
      <w:pPr>
        <w:pStyle w:val="BodyNum"/>
      </w:pPr>
      <w:r>
        <w:t>Until his retirement, Iain held the position of Second Parliamentary Counsel.</w:t>
      </w:r>
    </w:p>
    <w:p w:rsidR="00714D06" w:rsidRDefault="00714D06" w:rsidP="00A76439">
      <w:pPr>
        <w:pStyle w:val="BodyNum"/>
      </w:pPr>
      <w:r>
        <w:t>Iain started work with OPC in 1984.</w:t>
      </w:r>
    </w:p>
    <w:p w:rsidR="00714D06" w:rsidRDefault="00714D06" w:rsidP="00714D06">
      <w:pPr>
        <w:pStyle w:val="BodyNum"/>
      </w:pPr>
      <w:r>
        <w:t xml:space="preserve">Iain worked on a vast range of legislation during his time with OPC. This included the </w:t>
      </w:r>
      <w:r w:rsidRPr="008A41E2">
        <w:rPr>
          <w:i/>
        </w:rPr>
        <w:t>Petroleum Resource Rent Tax Assessment Act 1987</w:t>
      </w:r>
      <w:r>
        <w:t xml:space="preserve">, the </w:t>
      </w:r>
      <w:r w:rsidRPr="008A41E2">
        <w:rPr>
          <w:i/>
        </w:rPr>
        <w:t>Family Law Reform Act 1995</w:t>
      </w:r>
      <w:r w:rsidR="003534D7">
        <w:t>,</w:t>
      </w:r>
      <w:r>
        <w:t xml:space="preserve"> and the Financial Sector Reform package of legislation which established the Australian Prudential Regulation Authority, and restructured the regulation of banks, insurers an</w:t>
      </w:r>
      <w:r w:rsidR="008A41E2">
        <w:t>d other financial institutions.</w:t>
      </w:r>
    </w:p>
    <w:p w:rsidR="00714D06" w:rsidRDefault="00714D06" w:rsidP="00714D06">
      <w:pPr>
        <w:pStyle w:val="BodyNum"/>
      </w:pPr>
      <w:r>
        <w:t xml:space="preserve">He had also a substantial role on the </w:t>
      </w:r>
      <w:r w:rsidRPr="008A41E2">
        <w:rPr>
          <w:i/>
        </w:rPr>
        <w:t>Corporations Act 2001</w:t>
      </w:r>
      <w:r>
        <w:t xml:space="preserve"> which re-enacted the Corporations Act on the basis of a referral of power from the States following the Wakim and Hughes decisions of the High Court.</w:t>
      </w:r>
    </w:p>
    <w:p w:rsidR="00714D06" w:rsidRDefault="00714D06" w:rsidP="003534D7">
      <w:pPr>
        <w:pStyle w:val="BodyNum"/>
      </w:pPr>
      <w:r>
        <w:t xml:space="preserve">He made a substantial contribution to the </w:t>
      </w:r>
      <w:r w:rsidRPr="008A41E2">
        <w:rPr>
          <w:i/>
        </w:rPr>
        <w:t>Workplace Relations (Work Choices) Act 2005</w:t>
      </w:r>
      <w:r>
        <w:t>. Other major projects included:</w:t>
      </w:r>
    </w:p>
    <w:p w:rsidR="00714D06" w:rsidRDefault="00714D06" w:rsidP="00714D06">
      <w:pPr>
        <w:pStyle w:val="AnnualReportBullet"/>
        <w:numPr>
          <w:ilvl w:val="0"/>
          <w:numId w:val="30"/>
        </w:numPr>
      </w:pPr>
      <w:r>
        <w:t>the Fair Work Bill 2008 and subsequent Bills to deal with State referrals;</w:t>
      </w:r>
    </w:p>
    <w:p w:rsidR="00714D06" w:rsidRDefault="00714D06" w:rsidP="00714D06">
      <w:pPr>
        <w:pStyle w:val="AnnualReportBullet"/>
        <w:numPr>
          <w:ilvl w:val="0"/>
          <w:numId w:val="30"/>
        </w:numPr>
      </w:pPr>
      <w:r>
        <w:t>the Military Justice (Interim Measures) Bills 2009; and</w:t>
      </w:r>
    </w:p>
    <w:p w:rsidR="00714D06" w:rsidRDefault="00714D06" w:rsidP="00714D06">
      <w:pPr>
        <w:pStyle w:val="AnnualReportBullet"/>
        <w:numPr>
          <w:ilvl w:val="0"/>
          <w:numId w:val="30"/>
        </w:numPr>
      </w:pPr>
      <w:r>
        <w:t xml:space="preserve">the </w:t>
      </w:r>
      <w:r w:rsidRPr="008A41E2">
        <w:rPr>
          <w:i/>
        </w:rPr>
        <w:t>Private Health Insurance (Prudential Supervision) Act 2015</w:t>
      </w:r>
      <w:r>
        <w:t>.</w:t>
      </w:r>
    </w:p>
    <w:p w:rsidR="00714D06" w:rsidRDefault="00714D06" w:rsidP="00714D06">
      <w:pPr>
        <w:pStyle w:val="BodyNum"/>
      </w:pPr>
      <w:r>
        <w:t xml:space="preserve">In addition to his contribution through drafting, Iain made an enormous contribution as a member of OPC’s Senior Management Team for 7 years. </w:t>
      </w:r>
    </w:p>
    <w:p w:rsidR="00714D06" w:rsidRDefault="00714D06" w:rsidP="00714D06">
      <w:pPr>
        <w:pStyle w:val="BodyNum"/>
      </w:pPr>
      <w:r>
        <w:t>Iain also made a wonderful contribution to the life of OPC over many years and in so many different ways.</w:t>
      </w:r>
    </w:p>
    <w:p w:rsidR="009657D5" w:rsidRDefault="00714D06" w:rsidP="009657D5">
      <w:pPr>
        <w:pStyle w:val="Head3"/>
      </w:pPr>
      <w:bookmarkStart w:id="18" w:name="_Toc463613723"/>
      <w:r>
        <w:t>Appointment of Meredith Leigh</w:t>
      </w:r>
      <w:bookmarkEnd w:id="18"/>
    </w:p>
    <w:p w:rsidR="00844178" w:rsidRPr="009657D5" w:rsidRDefault="00844178" w:rsidP="00844178">
      <w:pPr>
        <w:pStyle w:val="BodyNum"/>
      </w:pPr>
      <w:r w:rsidRPr="009657D5">
        <w:t>Ms Meredith Leigh was appointed as Second Parliamentary Counsel on 1 March 2016.</w:t>
      </w:r>
    </w:p>
    <w:p w:rsidR="00844178" w:rsidRPr="009657D5" w:rsidRDefault="00844178" w:rsidP="00844178">
      <w:pPr>
        <w:pStyle w:val="BodyNum"/>
      </w:pPr>
      <w:r w:rsidRPr="009657D5">
        <w:t>Before her appointment, Meredith was a First Assistant Parliamentary Counsel at OPC. Meredith joined OPC in 1998.</w:t>
      </w:r>
    </w:p>
    <w:p w:rsidR="00844178" w:rsidRPr="009657D5" w:rsidRDefault="00844178" w:rsidP="00844178">
      <w:pPr>
        <w:pStyle w:val="BodyNum"/>
      </w:pPr>
      <w:r w:rsidRPr="009657D5">
        <w:t xml:space="preserve">She has extensive drafting experience including working on the </w:t>
      </w:r>
      <w:r w:rsidRPr="00110EA7">
        <w:rPr>
          <w:i/>
        </w:rPr>
        <w:t>Military Rehabilitation and Compensation Act 2004</w:t>
      </w:r>
      <w:r w:rsidRPr="009657D5">
        <w:t xml:space="preserve">, the </w:t>
      </w:r>
      <w:r w:rsidRPr="00110EA7">
        <w:rPr>
          <w:i/>
        </w:rPr>
        <w:t>Tobacco Plain Packaging Act 2011</w:t>
      </w:r>
      <w:r w:rsidRPr="009657D5">
        <w:t xml:space="preserve">, the </w:t>
      </w:r>
      <w:r w:rsidRPr="00110EA7">
        <w:rPr>
          <w:i/>
        </w:rPr>
        <w:t>Australian Education Act 2013</w:t>
      </w:r>
      <w:r w:rsidRPr="009657D5">
        <w:t xml:space="preserve"> and the recent amendments to the </w:t>
      </w:r>
      <w:r w:rsidRPr="00110EA7">
        <w:rPr>
          <w:i/>
        </w:rPr>
        <w:t>Foreign Acquisitions and Takeovers Act 1975</w:t>
      </w:r>
      <w:r w:rsidRPr="009657D5">
        <w:t>.</w:t>
      </w:r>
    </w:p>
    <w:p w:rsidR="006E0822" w:rsidRDefault="006E0822">
      <w:pPr>
        <w:pStyle w:val="Head3"/>
      </w:pPr>
      <w:bookmarkStart w:id="19" w:name="_Toc463613724"/>
      <w:r>
        <w:t>Placements in House and Senate</w:t>
      </w:r>
      <w:bookmarkEnd w:id="19"/>
    </w:p>
    <w:p w:rsidR="00A76439" w:rsidRDefault="00A76439" w:rsidP="00A76439">
      <w:pPr>
        <w:pStyle w:val="BodyNum"/>
      </w:pPr>
      <w:r>
        <w:t xml:space="preserve">During the year we continued the arrangements with each of the </w:t>
      </w:r>
      <w:r w:rsidR="003534D7">
        <w:t>2</w:t>
      </w:r>
      <w:r>
        <w:t xml:space="preserve"> Houses of Parliament to have drafters working in Parliament House.</w:t>
      </w:r>
    </w:p>
    <w:p w:rsidR="00A76439" w:rsidRDefault="00A76439" w:rsidP="00A76439">
      <w:pPr>
        <w:pStyle w:val="BodyNum"/>
      </w:pPr>
      <w:r>
        <w:t>The arrangement with the Senate is a secondment to the procedure office for one of our assis</w:t>
      </w:r>
      <w:r w:rsidR="005A63E1">
        <w:t xml:space="preserve">tant drafters. </w:t>
      </w:r>
      <w:r>
        <w:t>This position is a valuable learning exercise for the drafters who are involved</w:t>
      </w:r>
      <w:r w:rsidR="003534D7">
        <w:t>,</w:t>
      </w:r>
      <w:r>
        <w:t xml:space="preserve"> as well as a practical way of OPC providing some assistance to the Senate.</w:t>
      </w:r>
    </w:p>
    <w:p w:rsidR="00043C4A" w:rsidRPr="00043C4A" w:rsidRDefault="00A76439" w:rsidP="00A76439">
      <w:pPr>
        <w:pStyle w:val="BodyNum"/>
      </w:pPr>
      <w:r>
        <w:t xml:space="preserve">We also provided a senior drafter to assist the House of Representatives to deal with Private Members’ work. This arrangement has been quite successful and is being continued </w:t>
      </w:r>
      <w:r w:rsidR="00DB3B1E">
        <w:t>with the drafter</w:t>
      </w:r>
      <w:r>
        <w:t xml:space="preserve"> predominately </w:t>
      </w:r>
      <w:r w:rsidR="00DB3B1E">
        <w:t xml:space="preserve">working </w:t>
      </w:r>
      <w:r>
        <w:t>from OPC’s offices.</w:t>
      </w:r>
    </w:p>
    <w:p w:rsidR="00762035" w:rsidRDefault="00762035">
      <w:pPr>
        <w:pStyle w:val="Head3"/>
      </w:pPr>
      <w:bookmarkStart w:id="20" w:name="_Toc463613725"/>
      <w:r>
        <w:t>Election projects</w:t>
      </w:r>
      <w:bookmarkEnd w:id="20"/>
    </w:p>
    <w:p w:rsidR="00762035" w:rsidRDefault="00B8704B" w:rsidP="00762035">
      <w:pPr>
        <w:pStyle w:val="BodyNum"/>
      </w:pPr>
      <w:r>
        <w:t>During election periods, there is a reduced amount of drafting work to be done. OPC takes advantage of these periods to undertake a range of projects.</w:t>
      </w:r>
    </w:p>
    <w:p w:rsidR="00B8704B" w:rsidRPr="00762035" w:rsidRDefault="00B8704B" w:rsidP="00762035">
      <w:pPr>
        <w:pStyle w:val="BodyNum"/>
      </w:pPr>
      <w:r>
        <w:t xml:space="preserve">In addition to preparing an incoming </w:t>
      </w:r>
      <w:r w:rsidR="00C6754E">
        <w:t>g</w:t>
      </w:r>
      <w:r>
        <w:t xml:space="preserve">overnment brief, </w:t>
      </w:r>
      <w:r w:rsidR="00C6754E">
        <w:t>projects included</w:t>
      </w:r>
      <w:r>
        <w:t xml:space="preserve"> preparing a number of training courses, reviewing our subscriptions to electronic legal resources, updating a range of notes on drafting issues, </w:t>
      </w:r>
      <w:r w:rsidR="00CC7FC2">
        <w:t xml:space="preserve">and </w:t>
      </w:r>
      <w:r>
        <w:t>preparing and presenting seminars on drafting issues.</w:t>
      </w:r>
    </w:p>
    <w:p w:rsidR="00CB554F" w:rsidRDefault="00CB554F">
      <w:pPr>
        <w:pStyle w:val="Head3"/>
      </w:pPr>
      <w:bookmarkStart w:id="21" w:name="_Toc463613726"/>
      <w:r>
        <w:t>Outlook for coming year</w:t>
      </w:r>
      <w:bookmarkEnd w:id="21"/>
    </w:p>
    <w:p w:rsidR="00A76439" w:rsidRDefault="00A76439" w:rsidP="00A76439">
      <w:pPr>
        <w:pStyle w:val="BodyNum"/>
      </w:pPr>
      <w:r>
        <w:t>I believe that the next year will see a continuation of the very high level of deman</w:t>
      </w:r>
      <w:r w:rsidR="005A63E1">
        <w:t>d for OPC’s drafting resources.</w:t>
      </w:r>
    </w:p>
    <w:p w:rsidR="00071BE9" w:rsidRDefault="00A76439" w:rsidP="00071BE9">
      <w:pPr>
        <w:pStyle w:val="BodyNum"/>
      </w:pPr>
      <w:r>
        <w:t xml:space="preserve">At the same time, OPC will continue to concentrate on the need to </w:t>
      </w:r>
      <w:r w:rsidR="00762035">
        <w:t xml:space="preserve">recruit, </w:t>
      </w:r>
      <w:r>
        <w:t xml:space="preserve">train and retain the highest quality staff in order to meet the demands of the future. OPC will also need to recruit new drafters to ensure the long-term viability of </w:t>
      </w:r>
      <w:r w:rsidR="00C9756F">
        <w:t>OPC</w:t>
      </w:r>
      <w:r>
        <w:t>.</w:t>
      </w:r>
    </w:p>
    <w:p w:rsidR="00CB554F" w:rsidRDefault="00A76439" w:rsidP="00071BE9">
      <w:pPr>
        <w:pStyle w:val="BodyNum"/>
      </w:pPr>
      <w:r>
        <w:t xml:space="preserve">Work will also </w:t>
      </w:r>
      <w:r w:rsidR="008A41E2">
        <w:t xml:space="preserve">commence </w:t>
      </w:r>
      <w:r w:rsidR="00DB3B1E">
        <w:t xml:space="preserve">on the </w:t>
      </w:r>
      <w:r w:rsidR="00762035">
        <w:t>redevelopment</w:t>
      </w:r>
      <w:r w:rsidR="00DB3B1E">
        <w:t xml:space="preserve"> of the </w:t>
      </w:r>
      <w:r w:rsidR="00110EA7">
        <w:t>Legislation</w:t>
      </w:r>
      <w:r w:rsidR="00DB3B1E">
        <w:t xml:space="preserve"> Register and on </w:t>
      </w:r>
      <w:r>
        <w:t>continu</w:t>
      </w:r>
      <w:r w:rsidR="00DB3B1E">
        <w:t xml:space="preserve">ing to improve </w:t>
      </w:r>
      <w:r>
        <w:t>the effectiveness of the publications functions of OPC. These are critical in ensuring that the public has ready access to legislation.</w:t>
      </w:r>
    </w:p>
    <w:p w:rsidR="00967139" w:rsidRDefault="00967139" w:rsidP="003D018E">
      <w:pPr>
        <w:pStyle w:val="BodyNum"/>
        <w:numPr>
          <w:ilvl w:val="0"/>
          <w:numId w:val="0"/>
        </w:numPr>
      </w:pPr>
    </w:p>
    <w:p w:rsidR="00A76439" w:rsidRDefault="00A76439" w:rsidP="003D018E">
      <w:pPr>
        <w:pStyle w:val="BodyNum"/>
        <w:numPr>
          <w:ilvl w:val="0"/>
          <w:numId w:val="0"/>
        </w:numPr>
      </w:pPr>
    </w:p>
    <w:p w:rsidR="003D018E" w:rsidRPr="003D018E" w:rsidRDefault="003D018E" w:rsidP="003D018E">
      <w:pPr>
        <w:spacing w:line="300" w:lineRule="exact"/>
        <w:rPr>
          <w:rFonts w:ascii="Arial" w:hAnsi="Arial"/>
          <w:sz w:val="20"/>
        </w:rPr>
      </w:pPr>
      <w:r w:rsidRPr="003D018E">
        <w:rPr>
          <w:rFonts w:ascii="Arial" w:hAnsi="Arial"/>
          <w:sz w:val="20"/>
        </w:rPr>
        <w:t>Peter Quiggin PSM</w:t>
      </w:r>
    </w:p>
    <w:p w:rsidR="003D018E" w:rsidRPr="003D018E" w:rsidRDefault="003D018E" w:rsidP="003D018E">
      <w:pPr>
        <w:spacing w:line="300" w:lineRule="exact"/>
        <w:rPr>
          <w:rFonts w:ascii="Arial" w:hAnsi="Arial"/>
          <w:sz w:val="20"/>
        </w:rPr>
        <w:sectPr w:rsidR="003D018E" w:rsidRPr="003D018E">
          <w:headerReference w:type="even" r:id="rId26"/>
          <w:headerReference w:type="default" r:id="rId27"/>
          <w:type w:val="continuous"/>
          <w:pgSz w:w="11907" w:h="16839" w:code="9"/>
          <w:pgMar w:top="1134" w:right="2410" w:bottom="4253" w:left="2410" w:header="510" w:footer="3402" w:gutter="0"/>
          <w:pgNumType w:start="1"/>
          <w:cols w:num="2" w:space="709"/>
          <w:docGrid w:linePitch="326"/>
        </w:sectPr>
      </w:pPr>
      <w:r w:rsidRPr="003D018E">
        <w:rPr>
          <w:rFonts w:ascii="Arial" w:hAnsi="Arial"/>
          <w:sz w:val="20"/>
        </w:rPr>
        <w:t>First Parliamentary Counsel</w:t>
      </w:r>
    </w:p>
    <w:p w:rsidR="00CB554F" w:rsidRDefault="00CB554F" w:rsidP="00A80292">
      <w:pPr>
        <w:pStyle w:val="BodyNum"/>
        <w:sectPr w:rsidR="00CB554F">
          <w:headerReference w:type="even" r:id="rId28"/>
          <w:headerReference w:type="default" r:id="rId29"/>
          <w:type w:val="continuous"/>
          <w:pgSz w:w="11907" w:h="16839" w:code="9"/>
          <w:pgMar w:top="1134" w:right="2410" w:bottom="4253" w:left="2410" w:header="510" w:footer="3402" w:gutter="0"/>
          <w:cols w:num="2" w:space="709"/>
          <w:docGrid w:linePitch="326"/>
        </w:sectPr>
      </w:pPr>
    </w:p>
    <w:p w:rsidR="00BF3A89" w:rsidRDefault="00BF3A89" w:rsidP="00BF3A89">
      <w:pPr>
        <w:pStyle w:val="Head2"/>
        <w:sectPr w:rsidR="00BF3A89">
          <w:headerReference w:type="even" r:id="rId30"/>
          <w:pgSz w:w="11907" w:h="16839" w:code="9"/>
          <w:pgMar w:top="1134" w:right="2410" w:bottom="4253" w:left="2410" w:header="510" w:footer="3402" w:gutter="0"/>
          <w:cols w:space="709"/>
          <w:docGrid w:linePitch="326"/>
        </w:sectPr>
      </w:pPr>
      <w:bookmarkStart w:id="22" w:name="_Toc463613727"/>
      <w:r>
        <w:t>Chapter 1—Overview of OPC</w:t>
      </w:r>
      <w:bookmarkEnd w:id="22"/>
    </w:p>
    <w:p w:rsidR="00BF3A89" w:rsidRDefault="00BF3A89" w:rsidP="00843579">
      <w:pPr>
        <w:pStyle w:val="Head3"/>
      </w:pPr>
      <w:bookmarkStart w:id="23" w:name="_Toc463613728"/>
      <w:r>
        <w:t>Role and functions of OPC</w:t>
      </w:r>
      <w:bookmarkStart w:id="24" w:name="_Ref113266728"/>
      <w:bookmarkEnd w:id="23"/>
    </w:p>
    <w:p w:rsidR="00BF3A89" w:rsidRDefault="000A396C" w:rsidP="00BF3A89">
      <w:pPr>
        <w:pStyle w:val="BodyNum"/>
      </w:pPr>
      <w:r>
        <w:t xml:space="preserve">OPC is the Commonwealth’s principal provider of professional legislative drafting and publishing services. OPC delivers timely, high quality drafting and advisory services for Bills, legislative instruments and other instruments, prepares compilations of laws as amended and publishes legislation and government notices on behalf of more than 70 agencies. OPC also provides comprehensive, free access to Commonwealth legislation and related material through the </w:t>
      </w:r>
      <w:r w:rsidR="003C2EB0">
        <w:t>Federal Register of Legislation (</w:t>
      </w:r>
      <w:r w:rsidR="003C2EB0" w:rsidRPr="003C2EB0">
        <w:rPr>
          <w:b/>
          <w:i/>
        </w:rPr>
        <w:t>the Legislation Register</w:t>
      </w:r>
      <w:r w:rsidR="003C2EB0">
        <w:t>)</w:t>
      </w:r>
      <w:r>
        <w:t xml:space="preserve"> website</w:t>
      </w:r>
      <w:r w:rsidR="00BF3A89">
        <w:t>.</w:t>
      </w:r>
    </w:p>
    <w:bookmarkEnd w:id="24"/>
    <w:p w:rsidR="000A396C" w:rsidRDefault="000A396C" w:rsidP="000A396C">
      <w:pPr>
        <w:pStyle w:val="BodyNum"/>
      </w:pPr>
      <w:r>
        <w:t xml:space="preserve">OPC was established under the </w:t>
      </w:r>
      <w:r>
        <w:rPr>
          <w:i/>
        </w:rPr>
        <w:t>Parliamentary Counsel Act 1970</w:t>
      </w:r>
      <w:r>
        <w:t>. Its functions</w:t>
      </w:r>
      <w:r w:rsidR="00C9756F">
        <w:t xml:space="preserve"> are set out in section 3 of that</w:t>
      </w:r>
      <w:r>
        <w:t xml:space="preserve"> Act. The</w:t>
      </w:r>
      <w:r w:rsidR="00DB5EF4">
        <w:t>y</w:t>
      </w:r>
      <w:r>
        <w:t xml:space="preserve"> are:</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drafting of proposed laws for introduction into either House of the Parliament;</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drafting of amendments of proposed laws that are being considered by either House of the Parliament;</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drafting of subordinate legislation;</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preparing of compilations and reprints of, and information relating to, laws of the Commonwealth;</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publishing, and the making of arrangements for the printing and publishing, of:</w:t>
      </w:r>
    </w:p>
    <w:p w:rsidR="000A396C" w:rsidRPr="00AE7888" w:rsidRDefault="000A396C" w:rsidP="000A396C">
      <w:pPr>
        <w:pStyle w:val="BodyParaBulletSub"/>
      </w:pPr>
      <w:r>
        <w:t>-</w:t>
      </w:r>
      <w:r>
        <w:tab/>
        <w:t>laws, and proposed laws, of the Commonwealth</w:t>
      </w:r>
      <w:r w:rsidRPr="00AE7888">
        <w:t>;</w:t>
      </w:r>
    </w:p>
    <w:p w:rsidR="000A396C" w:rsidRPr="00AE7888" w:rsidRDefault="000A396C" w:rsidP="000A396C">
      <w:pPr>
        <w:pStyle w:val="BodyParaBulletSub"/>
      </w:pPr>
      <w:r w:rsidRPr="00AE7888">
        <w:t>-</w:t>
      </w:r>
      <w:r>
        <w:tab/>
        <w:t>compilations and reprints of laws of the Commonwealth</w:t>
      </w:r>
      <w:r w:rsidRPr="00AE7888">
        <w:t>;</w:t>
      </w:r>
      <w:r>
        <w:t xml:space="preserve"> and</w:t>
      </w:r>
    </w:p>
    <w:p w:rsidR="000A396C" w:rsidRPr="00AE7888" w:rsidRDefault="000A396C" w:rsidP="000A396C">
      <w:pPr>
        <w:pStyle w:val="BodyParaBulletSub"/>
      </w:pPr>
      <w:r w:rsidRPr="00AE7888">
        <w:t>-</w:t>
      </w:r>
      <w:r>
        <w:tab/>
        <w:t>information relating to laws of the Commonwealth;</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preparing and publishing of Government Notices Gazettes, including Special and Periodic Gazettes;</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 xml:space="preserve">functions conferred on </w:t>
      </w:r>
      <w:r w:rsidR="00C9756F">
        <w:t>OPC</w:t>
      </w:r>
      <w:r>
        <w:t xml:space="preserve"> (or on First Parliamentary Counsel) under the </w:t>
      </w:r>
      <w:r w:rsidR="003C2EB0">
        <w:rPr>
          <w:i/>
        </w:rPr>
        <w:t>Legislation</w:t>
      </w:r>
      <w:r>
        <w:rPr>
          <w:i/>
        </w:rPr>
        <w:t xml:space="preserve"> Act </w:t>
      </w:r>
      <w:r w:rsidR="003C2EB0">
        <w:rPr>
          <w:i/>
        </w:rPr>
        <w:t>2003</w:t>
      </w:r>
      <w:r w:rsidR="003C2EB0">
        <w:t xml:space="preserve">, </w:t>
      </w:r>
      <w:r>
        <w:t>and any other laws of the Commonwealth;</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with the written approval of the Minister—the provision of assistance to a foreign country in relation to the drafting, printing or publishing of laws of the country or information relating to those laws;</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functions conferred by the regulations; and</w:t>
      </w:r>
    </w:p>
    <w:p w:rsidR="00BF3A89" w:rsidRPr="000F2F5D" w:rsidRDefault="000A396C" w:rsidP="000A396C">
      <w:pPr>
        <w:pStyle w:val="AnnualReportBullet"/>
        <w:tabs>
          <w:tab w:val="left" w:pos="360"/>
        </w:tabs>
        <w:ind w:left="360" w:hanging="360"/>
      </w:pPr>
      <w:r>
        <w:rPr>
          <w:rFonts w:ascii="Symbol" w:hAnsi="Symbol"/>
        </w:rPr>
        <w:t></w:t>
      </w:r>
      <w:r>
        <w:rPr>
          <w:rFonts w:ascii="Symbol" w:hAnsi="Symbol"/>
        </w:rPr>
        <w:tab/>
      </w:r>
      <w:r>
        <w:t>functions incidental to any of the preceding functions</w:t>
      </w:r>
      <w:r w:rsidR="00BF3A89">
        <w:t>.</w:t>
      </w:r>
    </w:p>
    <w:p w:rsidR="00BF3A89" w:rsidRDefault="00BF3A89" w:rsidP="00BF3A89">
      <w:pPr>
        <w:pStyle w:val="Head3"/>
      </w:pPr>
      <w:bookmarkStart w:id="25" w:name="_Toc463613729"/>
      <w:r>
        <w:t>Organisational structure</w:t>
      </w:r>
      <w:bookmarkEnd w:id="25"/>
    </w:p>
    <w:p w:rsidR="00CB530E" w:rsidRDefault="00CB530E" w:rsidP="004D5F0F">
      <w:pPr>
        <w:pStyle w:val="BodyNum"/>
      </w:pPr>
      <w:bookmarkStart w:id="26" w:name="_Ref113169245"/>
      <w:r>
        <w:t xml:space="preserve">OPC is headed by the First Parliamentary Counsel and </w:t>
      </w:r>
      <w:r w:rsidR="00C6754E">
        <w:t>two</w:t>
      </w:r>
      <w:r>
        <w:t xml:space="preserve"> Second Parliamentary Counsel.</w:t>
      </w:r>
    </w:p>
    <w:p w:rsidR="004D5F0F" w:rsidRPr="004D5F0F" w:rsidRDefault="00AA50C8" w:rsidP="004D5F0F">
      <w:pPr>
        <w:pStyle w:val="BodyNum"/>
      </w:pPr>
      <w:r w:rsidRPr="004D5F0F">
        <w:t>OPC ha</w:t>
      </w:r>
      <w:r>
        <w:t>s</w:t>
      </w:r>
      <w:r w:rsidRPr="004D5F0F">
        <w:t xml:space="preserve"> </w:t>
      </w:r>
      <w:r>
        <w:t>3</w:t>
      </w:r>
      <w:r w:rsidRPr="004D5F0F">
        <w:t xml:space="preserve"> groups: Drafting, Publ</w:t>
      </w:r>
      <w:r>
        <w:t>ications and Corporate Services</w:t>
      </w:r>
      <w:r w:rsidR="004D5F0F" w:rsidRPr="004D5F0F">
        <w:t>.</w:t>
      </w:r>
    </w:p>
    <w:p w:rsidR="00BF3A89" w:rsidRDefault="00AA50C8" w:rsidP="00BF3A89">
      <w:pPr>
        <w:pStyle w:val="BodyNum"/>
      </w:pPr>
      <w:r>
        <w:t xml:space="preserve">In the </w:t>
      </w:r>
      <w:r w:rsidR="00683B9D">
        <w:t>D</w:t>
      </w:r>
      <w:r>
        <w:t>rafting group, drafting is carried out in teams consisting of drafters (who are all lawyers) supported by administrative staff. Some of the teams involve only 2 drafters (a senior drafter and an assistant drafter) but some involve more drafters working together in a variety of arrangements</w:t>
      </w:r>
      <w:r w:rsidR="00BF3A89">
        <w:t>.</w:t>
      </w:r>
      <w:bookmarkEnd w:id="26"/>
    </w:p>
    <w:p w:rsidR="00BF3A89" w:rsidRDefault="003738D9" w:rsidP="00BF3A89">
      <w:pPr>
        <w:pStyle w:val="BodyNum"/>
      </w:pPr>
      <w:r>
        <w:t>The First Parliamentary Counsel,</w:t>
      </w:r>
      <w:r w:rsidR="00BF3A89">
        <w:t xml:space="preserve"> the Second Parliamentary Counsel, and all SES drafters are senior drafters. They each head a drafting team and report to </w:t>
      </w:r>
      <w:r>
        <w:t xml:space="preserve">the </w:t>
      </w:r>
      <w:r w:rsidR="00BF3A89">
        <w:t>F</w:t>
      </w:r>
      <w:r>
        <w:t xml:space="preserve">irst </w:t>
      </w:r>
      <w:r w:rsidR="00BF3A89">
        <w:t>P</w:t>
      </w:r>
      <w:r>
        <w:t xml:space="preserve">arliamentary </w:t>
      </w:r>
      <w:r w:rsidR="00BF3A89">
        <w:t>C</w:t>
      </w:r>
      <w:r>
        <w:t>ounsel</w:t>
      </w:r>
      <w:r w:rsidR="00BF3A89">
        <w:t>. The other drafters are called assistant drafters and are supervised by the senior drafter who heads their team.</w:t>
      </w:r>
    </w:p>
    <w:p w:rsidR="00BF3B3C" w:rsidRPr="007D2ECF" w:rsidRDefault="00BF3B3C" w:rsidP="00BF3B3C">
      <w:pPr>
        <w:pStyle w:val="BodyNum"/>
      </w:pPr>
      <w:r w:rsidRPr="007D2ECF">
        <w:t>OPC’s Publications group, headed by the General Manager Publishing, consists of:</w:t>
      </w:r>
    </w:p>
    <w:p w:rsidR="00BF3B3C" w:rsidRPr="007D2ECF" w:rsidRDefault="00BF3B3C" w:rsidP="00BF3B3C">
      <w:pPr>
        <w:pStyle w:val="AnnualReportBullet"/>
        <w:tabs>
          <w:tab w:val="left" w:pos="360"/>
        </w:tabs>
        <w:ind w:left="360" w:hanging="360"/>
      </w:pPr>
      <w:r w:rsidRPr="007D2ECF">
        <w:rPr>
          <w:rFonts w:ascii="Symbol" w:hAnsi="Symbol"/>
        </w:rPr>
        <w:t></w:t>
      </w:r>
      <w:r w:rsidRPr="007D2ECF">
        <w:rPr>
          <w:rFonts w:ascii="Symbol" w:hAnsi="Symbol"/>
        </w:rPr>
        <w:tab/>
      </w:r>
      <w:r w:rsidRPr="007D2ECF">
        <w:t>a team responsible for publishing policy, including preparation of sunsetting and bulk repeal lists, the Legislation</w:t>
      </w:r>
      <w:r w:rsidR="006D1A4E">
        <w:t xml:space="preserve"> Register</w:t>
      </w:r>
      <w:r w:rsidRPr="007D2ECF">
        <w:t xml:space="preserve"> Helpdesk</w:t>
      </w:r>
      <w:r>
        <w:t>, performance management</w:t>
      </w:r>
      <w:r w:rsidRPr="007D2ECF">
        <w:t xml:space="preserve"> and contributions to OPC policies;</w:t>
      </w:r>
    </w:p>
    <w:p w:rsidR="00BF3B3C" w:rsidRDefault="00BF3B3C" w:rsidP="00BF3B3C">
      <w:pPr>
        <w:pStyle w:val="AnnualReportBullet"/>
        <w:tabs>
          <w:tab w:val="left" w:pos="360"/>
        </w:tabs>
        <w:ind w:left="360" w:hanging="360"/>
      </w:pPr>
      <w:r w:rsidRPr="007D2ECF">
        <w:rPr>
          <w:rFonts w:ascii="Symbol" w:hAnsi="Symbol"/>
        </w:rPr>
        <w:t></w:t>
      </w:r>
      <w:r w:rsidRPr="007D2ECF">
        <w:rPr>
          <w:rFonts w:ascii="Symbol" w:hAnsi="Symbol"/>
        </w:rPr>
        <w:tab/>
      </w:r>
      <w:r w:rsidRPr="007D2ECF">
        <w:t>a team responsible for preparing</w:t>
      </w:r>
      <w:r w:rsidRPr="00302949">
        <w:t xml:space="preserve"> </w:t>
      </w:r>
      <w:r w:rsidRPr="007D2ECF">
        <w:t>compilations,</w:t>
      </w:r>
      <w:r>
        <w:t xml:space="preserve"> </w:t>
      </w:r>
      <w:r w:rsidRPr="007D2ECF">
        <w:t xml:space="preserve">the operation of </w:t>
      </w:r>
      <w:r w:rsidR="006D1A4E" w:rsidRPr="007D2ECF">
        <w:t>the Legislation</w:t>
      </w:r>
      <w:r w:rsidR="006D1A4E">
        <w:t xml:space="preserve"> Register</w:t>
      </w:r>
      <w:r w:rsidRPr="007D2ECF">
        <w:t xml:space="preserve">, the publishing and the making of arrangements for the printing of Commonwealth legislation, and the publishing of the Government Notices </w:t>
      </w:r>
      <w:r>
        <w:t>Gazette</w:t>
      </w:r>
      <w:r w:rsidR="006D1A4E">
        <w:t>;</w:t>
      </w:r>
    </w:p>
    <w:p w:rsidR="00BF3B3C" w:rsidRPr="00302949" w:rsidRDefault="00BF3B3C" w:rsidP="00BF3B3C">
      <w:pPr>
        <w:pStyle w:val="AnnualReportBullet"/>
        <w:tabs>
          <w:tab w:val="left" w:pos="360"/>
        </w:tabs>
        <w:ind w:left="360" w:hanging="360"/>
      </w:pPr>
      <w:r w:rsidRPr="007D2ECF">
        <w:rPr>
          <w:rFonts w:ascii="Symbol" w:hAnsi="Symbol"/>
        </w:rPr>
        <w:t></w:t>
      </w:r>
      <w:r w:rsidRPr="007D2ECF">
        <w:rPr>
          <w:rFonts w:ascii="Symbol" w:hAnsi="Symbol"/>
        </w:rPr>
        <w:tab/>
      </w:r>
      <w:r w:rsidRPr="00FF3A11">
        <w:t>a team r</w:t>
      </w:r>
      <w:r>
        <w:t xml:space="preserve">esponsible for </w:t>
      </w:r>
      <w:r w:rsidRPr="00302949">
        <w:t>proofreading</w:t>
      </w:r>
      <w:r w:rsidRPr="007D2ECF">
        <w:t xml:space="preserve"> and editorial checking</w:t>
      </w:r>
      <w:r>
        <w:t xml:space="preserve"> of all draft legislation drafted in OPC</w:t>
      </w:r>
      <w:r w:rsidRPr="007D2ECF">
        <w:t>; and</w:t>
      </w:r>
    </w:p>
    <w:p w:rsidR="00BF3B3C" w:rsidRPr="007D2ECF" w:rsidRDefault="00BF3B3C" w:rsidP="00BF3B3C">
      <w:pPr>
        <w:pStyle w:val="AnnualReportBullet"/>
        <w:tabs>
          <w:tab w:val="left" w:pos="360"/>
        </w:tabs>
        <w:ind w:left="360" w:hanging="360"/>
      </w:pPr>
      <w:r w:rsidRPr="007D2ECF">
        <w:rPr>
          <w:rFonts w:ascii="Symbol" w:hAnsi="Symbol"/>
        </w:rPr>
        <w:t></w:t>
      </w:r>
      <w:r w:rsidRPr="007D2ECF">
        <w:rPr>
          <w:rFonts w:ascii="Symbol" w:hAnsi="Symbol"/>
        </w:rPr>
        <w:tab/>
      </w:r>
      <w:r w:rsidRPr="007D2ECF">
        <w:t xml:space="preserve">a team responsible for the development and operation of the </w:t>
      </w:r>
      <w:r w:rsidR="006D1A4E" w:rsidRPr="007D2ECF">
        <w:t>Legislation</w:t>
      </w:r>
      <w:r w:rsidR="006D1A4E">
        <w:t xml:space="preserve"> Register</w:t>
      </w:r>
      <w:r w:rsidRPr="007D2ECF">
        <w:t xml:space="preserve"> website.</w:t>
      </w:r>
    </w:p>
    <w:p w:rsidR="00AA50C8" w:rsidRDefault="00AA50C8" w:rsidP="00AA50C8">
      <w:pPr>
        <w:pStyle w:val="BodyNum"/>
      </w:pPr>
      <w:r>
        <w:t>OPC’s Corporate Services group, headed by the General Manager and Chief Finance Officer, consists of:</w:t>
      </w:r>
    </w:p>
    <w:p w:rsidR="00AA50C8" w:rsidRDefault="00AA50C8" w:rsidP="00AA50C8">
      <w:pPr>
        <w:pStyle w:val="AnnualReportBullet"/>
        <w:tabs>
          <w:tab w:val="left" w:pos="360"/>
        </w:tabs>
        <w:ind w:left="360" w:hanging="360"/>
      </w:pPr>
      <w:r>
        <w:rPr>
          <w:rFonts w:ascii="Symbol" w:hAnsi="Symbol"/>
        </w:rPr>
        <w:t></w:t>
      </w:r>
      <w:r>
        <w:rPr>
          <w:rFonts w:ascii="Symbol" w:hAnsi="Symbol"/>
        </w:rPr>
        <w:tab/>
      </w:r>
      <w:r>
        <w:t>an Information Technology (</w:t>
      </w:r>
      <w:r w:rsidRPr="009D5AD7">
        <w:rPr>
          <w:b/>
          <w:i/>
        </w:rPr>
        <w:t>IT</w:t>
      </w:r>
      <w:r>
        <w:t>) section that manages, maintains and supports OPC’s IT environment;</w:t>
      </w:r>
    </w:p>
    <w:p w:rsidR="001C6802" w:rsidRDefault="001C6802" w:rsidP="001C6802">
      <w:pPr>
        <w:pStyle w:val="AnnualReportBullet"/>
        <w:tabs>
          <w:tab w:val="left" w:pos="360"/>
        </w:tabs>
        <w:ind w:left="360" w:hanging="360"/>
      </w:pPr>
      <w:r>
        <w:rPr>
          <w:rFonts w:ascii="Symbol" w:hAnsi="Symbol"/>
        </w:rPr>
        <w:t></w:t>
      </w:r>
      <w:r>
        <w:rPr>
          <w:rFonts w:ascii="Symbol" w:hAnsi="Symbol"/>
        </w:rPr>
        <w:tab/>
      </w:r>
      <w:r>
        <w:t xml:space="preserve">staff </w:t>
      </w:r>
      <w:r w:rsidR="00FA27B8">
        <w:t xml:space="preserve">providing </w:t>
      </w:r>
      <w:r>
        <w:t>human resources and financial services</w:t>
      </w:r>
      <w:r w:rsidR="00FA27B8">
        <w:t>;</w:t>
      </w:r>
    </w:p>
    <w:p w:rsidR="00FA27B8" w:rsidRDefault="00FA27B8" w:rsidP="00FA27B8">
      <w:pPr>
        <w:pStyle w:val="AnnualReportBullet"/>
        <w:tabs>
          <w:tab w:val="left" w:pos="360"/>
        </w:tabs>
        <w:ind w:left="360" w:hanging="360"/>
      </w:pPr>
      <w:r>
        <w:rPr>
          <w:rFonts w:ascii="Symbol" w:hAnsi="Symbol"/>
        </w:rPr>
        <w:t></w:t>
      </w:r>
      <w:r>
        <w:rPr>
          <w:rFonts w:ascii="Symbol" w:hAnsi="Symbol"/>
        </w:rPr>
        <w:tab/>
      </w:r>
      <w:r>
        <w:t>staff providing administrative support, records management,</w:t>
      </w:r>
      <w:r w:rsidR="00C6754E">
        <w:t xml:space="preserve"> and</w:t>
      </w:r>
      <w:r>
        <w:t xml:space="preserve"> property and security services; and</w:t>
      </w:r>
    </w:p>
    <w:p w:rsidR="00AA50C8" w:rsidRDefault="00AA50C8" w:rsidP="00AA50C8">
      <w:pPr>
        <w:pStyle w:val="AnnualReportBullet"/>
        <w:tabs>
          <w:tab w:val="left" w:pos="360"/>
        </w:tabs>
        <w:ind w:left="360" w:hanging="360"/>
      </w:pPr>
      <w:r>
        <w:rPr>
          <w:rFonts w:ascii="Symbol" w:hAnsi="Symbol"/>
        </w:rPr>
        <w:t></w:t>
      </w:r>
      <w:r>
        <w:rPr>
          <w:rFonts w:ascii="Symbol" w:hAnsi="Symbol"/>
        </w:rPr>
        <w:tab/>
      </w:r>
      <w:r w:rsidR="00FA27B8">
        <w:t>a legislation team</w:t>
      </w:r>
      <w:r>
        <w:t xml:space="preserve"> re</w:t>
      </w:r>
      <w:r w:rsidR="00FA27B8">
        <w:t>sponsible for</w:t>
      </w:r>
      <w:r>
        <w:t xml:space="preserve"> arranging for Bills to be </w:t>
      </w:r>
      <w:r w:rsidR="00FA27B8">
        <w:t>printed, tabled and related tasks.</w:t>
      </w:r>
    </w:p>
    <w:p w:rsidR="00BF3A89" w:rsidRDefault="00BF3A89" w:rsidP="00BF3A89">
      <w:pPr>
        <w:pStyle w:val="Head3"/>
      </w:pPr>
      <w:bookmarkStart w:id="27" w:name="_Toc463613730"/>
      <w:r>
        <w:t>Outcome and program structure</w:t>
      </w:r>
      <w:bookmarkEnd w:id="27"/>
    </w:p>
    <w:p w:rsidR="007B7E67" w:rsidRDefault="00C6754E" w:rsidP="00AA50C8">
      <w:pPr>
        <w:pStyle w:val="BodyNum"/>
      </w:pPr>
      <w:bookmarkStart w:id="28" w:name="_Ref113169255"/>
      <w:r>
        <w:t>OPC’s outcome for</w:t>
      </w:r>
      <w:r w:rsidR="00AA50C8">
        <w:t xml:space="preserve"> 201</w:t>
      </w:r>
      <w:r w:rsidR="006F40BF">
        <w:t>5</w:t>
      </w:r>
      <w:r w:rsidR="00AA50C8">
        <w:t>-201</w:t>
      </w:r>
      <w:r w:rsidR="006F40BF">
        <w:t>6</w:t>
      </w:r>
      <w:r>
        <w:t xml:space="preserve"> i</w:t>
      </w:r>
      <w:r w:rsidR="00AA50C8">
        <w:t>s “A body of Commonwealth laws and instruments that give effect to intended policy, and that are coherent, readable and readily accessible, through the drafting and publication of those laws and instruments”.</w:t>
      </w:r>
    </w:p>
    <w:bookmarkEnd w:id="28"/>
    <w:p w:rsidR="00AA50C8" w:rsidRPr="007B7E67" w:rsidRDefault="00AA50C8" w:rsidP="00AA50C8">
      <w:pPr>
        <w:pStyle w:val="BodyNum"/>
        <w:tabs>
          <w:tab w:val="clear" w:pos="720"/>
        </w:tabs>
      </w:pPr>
      <w:r>
        <w:t>For 201</w:t>
      </w:r>
      <w:r w:rsidR="006F40BF">
        <w:t>5</w:t>
      </w:r>
      <w:r>
        <w:t>-201</w:t>
      </w:r>
      <w:r w:rsidR="006F40BF">
        <w:t>6</w:t>
      </w:r>
      <w:r>
        <w:t xml:space="preserve">, OPC had one program and 5 program components contributing to meeting the </w:t>
      </w:r>
      <w:r w:rsidRPr="007B7E67">
        <w:t xml:space="preserve">outcome. </w:t>
      </w:r>
      <w:r>
        <w:t xml:space="preserve">The program was legislative drafting and publication. </w:t>
      </w:r>
      <w:r w:rsidRPr="007B7E67">
        <w:t xml:space="preserve">The program components </w:t>
      </w:r>
      <w:r>
        <w:t>were</w:t>
      </w:r>
      <w:r w:rsidRPr="007B7E67">
        <w:t>:</w:t>
      </w:r>
    </w:p>
    <w:p w:rsidR="00AA50C8" w:rsidRPr="007B7E67"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sidRPr="007B7E67">
        <w:rPr>
          <w:rFonts w:ascii="Arial" w:hAnsi="Arial"/>
          <w:sz w:val="20"/>
        </w:rPr>
        <w:t>Legislation;</w:t>
      </w:r>
    </w:p>
    <w:p w:rsidR="00AA50C8" w:rsidRPr="007B7E67"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Pr>
          <w:rFonts w:ascii="Arial" w:hAnsi="Arial"/>
          <w:sz w:val="20"/>
        </w:rPr>
        <w:t>Program</w:t>
      </w:r>
      <w:r w:rsidRPr="007B7E67">
        <w:rPr>
          <w:rFonts w:ascii="Arial" w:hAnsi="Arial"/>
          <w:sz w:val="20"/>
        </w:rPr>
        <w:t xml:space="preserve"> and project management;</w:t>
      </w:r>
    </w:p>
    <w:p w:rsidR="00AA50C8"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sidRPr="007B7E67">
        <w:rPr>
          <w:rFonts w:ascii="Arial" w:hAnsi="Arial"/>
          <w:sz w:val="20"/>
        </w:rPr>
        <w:t>Legi</w:t>
      </w:r>
      <w:r>
        <w:rPr>
          <w:rFonts w:ascii="Arial" w:hAnsi="Arial"/>
          <w:sz w:val="20"/>
        </w:rPr>
        <w:t>slative drafting capability;</w:t>
      </w:r>
    </w:p>
    <w:p w:rsidR="00AA50C8" w:rsidRPr="007B7E67"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Pr>
          <w:rFonts w:ascii="Arial" w:hAnsi="Arial"/>
          <w:sz w:val="20"/>
        </w:rPr>
        <w:t>Standardisation and quality control of legislation</w:t>
      </w:r>
      <w:r w:rsidRPr="007B7E67">
        <w:rPr>
          <w:rFonts w:ascii="Arial" w:hAnsi="Arial"/>
          <w:sz w:val="20"/>
        </w:rPr>
        <w:t>; and</w:t>
      </w:r>
    </w:p>
    <w:p w:rsidR="007B7E67"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Pr>
          <w:rFonts w:ascii="Arial" w:hAnsi="Arial"/>
          <w:sz w:val="20"/>
        </w:rPr>
        <w:t>Publication.</w:t>
      </w:r>
    </w:p>
    <w:p w:rsidR="006F40BF" w:rsidRDefault="006F40BF" w:rsidP="006F40BF">
      <w:pPr>
        <w:pStyle w:val="Head3"/>
      </w:pPr>
      <w:bookmarkStart w:id="29" w:name="_Toc463613731"/>
      <w:r>
        <w:t>Purpose</w:t>
      </w:r>
      <w:bookmarkEnd w:id="29"/>
    </w:p>
    <w:p w:rsidR="00DD32A7" w:rsidRDefault="00DD32A7" w:rsidP="00DD32A7">
      <w:pPr>
        <w:pStyle w:val="BodyNum"/>
      </w:pPr>
      <w:r>
        <w:t>OPC’s purpose</w:t>
      </w:r>
      <w:r w:rsidR="00762035">
        <w:t>s</w:t>
      </w:r>
      <w:r>
        <w:t xml:space="preserve"> </w:t>
      </w:r>
      <w:r w:rsidR="00762035">
        <w:t>are</w:t>
      </w:r>
      <w:r>
        <w:t xml:space="preserve"> derived from our enabling legislation and our outcome under the appropriation Acts.</w:t>
      </w:r>
    </w:p>
    <w:p w:rsidR="006F40BF" w:rsidRDefault="006F40BF" w:rsidP="006F40BF">
      <w:pPr>
        <w:pStyle w:val="BodyNum"/>
      </w:pPr>
      <w:r>
        <w:t>OPC’s purpose</w:t>
      </w:r>
      <w:r w:rsidR="00762035">
        <w:t>s</w:t>
      </w:r>
      <w:r>
        <w:t xml:space="preserve"> </w:t>
      </w:r>
      <w:r w:rsidR="00762035">
        <w:t>are</w:t>
      </w:r>
      <w:r>
        <w:t xml:space="preserve"> to:</w:t>
      </w:r>
    </w:p>
    <w:p w:rsidR="006F40BF" w:rsidRPr="007B7E67" w:rsidRDefault="006F40BF" w:rsidP="006F40BF">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Pr>
          <w:rFonts w:ascii="Arial" w:hAnsi="Arial"/>
          <w:sz w:val="20"/>
        </w:rPr>
        <w:t>enable government to carry out its legislative program through the drafting of all Bills, all legislative instruments to be made or approved by the Governor-General (Federal Executive Council instruments) and a range of other instruments</w:t>
      </w:r>
      <w:r w:rsidRPr="007B7E67">
        <w:rPr>
          <w:rFonts w:ascii="Arial" w:hAnsi="Arial"/>
          <w:sz w:val="20"/>
        </w:rPr>
        <w:t>;</w:t>
      </w:r>
      <w:r>
        <w:rPr>
          <w:rFonts w:ascii="Arial" w:hAnsi="Arial"/>
          <w:sz w:val="20"/>
        </w:rPr>
        <w:t xml:space="preserve"> and</w:t>
      </w:r>
    </w:p>
    <w:p w:rsidR="006F40BF" w:rsidRPr="00DD32A7" w:rsidRDefault="006F40BF" w:rsidP="00DD32A7">
      <w:pPr>
        <w:tabs>
          <w:tab w:val="left" w:pos="360"/>
        </w:tabs>
        <w:spacing w:before="60" w:line="300" w:lineRule="exact"/>
        <w:ind w:left="360" w:hanging="360"/>
        <w:rPr>
          <w:rFonts w:ascii="Arial" w:hAnsi="Arial"/>
          <w:sz w:val="20"/>
        </w:rPr>
        <w:sectPr w:rsidR="006F40BF" w:rsidRPr="00DD32A7">
          <w:headerReference w:type="even" r:id="rId31"/>
          <w:headerReference w:type="default" r:id="rId32"/>
          <w:footerReference w:type="even" r:id="rId33"/>
          <w:footerReference w:type="default" r:id="rId34"/>
          <w:type w:val="continuous"/>
          <w:pgSz w:w="11907" w:h="16839" w:code="9"/>
          <w:pgMar w:top="1134" w:right="2410" w:bottom="4253" w:left="2410" w:header="510" w:footer="3402" w:gutter="0"/>
          <w:cols w:num="2" w:space="709"/>
          <w:docGrid w:linePitch="326"/>
        </w:sectPr>
      </w:pPr>
      <w:r w:rsidRPr="007B7E67">
        <w:rPr>
          <w:rFonts w:ascii="Symbol" w:hAnsi="Symbol"/>
          <w:sz w:val="20"/>
        </w:rPr>
        <w:t></w:t>
      </w:r>
      <w:r w:rsidRPr="007B7E67">
        <w:rPr>
          <w:rFonts w:ascii="Symbol" w:hAnsi="Symbol"/>
          <w:sz w:val="20"/>
        </w:rPr>
        <w:tab/>
      </w:r>
      <w:r>
        <w:rPr>
          <w:rFonts w:ascii="Arial" w:hAnsi="Arial"/>
          <w:sz w:val="20"/>
        </w:rPr>
        <w:t>ensure Commonwealth laws and instruments are freely available and accessible to everyone by publishing those laws and instruments</w:t>
      </w:r>
      <w:r w:rsidR="00926EA4">
        <w:rPr>
          <w:rFonts w:ascii="Arial" w:hAnsi="Arial"/>
          <w:sz w:val="20"/>
        </w:rPr>
        <w:t xml:space="preserve"> on the </w:t>
      </w:r>
      <w:r w:rsidR="003C6CE5">
        <w:rPr>
          <w:rFonts w:ascii="Arial" w:hAnsi="Arial"/>
          <w:sz w:val="20"/>
        </w:rPr>
        <w:t>Legislation</w:t>
      </w:r>
      <w:r w:rsidR="00926EA4">
        <w:rPr>
          <w:rFonts w:ascii="Arial" w:hAnsi="Arial"/>
          <w:sz w:val="20"/>
        </w:rPr>
        <w:t xml:space="preserve"> Register</w:t>
      </w:r>
      <w:r w:rsidR="003C6CE5">
        <w:rPr>
          <w:rFonts w:ascii="Arial" w:hAnsi="Arial"/>
          <w:sz w:val="20"/>
        </w:rPr>
        <w:t xml:space="preserve"> </w:t>
      </w:r>
      <w:r>
        <w:rPr>
          <w:rFonts w:ascii="Arial" w:hAnsi="Arial"/>
          <w:sz w:val="20"/>
        </w:rPr>
        <w:t>website.</w:t>
      </w:r>
    </w:p>
    <w:p w:rsidR="00BF3A89" w:rsidRDefault="00BF3A89" w:rsidP="00BF3A89">
      <w:pPr>
        <w:pStyle w:val="AnnualReportBullet"/>
        <w:tabs>
          <w:tab w:val="left" w:pos="360"/>
        </w:tabs>
        <w:ind w:left="360" w:hanging="360"/>
        <w:sectPr w:rsidR="00BF3A89">
          <w:headerReference w:type="even" r:id="rId35"/>
          <w:headerReference w:type="default" r:id="rId36"/>
          <w:footerReference w:type="even" r:id="rId37"/>
          <w:footerReference w:type="default" r:id="rId38"/>
          <w:type w:val="continuous"/>
          <w:pgSz w:w="11907" w:h="16839" w:code="9"/>
          <w:pgMar w:top="1134" w:right="2410" w:bottom="4253" w:left="2410" w:header="510" w:footer="3402" w:gutter="0"/>
          <w:cols w:num="2" w:space="709"/>
          <w:docGrid w:linePitch="326"/>
        </w:sectPr>
      </w:pPr>
    </w:p>
    <w:p w:rsidR="003B561A" w:rsidRDefault="00B37353" w:rsidP="005710B8">
      <w:pPr>
        <w:pStyle w:val="Head2"/>
        <w:pageBreakBefore/>
      </w:pPr>
      <w:bookmarkStart w:id="30" w:name="_Toc463613732"/>
      <w:r>
        <w:t>Chapter 2—</w:t>
      </w:r>
      <w:r w:rsidR="006A126B">
        <w:t>Annual Performance Statement</w:t>
      </w:r>
      <w:bookmarkEnd w:id="30"/>
    </w:p>
    <w:p w:rsidR="005710B8" w:rsidRDefault="00C72777" w:rsidP="005C7ADA">
      <w:pPr>
        <w:pStyle w:val="Head3"/>
      </w:pPr>
      <w:bookmarkStart w:id="31" w:name="_Toc463613733"/>
      <w:r>
        <w:t>I</w:t>
      </w:r>
      <w:r w:rsidR="003C6CE5">
        <w:t>ntroductory s</w:t>
      </w:r>
      <w:r>
        <w:t>tatement</w:t>
      </w:r>
      <w:bookmarkEnd w:id="31"/>
    </w:p>
    <w:p w:rsidR="005710B8" w:rsidRPr="005710B8" w:rsidRDefault="005710B8" w:rsidP="005710B8">
      <w:pPr>
        <w:pStyle w:val="BodyNum"/>
        <w:sectPr w:rsidR="005710B8" w:rsidRPr="005710B8" w:rsidSect="005710B8">
          <w:type w:val="continuous"/>
          <w:pgSz w:w="11907" w:h="16839" w:code="9"/>
          <w:pgMar w:top="1134" w:right="2410" w:bottom="4253" w:left="2410" w:header="510" w:footer="3402" w:gutter="0"/>
          <w:cols w:space="709"/>
          <w:docGrid w:linePitch="326"/>
        </w:sectPr>
      </w:pPr>
    </w:p>
    <w:p w:rsidR="005710B8" w:rsidRDefault="00C72777" w:rsidP="00BB5E83">
      <w:pPr>
        <w:pStyle w:val="BodyNum"/>
        <w:sectPr w:rsidR="005710B8" w:rsidSect="003B561A">
          <w:type w:val="continuous"/>
          <w:pgSz w:w="11907" w:h="16839" w:code="9"/>
          <w:pgMar w:top="1134" w:right="2410" w:bottom="4253" w:left="2410" w:header="510" w:footer="3402" w:gutter="0"/>
          <w:cols w:num="2" w:space="709"/>
          <w:docGrid w:linePitch="326"/>
        </w:sectPr>
      </w:pPr>
      <w:r>
        <w:t xml:space="preserve">The annual performance statement has been prepared in accordance with section 39(1)(a) of the </w:t>
      </w:r>
      <w:r w:rsidRPr="00BB5E83">
        <w:rPr>
          <w:i/>
        </w:rPr>
        <w:t>P</w:t>
      </w:r>
      <w:r w:rsidR="00BB5E83" w:rsidRPr="00BB5E83">
        <w:rPr>
          <w:i/>
        </w:rPr>
        <w:t xml:space="preserve">ublic </w:t>
      </w:r>
      <w:r w:rsidRPr="00BB5E83">
        <w:rPr>
          <w:i/>
        </w:rPr>
        <w:t>G</w:t>
      </w:r>
      <w:r w:rsidR="00BB5E83" w:rsidRPr="00BB5E83">
        <w:rPr>
          <w:i/>
        </w:rPr>
        <w:t xml:space="preserve">overnance, </w:t>
      </w:r>
      <w:r w:rsidRPr="00BB5E83">
        <w:rPr>
          <w:i/>
        </w:rPr>
        <w:t>P</w:t>
      </w:r>
      <w:r w:rsidR="00BB5E83" w:rsidRPr="00BB5E83">
        <w:rPr>
          <w:i/>
        </w:rPr>
        <w:t xml:space="preserve">erformance and </w:t>
      </w:r>
      <w:r w:rsidRPr="00BB5E83">
        <w:rPr>
          <w:i/>
        </w:rPr>
        <w:t>A</w:t>
      </w:r>
      <w:r w:rsidR="00BB5E83" w:rsidRPr="00BB5E83">
        <w:rPr>
          <w:i/>
        </w:rPr>
        <w:t>ccountability</w:t>
      </w:r>
      <w:r w:rsidRPr="00BB5E83">
        <w:rPr>
          <w:i/>
        </w:rPr>
        <w:t xml:space="preserve"> Act</w:t>
      </w:r>
      <w:r w:rsidR="00BB5E83" w:rsidRPr="00BB5E83">
        <w:rPr>
          <w:i/>
        </w:rPr>
        <w:t xml:space="preserve"> 2013</w:t>
      </w:r>
      <w:r w:rsidR="00BB5E83">
        <w:t xml:space="preserve"> (</w:t>
      </w:r>
      <w:r w:rsidR="00926EA4" w:rsidRPr="00926EA4">
        <w:rPr>
          <w:b/>
          <w:i/>
        </w:rPr>
        <w:t xml:space="preserve">the </w:t>
      </w:r>
      <w:r w:rsidR="00BB5E83" w:rsidRPr="00BB5E83">
        <w:rPr>
          <w:b/>
          <w:i/>
        </w:rPr>
        <w:t>PGPA Act</w:t>
      </w:r>
      <w:r w:rsidR="00BB5E83">
        <w:t>)</w:t>
      </w:r>
      <w:r>
        <w:t xml:space="preserve"> for the 2015-16 financial year and accurately presents OPC’s performance in accordance with section 39(2) of the PGPA Act.</w:t>
      </w:r>
    </w:p>
    <w:p w:rsidR="00C72777" w:rsidRPr="003C6CE5" w:rsidRDefault="00C72777" w:rsidP="005C7ADA">
      <w:pPr>
        <w:pStyle w:val="Head3"/>
      </w:pPr>
      <w:bookmarkStart w:id="32" w:name="_Toc463613734"/>
      <w:r>
        <w:t>OPC’s purposes</w:t>
      </w:r>
      <w:r w:rsidR="005C7ADA">
        <w:t xml:space="preserve"> and results</w:t>
      </w:r>
      <w:bookmarkEnd w:id="32"/>
    </w:p>
    <w:p w:rsidR="00C72777" w:rsidRPr="00C72777" w:rsidRDefault="00C72777" w:rsidP="00C72777">
      <w:pPr>
        <w:rPr>
          <w:rFonts w:ascii="Arial" w:hAnsi="Arial" w:cs="Arial"/>
          <w:b/>
          <w:i/>
          <w:color w:val="0000FF"/>
          <w:kern w:val="28"/>
          <w:sz w:val="26"/>
          <w:szCs w:val="36"/>
        </w:rPr>
      </w:pPr>
    </w:p>
    <w:tbl>
      <w:tblPr>
        <w:tblW w:w="0" w:type="auto"/>
        <w:tblBorders>
          <w:top w:val="single" w:sz="12" w:space="0" w:color="auto"/>
          <w:bottom w:val="single" w:sz="12" w:space="0" w:color="000000"/>
          <w:insideH w:val="single" w:sz="2" w:space="0" w:color="000000"/>
        </w:tblBorders>
        <w:tblLook w:val="0020" w:firstRow="1" w:lastRow="0" w:firstColumn="0" w:lastColumn="0" w:noHBand="0" w:noVBand="0"/>
      </w:tblPr>
      <w:tblGrid>
        <w:gridCol w:w="7303"/>
      </w:tblGrid>
      <w:tr w:rsidR="00885363" w:rsidRPr="00CB554F" w:rsidTr="00B52342">
        <w:trPr>
          <w:tblHeader/>
        </w:trPr>
        <w:tc>
          <w:tcPr>
            <w:tcW w:w="7303" w:type="dxa"/>
            <w:tcBorders>
              <w:top w:val="single" w:sz="12" w:space="0" w:color="auto"/>
              <w:bottom w:val="single" w:sz="12" w:space="0" w:color="auto"/>
            </w:tcBorders>
            <w:shd w:val="clear" w:color="auto" w:fill="auto"/>
            <w:vAlign w:val="center"/>
          </w:tcPr>
          <w:p w:rsidR="00885363" w:rsidRDefault="00885363" w:rsidP="00B52342">
            <w:pPr>
              <w:pStyle w:val="Tabletexthead"/>
              <w:spacing w:before="0" w:after="0"/>
            </w:pPr>
            <w:r>
              <w:t>Purpose 1—Legislative drafting</w:t>
            </w:r>
          </w:p>
          <w:p w:rsidR="00885363" w:rsidRDefault="00885363" w:rsidP="00B52342">
            <w:pPr>
              <w:pStyle w:val="Tabletext"/>
              <w:spacing w:before="0"/>
            </w:pPr>
            <w:r>
              <w:t>E</w:t>
            </w:r>
            <w:r w:rsidRPr="00D34211">
              <w:t>nable the government to carry out its legislative program through the drafting of all Bills, all legislative instruments to be made or approved by the Governor-General (Federal Executive Council (</w:t>
            </w:r>
            <w:r w:rsidRPr="008A41E2">
              <w:rPr>
                <w:b/>
                <w:i/>
              </w:rPr>
              <w:t>ExCo</w:t>
            </w:r>
            <w:r w:rsidRPr="00D34211">
              <w:t>) instruments) and a range of other instruments</w:t>
            </w:r>
          </w:p>
        </w:tc>
      </w:tr>
    </w:tbl>
    <w:p w:rsidR="009B4F97" w:rsidRDefault="009B4F97"/>
    <w:tbl>
      <w:tblPr>
        <w:tblW w:w="0" w:type="auto"/>
        <w:tblBorders>
          <w:top w:val="single" w:sz="12" w:space="0" w:color="auto"/>
          <w:bottom w:val="single" w:sz="12" w:space="0" w:color="000000"/>
          <w:insideH w:val="single" w:sz="2" w:space="0" w:color="000000"/>
        </w:tblBorders>
        <w:tblLook w:val="0020" w:firstRow="1" w:lastRow="0" w:firstColumn="0" w:lastColumn="0" w:noHBand="0" w:noVBand="0"/>
      </w:tblPr>
      <w:tblGrid>
        <w:gridCol w:w="3085"/>
        <w:gridCol w:w="4218"/>
      </w:tblGrid>
      <w:tr w:rsidR="00885363" w:rsidRPr="00CB554F" w:rsidTr="00B52342">
        <w:trPr>
          <w:tblHeader/>
        </w:trPr>
        <w:tc>
          <w:tcPr>
            <w:tcW w:w="7303" w:type="dxa"/>
            <w:gridSpan w:val="2"/>
            <w:tcBorders>
              <w:top w:val="single" w:sz="12" w:space="0" w:color="auto"/>
            </w:tcBorders>
            <w:shd w:val="clear" w:color="auto" w:fill="auto"/>
            <w:vAlign w:val="center"/>
          </w:tcPr>
          <w:p w:rsidR="00885363" w:rsidRDefault="009C3C58" w:rsidP="00B52342">
            <w:pPr>
              <w:pStyle w:val="Tabletexthead"/>
              <w:spacing w:before="0" w:after="0"/>
            </w:pPr>
            <w:r>
              <w:t>Results for P</w:t>
            </w:r>
            <w:r w:rsidR="00885363">
              <w:t>urpose 1</w:t>
            </w: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Performance criteria 1.1</w:t>
            </w:r>
          </w:p>
        </w:tc>
      </w:tr>
      <w:tr w:rsidR="00885363" w:rsidRPr="00CB554F" w:rsidTr="006A126B">
        <w:tc>
          <w:tcPr>
            <w:tcW w:w="7303" w:type="dxa"/>
            <w:gridSpan w:val="2"/>
            <w:shd w:val="clear" w:color="auto" w:fill="auto"/>
          </w:tcPr>
          <w:p w:rsidR="00885363" w:rsidRPr="00AF65B6" w:rsidRDefault="00885363" w:rsidP="00AF65B6">
            <w:pPr>
              <w:pStyle w:val="Tabletext"/>
              <w:spacing w:before="0"/>
              <w:ind w:left="284"/>
            </w:pPr>
            <w:r w:rsidRPr="00AF65B6">
              <w:rPr>
                <w:b/>
                <w:i/>
              </w:rPr>
              <w:t>Criteria</w:t>
            </w:r>
            <w:r w:rsidR="00AF65B6" w:rsidRPr="00AF65B6">
              <w:rPr>
                <w:b/>
                <w:i/>
              </w:rPr>
              <w:t>:</w:t>
            </w:r>
            <w:r w:rsidR="00AF65B6" w:rsidRPr="00AF65B6">
              <w:t xml:space="preserve"> </w:t>
            </w:r>
            <w:r w:rsidRPr="00AF65B6">
              <w:t>Proportion of client surveys that indicate Bills and ExCo instruments reflect sponsors’ policy intentions and are legally effective</w:t>
            </w:r>
          </w:p>
          <w:p w:rsidR="00AF65B6" w:rsidRPr="00AF65B6" w:rsidRDefault="00885363" w:rsidP="003544A9">
            <w:pPr>
              <w:pStyle w:val="Tabletext"/>
              <w:spacing w:before="0"/>
              <w:ind w:left="284"/>
            </w:pPr>
            <w:r w:rsidRPr="00AF65B6">
              <w:rPr>
                <w:b/>
                <w:i/>
              </w:rPr>
              <w:t>Source</w:t>
            </w:r>
            <w:r w:rsidR="00AF65B6" w:rsidRPr="00AF65B6">
              <w:rPr>
                <w:b/>
                <w:i/>
              </w:rPr>
              <w:t>:</w:t>
            </w:r>
            <w:r w:rsidR="00AF65B6">
              <w:t xml:space="preserve"> </w:t>
            </w:r>
            <w:r w:rsidR="003544A9">
              <w:t>Corporate Plan 2015-</w:t>
            </w:r>
            <w:r>
              <w:t>16; P</w:t>
            </w:r>
            <w:r w:rsidR="00926EA4">
              <w:t xml:space="preserve">ortfolio </w:t>
            </w:r>
            <w:r>
              <w:t>B</w:t>
            </w:r>
            <w:r w:rsidR="00926EA4">
              <w:t xml:space="preserve">udget </w:t>
            </w:r>
            <w:r>
              <w:t>S</w:t>
            </w:r>
            <w:r w:rsidR="00926EA4">
              <w:t>tatement (</w:t>
            </w:r>
            <w:r w:rsidR="00926EA4" w:rsidRPr="00926EA4">
              <w:rPr>
                <w:b/>
                <w:i/>
              </w:rPr>
              <w:t>PBS</w:t>
            </w:r>
            <w:r w:rsidR="00926EA4">
              <w:t>)</w:t>
            </w:r>
            <w:r>
              <w:t xml:space="preserve"> 2015</w:t>
            </w:r>
            <w:r w:rsidR="003544A9">
              <w:t>-</w:t>
            </w:r>
            <w:r>
              <w:t>16, page 489</w:t>
            </w:r>
          </w:p>
        </w:tc>
      </w:tr>
      <w:tr w:rsidR="00AF65B6" w:rsidRPr="00AF65B6" w:rsidTr="009B4F97">
        <w:tc>
          <w:tcPr>
            <w:tcW w:w="3085" w:type="dxa"/>
            <w:shd w:val="clear" w:color="auto" w:fill="auto"/>
          </w:tcPr>
          <w:p w:rsidR="009B4F97" w:rsidRPr="00AF65B6" w:rsidRDefault="009B4F97" w:rsidP="009B4F97">
            <w:pPr>
              <w:pStyle w:val="Tabletexthead"/>
              <w:spacing w:before="0" w:after="0"/>
              <w:ind w:left="284"/>
              <w:rPr>
                <w:i/>
                <w:color w:val="auto"/>
              </w:rPr>
            </w:pPr>
            <w:r w:rsidRPr="00AF65B6">
              <w:rPr>
                <w:i/>
                <w:color w:val="auto"/>
              </w:rPr>
              <w:t>Target</w:t>
            </w:r>
          </w:p>
          <w:p w:rsidR="009B4F97" w:rsidRPr="00AF65B6" w:rsidRDefault="009B4F97" w:rsidP="009B4F97">
            <w:pPr>
              <w:pStyle w:val="Tabletext"/>
              <w:spacing w:before="0"/>
              <w:ind w:left="284"/>
              <w:rPr>
                <w:i/>
              </w:rPr>
            </w:pPr>
            <w:r w:rsidRPr="00AF65B6">
              <w:t>100%</w:t>
            </w:r>
          </w:p>
        </w:tc>
        <w:tc>
          <w:tcPr>
            <w:tcW w:w="4218" w:type="dxa"/>
            <w:shd w:val="clear" w:color="auto" w:fill="auto"/>
          </w:tcPr>
          <w:p w:rsidR="009B4F97" w:rsidRPr="00AF65B6" w:rsidRDefault="003544A9" w:rsidP="009B4F97">
            <w:pPr>
              <w:pStyle w:val="Tabletexthead"/>
              <w:spacing w:before="0" w:after="0"/>
              <w:rPr>
                <w:i/>
                <w:color w:val="auto"/>
              </w:rPr>
            </w:pPr>
            <w:r>
              <w:rPr>
                <w:i/>
                <w:color w:val="auto"/>
              </w:rPr>
              <w:t>Result</w:t>
            </w:r>
          </w:p>
          <w:p w:rsidR="009B4F97" w:rsidRPr="00AF65B6" w:rsidRDefault="009B4F97" w:rsidP="009B4F97">
            <w:pPr>
              <w:pStyle w:val="Tabletext"/>
              <w:spacing w:before="0"/>
              <w:rPr>
                <w:i/>
              </w:rPr>
            </w:pPr>
            <w:r w:rsidRPr="00AF65B6">
              <w:t>100%</w:t>
            </w:r>
          </w:p>
        </w:tc>
      </w:tr>
      <w:tr w:rsidR="00885363" w:rsidRPr="00CB554F" w:rsidTr="006A126B">
        <w:tc>
          <w:tcPr>
            <w:tcW w:w="7303" w:type="dxa"/>
            <w:gridSpan w:val="2"/>
            <w:shd w:val="clear" w:color="auto" w:fill="auto"/>
          </w:tcPr>
          <w:p w:rsidR="00885363" w:rsidRDefault="00885363" w:rsidP="00B52342">
            <w:pPr>
              <w:pStyle w:val="Tabletext"/>
              <w:spacing w:before="0"/>
              <w:ind w:left="567"/>
              <w:rPr>
                <w:i/>
              </w:rPr>
            </w:pPr>
          </w:p>
          <w:p w:rsidR="00AF65B6" w:rsidRDefault="00AF65B6" w:rsidP="00B52342">
            <w:pPr>
              <w:pStyle w:val="Tabletext"/>
              <w:spacing w:before="0"/>
              <w:ind w:left="567"/>
              <w:rPr>
                <w:i/>
              </w:rPr>
            </w:pP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Performance criteria 1.2</w:t>
            </w:r>
          </w:p>
        </w:tc>
      </w:tr>
      <w:tr w:rsidR="00885363" w:rsidRPr="00CB554F" w:rsidTr="006A126B">
        <w:tc>
          <w:tcPr>
            <w:tcW w:w="7303" w:type="dxa"/>
            <w:gridSpan w:val="2"/>
            <w:shd w:val="clear" w:color="auto" w:fill="auto"/>
          </w:tcPr>
          <w:p w:rsidR="00885363" w:rsidRDefault="00885363" w:rsidP="00AF65B6">
            <w:pPr>
              <w:pStyle w:val="Tabletext"/>
              <w:spacing w:before="0"/>
              <w:ind w:left="284"/>
            </w:pPr>
            <w:r w:rsidRPr="00AF65B6">
              <w:rPr>
                <w:b/>
                <w:i/>
              </w:rPr>
              <w:t>Criteria</w:t>
            </w:r>
            <w:r w:rsidR="00AF65B6" w:rsidRPr="00AF65B6">
              <w:rPr>
                <w:b/>
                <w:i/>
              </w:rPr>
              <w:t>:</w:t>
            </w:r>
            <w:r w:rsidR="003544A9">
              <w:rPr>
                <w:b/>
                <w:i/>
              </w:rPr>
              <w:t xml:space="preserve"> </w:t>
            </w:r>
            <w:r w:rsidRPr="0098121C">
              <w:t>Average rating (rating scale 1-5) received on client survey forms for overall satisfaction with the drafting process and draft legislation</w:t>
            </w:r>
          </w:p>
          <w:p w:rsidR="00885363" w:rsidRPr="00AF65B6" w:rsidRDefault="00885363" w:rsidP="003544A9">
            <w:pPr>
              <w:pStyle w:val="Tabletext"/>
              <w:spacing w:before="0"/>
              <w:ind w:left="284"/>
            </w:pPr>
            <w:r w:rsidRPr="00AF65B6">
              <w:rPr>
                <w:b/>
                <w:i/>
              </w:rPr>
              <w:t>Source</w:t>
            </w:r>
            <w:r w:rsidR="00AF65B6" w:rsidRPr="00AF65B6">
              <w:rPr>
                <w:b/>
                <w:i/>
              </w:rPr>
              <w:t>:</w:t>
            </w:r>
            <w:r w:rsidR="00AF65B6">
              <w:t xml:space="preserve"> </w:t>
            </w:r>
            <w:r w:rsidR="003544A9">
              <w:t>Corporate Plan 2015-</w:t>
            </w:r>
            <w:r>
              <w:t>16; PB</w:t>
            </w:r>
            <w:r w:rsidR="003544A9">
              <w:t>S 2015-</w:t>
            </w:r>
            <w:r>
              <w:t>16, page 488</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9B4F97" w:rsidP="006D55AF">
            <w:pPr>
              <w:pStyle w:val="Tabletext"/>
              <w:spacing w:before="0"/>
              <w:ind w:left="284"/>
              <w:rPr>
                <w:i/>
              </w:rPr>
            </w:pPr>
            <w:r w:rsidRPr="00AF65B6">
              <w:t>≥</w:t>
            </w:r>
            <w:r w:rsidR="00926EA4">
              <w:t xml:space="preserve"> </w:t>
            </w:r>
            <w:r w:rsidRPr="00AF65B6">
              <w:t>4</w:t>
            </w:r>
          </w:p>
        </w:tc>
        <w:tc>
          <w:tcPr>
            <w:tcW w:w="4218" w:type="dxa"/>
            <w:shd w:val="clear" w:color="auto" w:fill="auto"/>
          </w:tcPr>
          <w:p w:rsidR="009B4F97" w:rsidRPr="00AF65B6" w:rsidRDefault="003544A9" w:rsidP="006D55AF">
            <w:pPr>
              <w:pStyle w:val="Tabletexthead"/>
              <w:spacing w:before="0" w:after="0"/>
              <w:rPr>
                <w:i/>
                <w:color w:val="auto"/>
              </w:rPr>
            </w:pPr>
            <w:r>
              <w:rPr>
                <w:i/>
                <w:color w:val="auto"/>
              </w:rPr>
              <w:t>Result</w:t>
            </w:r>
          </w:p>
          <w:p w:rsidR="009B4F97" w:rsidRPr="00AF65B6" w:rsidRDefault="000845E3" w:rsidP="006D55AF">
            <w:pPr>
              <w:pStyle w:val="Tabletext"/>
              <w:spacing w:before="0"/>
              <w:rPr>
                <w:i/>
              </w:rPr>
            </w:pPr>
            <w:r>
              <w:t>4.8</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p w:rsidR="00AF65B6" w:rsidRDefault="00AF65B6" w:rsidP="006D55AF">
            <w:pPr>
              <w:pStyle w:val="Tabletext"/>
              <w:spacing w:before="0"/>
              <w:ind w:left="567"/>
              <w:rPr>
                <w:i/>
              </w:rPr>
            </w:pP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Performance criteria 1.3</w:t>
            </w:r>
          </w:p>
        </w:tc>
      </w:tr>
      <w:tr w:rsidR="00885363" w:rsidRPr="00CB554F" w:rsidTr="006A126B">
        <w:tc>
          <w:tcPr>
            <w:tcW w:w="7303" w:type="dxa"/>
            <w:gridSpan w:val="2"/>
            <w:shd w:val="clear" w:color="auto" w:fill="auto"/>
          </w:tcPr>
          <w:p w:rsidR="00885363" w:rsidRPr="00AF65B6" w:rsidRDefault="00885363" w:rsidP="00AF65B6">
            <w:pPr>
              <w:pStyle w:val="Tabletext"/>
              <w:spacing w:before="0"/>
              <w:ind w:left="284"/>
            </w:pPr>
            <w:r w:rsidRPr="00AF65B6">
              <w:rPr>
                <w:b/>
                <w:i/>
              </w:rPr>
              <w:t>Criteria</w:t>
            </w:r>
            <w:r w:rsidR="00AF65B6" w:rsidRPr="00AF65B6">
              <w:rPr>
                <w:b/>
                <w:i/>
              </w:rPr>
              <w:t xml:space="preserve">: </w:t>
            </w:r>
            <w:r w:rsidRPr="00885363">
              <w:t>Proportion of Bills and ExCo instruments where drafting standards and conventions are applied consistently</w:t>
            </w:r>
          </w:p>
          <w:p w:rsidR="00885363" w:rsidRPr="00AF65B6" w:rsidRDefault="00885363" w:rsidP="003544A9">
            <w:pPr>
              <w:pStyle w:val="Tabletext"/>
              <w:spacing w:before="0"/>
              <w:ind w:left="284"/>
            </w:pPr>
            <w:r w:rsidRPr="00AF65B6">
              <w:rPr>
                <w:b/>
                <w:i/>
              </w:rPr>
              <w:t>Source</w:t>
            </w:r>
            <w:r w:rsidR="00AF65B6" w:rsidRPr="00AF65B6">
              <w:rPr>
                <w:b/>
                <w:i/>
              </w:rPr>
              <w:t>:</w:t>
            </w:r>
            <w:r w:rsidR="00AF65B6">
              <w:t xml:space="preserve"> </w:t>
            </w:r>
            <w:r>
              <w:t xml:space="preserve">Corporate </w:t>
            </w:r>
            <w:r w:rsidR="003544A9">
              <w:t>P</w:t>
            </w:r>
            <w:r w:rsidR="009C3C58">
              <w:t>lan 2015-16; PBS 2015-</w:t>
            </w:r>
            <w:r>
              <w:t>16, page 489</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9B4F97" w:rsidP="006D55AF">
            <w:pPr>
              <w:pStyle w:val="Tabletext"/>
              <w:spacing w:before="0"/>
              <w:ind w:left="284"/>
              <w:rPr>
                <w:i/>
              </w:rPr>
            </w:pPr>
            <w:r w:rsidRPr="00AF65B6">
              <w:t>100%</w:t>
            </w:r>
          </w:p>
        </w:tc>
        <w:tc>
          <w:tcPr>
            <w:tcW w:w="4218" w:type="dxa"/>
            <w:shd w:val="clear" w:color="auto" w:fill="auto"/>
          </w:tcPr>
          <w:p w:rsidR="009B4F97" w:rsidRPr="00AF65B6" w:rsidRDefault="003544A9" w:rsidP="006D55AF">
            <w:pPr>
              <w:pStyle w:val="Tabletexthead"/>
              <w:spacing w:before="0" w:after="0"/>
              <w:rPr>
                <w:i/>
                <w:color w:val="auto"/>
              </w:rPr>
            </w:pPr>
            <w:r>
              <w:rPr>
                <w:i/>
                <w:color w:val="auto"/>
              </w:rPr>
              <w:t>Result</w:t>
            </w:r>
          </w:p>
          <w:p w:rsidR="009B4F97" w:rsidRPr="00AF65B6" w:rsidRDefault="009B4F97" w:rsidP="006D55AF">
            <w:pPr>
              <w:pStyle w:val="Tabletext"/>
              <w:spacing w:before="0"/>
              <w:rPr>
                <w:i/>
              </w:rPr>
            </w:pPr>
            <w:r w:rsidRPr="00AF65B6">
              <w:t>100%</w:t>
            </w:r>
          </w:p>
        </w:tc>
      </w:tr>
      <w:tr w:rsidR="00885363" w:rsidRPr="00CB554F" w:rsidTr="006A126B">
        <w:tc>
          <w:tcPr>
            <w:tcW w:w="7303" w:type="dxa"/>
            <w:gridSpan w:val="2"/>
            <w:shd w:val="clear" w:color="auto" w:fill="auto"/>
          </w:tcPr>
          <w:p w:rsidR="00885363" w:rsidRDefault="00885363" w:rsidP="00B52342">
            <w:pPr>
              <w:pStyle w:val="Tabletext"/>
              <w:spacing w:before="0"/>
              <w:ind w:left="567"/>
              <w:rPr>
                <w:i/>
              </w:rPr>
            </w:pPr>
          </w:p>
        </w:tc>
      </w:tr>
    </w:tbl>
    <w:p w:rsidR="00B52342" w:rsidRDefault="00B52342" w:rsidP="00B52342">
      <w:pPr>
        <w:rPr>
          <w:b/>
        </w:rPr>
      </w:pPr>
    </w:p>
    <w:p w:rsidR="00B52342" w:rsidRDefault="00B52342">
      <w:pPr>
        <w:rPr>
          <w:b/>
        </w:rPr>
      </w:pPr>
    </w:p>
    <w:tbl>
      <w:tblPr>
        <w:tblW w:w="0" w:type="auto"/>
        <w:tblBorders>
          <w:top w:val="single" w:sz="12" w:space="0" w:color="auto"/>
          <w:bottom w:val="single" w:sz="12" w:space="0" w:color="000000"/>
          <w:insideH w:val="single" w:sz="2" w:space="0" w:color="000000"/>
        </w:tblBorders>
        <w:tblLook w:val="0020" w:firstRow="1" w:lastRow="0" w:firstColumn="0" w:lastColumn="0" w:noHBand="0" w:noVBand="0"/>
      </w:tblPr>
      <w:tblGrid>
        <w:gridCol w:w="7303"/>
      </w:tblGrid>
      <w:tr w:rsidR="00C74A04" w:rsidRPr="00CB554F" w:rsidTr="00B52342">
        <w:trPr>
          <w:tblHeader/>
        </w:trPr>
        <w:tc>
          <w:tcPr>
            <w:tcW w:w="7303" w:type="dxa"/>
            <w:tcBorders>
              <w:top w:val="single" w:sz="12" w:space="0" w:color="auto"/>
              <w:bottom w:val="single" w:sz="12" w:space="0" w:color="auto"/>
            </w:tcBorders>
            <w:shd w:val="clear" w:color="auto" w:fill="auto"/>
            <w:vAlign w:val="center"/>
          </w:tcPr>
          <w:p w:rsidR="00C74A04" w:rsidRDefault="00C74A04" w:rsidP="00B52342">
            <w:pPr>
              <w:pStyle w:val="Tabletexthead"/>
              <w:spacing w:before="0" w:after="0"/>
            </w:pPr>
            <w:r>
              <w:t xml:space="preserve">Purpose </w:t>
            </w:r>
            <w:r w:rsidR="00885363">
              <w:t>2</w:t>
            </w:r>
            <w:r>
              <w:t>—</w:t>
            </w:r>
            <w:r w:rsidR="00885363">
              <w:t>Publication</w:t>
            </w:r>
          </w:p>
          <w:p w:rsidR="00D34211" w:rsidRDefault="00885363" w:rsidP="00B52342">
            <w:pPr>
              <w:pStyle w:val="Tabletext"/>
              <w:spacing w:before="0"/>
            </w:pPr>
            <w:r>
              <w:t>E</w:t>
            </w:r>
            <w:r w:rsidRPr="00885363">
              <w:t>nsure Commonwealth laws and instruments are freely available and accessible to everyone by publishing those laws and instruments on the Federal Register of Legislation</w:t>
            </w:r>
            <w:r w:rsidR="00773A15">
              <w:t xml:space="preserve"> (</w:t>
            </w:r>
            <w:r w:rsidR="00773A15" w:rsidRPr="00773A15">
              <w:rPr>
                <w:b/>
                <w:i/>
              </w:rPr>
              <w:t>the Legislation Register</w:t>
            </w:r>
            <w:r w:rsidR="00773A15">
              <w:t>)</w:t>
            </w:r>
            <w:r w:rsidRPr="00885363">
              <w:t xml:space="preserve"> website</w:t>
            </w:r>
          </w:p>
        </w:tc>
      </w:tr>
    </w:tbl>
    <w:p w:rsidR="009B4F97" w:rsidRDefault="009B4F97"/>
    <w:tbl>
      <w:tblPr>
        <w:tblW w:w="0" w:type="auto"/>
        <w:tblBorders>
          <w:top w:val="single" w:sz="12" w:space="0" w:color="auto"/>
          <w:bottom w:val="single" w:sz="12" w:space="0" w:color="000000"/>
          <w:insideH w:val="single" w:sz="2" w:space="0" w:color="000000"/>
        </w:tblBorders>
        <w:tblLook w:val="0020" w:firstRow="1" w:lastRow="0" w:firstColumn="0" w:lastColumn="0" w:noHBand="0" w:noVBand="0"/>
      </w:tblPr>
      <w:tblGrid>
        <w:gridCol w:w="3085"/>
        <w:gridCol w:w="4218"/>
      </w:tblGrid>
      <w:tr w:rsidR="00C74A04" w:rsidRPr="00CB554F" w:rsidTr="00B52342">
        <w:trPr>
          <w:tblHeader/>
        </w:trPr>
        <w:tc>
          <w:tcPr>
            <w:tcW w:w="7303" w:type="dxa"/>
            <w:gridSpan w:val="2"/>
            <w:tcBorders>
              <w:top w:val="single" w:sz="12" w:space="0" w:color="auto"/>
            </w:tcBorders>
            <w:shd w:val="clear" w:color="auto" w:fill="auto"/>
            <w:vAlign w:val="center"/>
          </w:tcPr>
          <w:p w:rsidR="00C74A04" w:rsidRDefault="009C3C58" w:rsidP="00B52342">
            <w:pPr>
              <w:pStyle w:val="Tabletexthead"/>
              <w:spacing w:before="0" w:after="0"/>
            </w:pPr>
            <w:r>
              <w:t>Results for P</w:t>
            </w:r>
            <w:r w:rsidR="00C74A04">
              <w:t xml:space="preserve">urpose </w:t>
            </w:r>
            <w:r w:rsidR="00885363">
              <w:t>2</w:t>
            </w: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 xml:space="preserve">Performance criteria </w:t>
            </w:r>
            <w:r w:rsidR="006D5417">
              <w:rPr>
                <w:i/>
              </w:rPr>
              <w:t>2.1</w:t>
            </w:r>
          </w:p>
        </w:tc>
      </w:tr>
      <w:tr w:rsidR="00885363" w:rsidRPr="00CB554F" w:rsidTr="006A126B">
        <w:tc>
          <w:tcPr>
            <w:tcW w:w="7303" w:type="dxa"/>
            <w:gridSpan w:val="2"/>
            <w:shd w:val="clear" w:color="auto" w:fill="auto"/>
          </w:tcPr>
          <w:p w:rsidR="006D5417" w:rsidRPr="00AF65B6" w:rsidRDefault="00885363" w:rsidP="00AF65B6">
            <w:pPr>
              <w:pStyle w:val="Tabletext"/>
              <w:spacing w:before="0"/>
              <w:ind w:left="284"/>
            </w:pPr>
            <w:r w:rsidRPr="00AF65B6">
              <w:rPr>
                <w:b/>
                <w:i/>
              </w:rPr>
              <w:t>Criteria</w:t>
            </w:r>
            <w:r w:rsidR="00AF65B6" w:rsidRPr="00AF65B6">
              <w:rPr>
                <w:b/>
                <w:i/>
              </w:rPr>
              <w:t>:</w:t>
            </w:r>
            <w:r w:rsidR="00AF65B6">
              <w:t xml:space="preserve"> </w:t>
            </w:r>
            <w:r w:rsidR="006D5417" w:rsidRPr="006D5417">
              <w:t>Proportion of legislative instruments and gazette notices that are registered on a specific date as required by lodging entities</w:t>
            </w:r>
          </w:p>
          <w:p w:rsidR="00885363" w:rsidRPr="00AF65B6" w:rsidRDefault="00885363" w:rsidP="00AF65B6">
            <w:pPr>
              <w:pStyle w:val="Tabletext"/>
              <w:spacing w:before="0"/>
              <w:ind w:left="284"/>
            </w:pPr>
            <w:r w:rsidRPr="00AF65B6">
              <w:rPr>
                <w:b/>
                <w:i/>
              </w:rPr>
              <w:t>Source</w:t>
            </w:r>
            <w:r w:rsidR="00AF65B6" w:rsidRPr="00AF65B6">
              <w:rPr>
                <w:b/>
                <w:i/>
              </w:rPr>
              <w:t>:</w:t>
            </w:r>
            <w:r w:rsidR="00AF65B6">
              <w:t xml:space="preserve"> </w:t>
            </w:r>
            <w:r w:rsidR="009C3C58">
              <w:t>Corporate plan 2015-16; PBS 2015-</w:t>
            </w:r>
            <w:r>
              <w:t>16, page 489</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9B4F97" w:rsidP="006D55AF">
            <w:pPr>
              <w:pStyle w:val="Tabletext"/>
              <w:spacing w:before="0"/>
              <w:ind w:left="284"/>
              <w:rPr>
                <w:i/>
              </w:rPr>
            </w:pPr>
            <w:r w:rsidRPr="00AF65B6">
              <w:t>100%</w:t>
            </w:r>
          </w:p>
        </w:tc>
        <w:tc>
          <w:tcPr>
            <w:tcW w:w="4218" w:type="dxa"/>
            <w:shd w:val="clear" w:color="auto" w:fill="auto"/>
          </w:tcPr>
          <w:p w:rsidR="009B4F97" w:rsidRPr="00AF65B6" w:rsidRDefault="009C3C58" w:rsidP="006D55AF">
            <w:pPr>
              <w:pStyle w:val="Tabletexthead"/>
              <w:spacing w:before="0" w:after="0"/>
              <w:rPr>
                <w:i/>
                <w:color w:val="auto"/>
              </w:rPr>
            </w:pPr>
            <w:r>
              <w:rPr>
                <w:i/>
                <w:color w:val="auto"/>
              </w:rPr>
              <w:t>Result</w:t>
            </w:r>
          </w:p>
          <w:p w:rsidR="009B4F97" w:rsidRPr="00AF65B6" w:rsidRDefault="008B7F83" w:rsidP="006D55AF">
            <w:pPr>
              <w:pStyle w:val="Tabletext"/>
              <w:spacing w:before="0"/>
              <w:rPr>
                <w:i/>
              </w:rPr>
            </w:pPr>
            <w:r>
              <w:t>100</w:t>
            </w:r>
            <w:r w:rsidR="009B4F97" w:rsidRPr="00AF65B6">
              <w:t>%</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p w:rsidR="00AF65B6" w:rsidRDefault="00AF65B6" w:rsidP="006D55AF">
            <w:pPr>
              <w:pStyle w:val="Tabletext"/>
              <w:spacing w:before="0"/>
              <w:ind w:left="567"/>
              <w:rPr>
                <w:i/>
              </w:rPr>
            </w:pP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 xml:space="preserve">Performance criteria </w:t>
            </w:r>
            <w:r w:rsidR="006D5417">
              <w:rPr>
                <w:i/>
              </w:rPr>
              <w:t>2.2</w:t>
            </w:r>
          </w:p>
        </w:tc>
      </w:tr>
      <w:tr w:rsidR="00885363" w:rsidRPr="00CB554F" w:rsidTr="006A126B">
        <w:tc>
          <w:tcPr>
            <w:tcW w:w="7303" w:type="dxa"/>
            <w:gridSpan w:val="2"/>
            <w:shd w:val="clear" w:color="auto" w:fill="auto"/>
          </w:tcPr>
          <w:p w:rsidR="006D5417" w:rsidRPr="00AF65B6" w:rsidRDefault="00885363" w:rsidP="00AF65B6">
            <w:pPr>
              <w:pStyle w:val="Tabletext"/>
              <w:spacing w:before="0"/>
              <w:ind w:left="284"/>
            </w:pPr>
            <w:r w:rsidRPr="00AF65B6">
              <w:rPr>
                <w:b/>
                <w:i/>
              </w:rPr>
              <w:t>Criteria</w:t>
            </w:r>
            <w:r w:rsidR="00AF65B6" w:rsidRPr="00AF65B6">
              <w:rPr>
                <w:b/>
                <w:i/>
              </w:rPr>
              <w:t>:</w:t>
            </w:r>
            <w:r w:rsidR="00AF65B6">
              <w:t xml:space="preserve"> </w:t>
            </w:r>
            <w:r w:rsidR="006D5417" w:rsidRPr="006D5417">
              <w:t xml:space="preserve">Proportion of other legislative instruments and gazette notices that are registered no later than </w:t>
            </w:r>
            <w:r w:rsidR="00926EA4">
              <w:t>2</w:t>
            </w:r>
            <w:r w:rsidR="006D5417" w:rsidRPr="006D5417">
              <w:t xml:space="preserve"> business days after lodgement</w:t>
            </w:r>
          </w:p>
          <w:p w:rsidR="00885363" w:rsidRPr="00AF65B6" w:rsidRDefault="00885363" w:rsidP="00AF65B6">
            <w:pPr>
              <w:pStyle w:val="Tabletext"/>
              <w:spacing w:before="0"/>
              <w:ind w:left="284"/>
            </w:pPr>
            <w:r w:rsidRPr="00AF65B6">
              <w:rPr>
                <w:b/>
                <w:i/>
              </w:rPr>
              <w:t>Source</w:t>
            </w:r>
            <w:r w:rsidR="00AF65B6" w:rsidRPr="00AF65B6">
              <w:rPr>
                <w:b/>
                <w:i/>
              </w:rPr>
              <w:t>:</w:t>
            </w:r>
            <w:r w:rsidR="00AF65B6">
              <w:t xml:space="preserve"> </w:t>
            </w:r>
            <w:r w:rsidR="009C3C58">
              <w:t>Corporate plan 2015-16; PBS 2015-</w:t>
            </w:r>
            <w:r>
              <w:t>16, page 489</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FA6B4C" w:rsidP="006D55AF">
            <w:pPr>
              <w:pStyle w:val="Tabletext"/>
              <w:spacing w:before="0"/>
              <w:ind w:left="284"/>
              <w:rPr>
                <w:i/>
              </w:rPr>
            </w:pPr>
            <w:r w:rsidRPr="00AF65B6">
              <w:t>98</w:t>
            </w:r>
            <w:r w:rsidR="009B4F97" w:rsidRPr="00AF65B6">
              <w:t>%</w:t>
            </w:r>
          </w:p>
        </w:tc>
        <w:tc>
          <w:tcPr>
            <w:tcW w:w="4218" w:type="dxa"/>
            <w:shd w:val="clear" w:color="auto" w:fill="auto"/>
          </w:tcPr>
          <w:p w:rsidR="009B4F97" w:rsidRPr="00AF65B6" w:rsidRDefault="009C3C58" w:rsidP="006D55AF">
            <w:pPr>
              <w:pStyle w:val="Tabletexthead"/>
              <w:spacing w:before="0" w:after="0"/>
              <w:rPr>
                <w:i/>
                <w:color w:val="auto"/>
              </w:rPr>
            </w:pPr>
            <w:r>
              <w:rPr>
                <w:i/>
                <w:color w:val="auto"/>
              </w:rPr>
              <w:t>Result</w:t>
            </w:r>
          </w:p>
          <w:p w:rsidR="009B4F97" w:rsidRPr="00AF65B6" w:rsidRDefault="008B7F83" w:rsidP="006D55AF">
            <w:pPr>
              <w:pStyle w:val="Tabletext"/>
              <w:spacing w:before="0"/>
              <w:rPr>
                <w:i/>
              </w:rPr>
            </w:pPr>
            <w:r>
              <w:t>100</w:t>
            </w:r>
            <w:r w:rsidR="009B4F97" w:rsidRPr="00AF65B6">
              <w:t>%</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p w:rsidR="00AF65B6" w:rsidRDefault="00AF65B6" w:rsidP="006D55AF">
            <w:pPr>
              <w:pStyle w:val="Tabletext"/>
              <w:spacing w:before="0"/>
              <w:ind w:left="567"/>
              <w:rPr>
                <w:i/>
              </w:rPr>
            </w:pP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Performance criteria 2</w:t>
            </w:r>
            <w:r w:rsidR="006D5417">
              <w:rPr>
                <w:i/>
              </w:rPr>
              <w:t>.3</w:t>
            </w:r>
          </w:p>
        </w:tc>
      </w:tr>
      <w:tr w:rsidR="00885363" w:rsidRPr="00CB554F" w:rsidTr="006A126B">
        <w:tc>
          <w:tcPr>
            <w:tcW w:w="7303" w:type="dxa"/>
            <w:gridSpan w:val="2"/>
            <w:shd w:val="clear" w:color="auto" w:fill="auto"/>
          </w:tcPr>
          <w:p w:rsidR="006D5417" w:rsidRPr="00AF65B6" w:rsidRDefault="00885363" w:rsidP="00AF65B6">
            <w:pPr>
              <w:pStyle w:val="Tabletext"/>
              <w:spacing w:before="0"/>
              <w:ind w:left="284"/>
            </w:pPr>
            <w:r w:rsidRPr="00AF65B6">
              <w:rPr>
                <w:b/>
                <w:i/>
              </w:rPr>
              <w:t>Criteria</w:t>
            </w:r>
            <w:r w:rsidR="00AF65B6" w:rsidRPr="00AF65B6">
              <w:rPr>
                <w:b/>
                <w:i/>
              </w:rPr>
              <w:t>:</w:t>
            </w:r>
            <w:r w:rsidR="00AF65B6">
              <w:t xml:space="preserve"> </w:t>
            </w:r>
            <w:r w:rsidR="006D5417" w:rsidRPr="006D5417">
              <w:t xml:space="preserve">Proportion of Acts that are registered on the Legislation Register no later than </w:t>
            </w:r>
            <w:r w:rsidR="00926EA4">
              <w:t>2</w:t>
            </w:r>
            <w:r w:rsidR="006D5417" w:rsidRPr="006D5417">
              <w:t xml:space="preserve"> working days after receipt of notification of Royal Assent</w:t>
            </w:r>
          </w:p>
          <w:p w:rsidR="00885363" w:rsidRPr="00AF65B6" w:rsidRDefault="00885363" w:rsidP="00AF65B6">
            <w:pPr>
              <w:pStyle w:val="Tabletext"/>
              <w:spacing w:before="0"/>
              <w:ind w:left="284"/>
            </w:pPr>
            <w:r w:rsidRPr="00AF65B6">
              <w:rPr>
                <w:b/>
                <w:i/>
              </w:rPr>
              <w:t>Source</w:t>
            </w:r>
            <w:r w:rsidR="00AF65B6" w:rsidRPr="00AF65B6">
              <w:rPr>
                <w:b/>
                <w:i/>
              </w:rPr>
              <w:t>:</w:t>
            </w:r>
            <w:r w:rsidR="00AF65B6">
              <w:t xml:space="preserve"> </w:t>
            </w:r>
            <w:r w:rsidR="009C3C58">
              <w:t>Corporate plan 2015-16; PBS 2015-</w:t>
            </w:r>
            <w:r>
              <w:t>16, page 48</w:t>
            </w:r>
            <w:r w:rsidR="009C3C58">
              <w:t>9</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FA6B4C" w:rsidP="006D55AF">
            <w:pPr>
              <w:pStyle w:val="Tabletext"/>
              <w:spacing w:before="0"/>
              <w:ind w:left="284"/>
              <w:rPr>
                <w:i/>
              </w:rPr>
            </w:pPr>
            <w:r w:rsidRPr="00AF65B6">
              <w:t>98</w:t>
            </w:r>
            <w:r w:rsidR="009B4F97" w:rsidRPr="00AF65B6">
              <w:t>%</w:t>
            </w:r>
          </w:p>
        </w:tc>
        <w:tc>
          <w:tcPr>
            <w:tcW w:w="4218" w:type="dxa"/>
            <w:shd w:val="clear" w:color="auto" w:fill="auto"/>
          </w:tcPr>
          <w:p w:rsidR="009B4F97" w:rsidRPr="00AF65B6" w:rsidRDefault="009C3C58" w:rsidP="006D55AF">
            <w:pPr>
              <w:pStyle w:val="Tabletexthead"/>
              <w:spacing w:before="0" w:after="0"/>
              <w:rPr>
                <w:i/>
                <w:color w:val="auto"/>
              </w:rPr>
            </w:pPr>
            <w:r>
              <w:rPr>
                <w:i/>
                <w:color w:val="auto"/>
              </w:rPr>
              <w:t>Result</w:t>
            </w:r>
          </w:p>
          <w:p w:rsidR="009B4F97" w:rsidRPr="00AF65B6" w:rsidRDefault="008B7F83" w:rsidP="006D55AF">
            <w:pPr>
              <w:pStyle w:val="Tabletext"/>
              <w:spacing w:before="0"/>
              <w:rPr>
                <w:i/>
              </w:rPr>
            </w:pPr>
            <w:r>
              <w:t>100</w:t>
            </w:r>
            <w:r w:rsidR="009B4F97" w:rsidRPr="00AF65B6">
              <w:t>%</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p w:rsidR="00AF65B6" w:rsidRDefault="00AF65B6" w:rsidP="006D55AF">
            <w:pPr>
              <w:pStyle w:val="Tabletext"/>
              <w:spacing w:before="0"/>
              <w:ind w:left="567"/>
              <w:rPr>
                <w:i/>
              </w:rPr>
            </w:pPr>
          </w:p>
        </w:tc>
      </w:tr>
      <w:tr w:rsidR="0098121C" w:rsidRPr="00CB554F" w:rsidTr="006A126B">
        <w:tc>
          <w:tcPr>
            <w:tcW w:w="7303" w:type="dxa"/>
            <w:gridSpan w:val="2"/>
            <w:shd w:val="clear" w:color="auto" w:fill="auto"/>
          </w:tcPr>
          <w:p w:rsidR="0098121C" w:rsidRPr="00720642" w:rsidRDefault="0098121C" w:rsidP="00B52342">
            <w:pPr>
              <w:pStyle w:val="Tabletexthead"/>
              <w:spacing w:before="0" w:after="0"/>
            </w:pPr>
            <w:r>
              <w:rPr>
                <w:i/>
              </w:rPr>
              <w:t xml:space="preserve">Performance criteria </w:t>
            </w:r>
            <w:r w:rsidR="006D5417">
              <w:rPr>
                <w:i/>
              </w:rPr>
              <w:t>2.4</w:t>
            </w:r>
          </w:p>
        </w:tc>
      </w:tr>
      <w:tr w:rsidR="0098121C" w:rsidRPr="00CB554F" w:rsidTr="006A126B">
        <w:tc>
          <w:tcPr>
            <w:tcW w:w="7303" w:type="dxa"/>
            <w:gridSpan w:val="2"/>
            <w:shd w:val="clear" w:color="auto" w:fill="auto"/>
          </w:tcPr>
          <w:p w:rsidR="006D5417" w:rsidRPr="00AF65B6" w:rsidRDefault="0098121C" w:rsidP="00AF65B6">
            <w:pPr>
              <w:pStyle w:val="Tabletext"/>
              <w:spacing w:before="0"/>
              <w:ind w:left="284"/>
            </w:pPr>
            <w:r w:rsidRPr="00AF65B6">
              <w:rPr>
                <w:b/>
                <w:i/>
              </w:rPr>
              <w:t>Criteria</w:t>
            </w:r>
            <w:r w:rsidR="00AF65B6" w:rsidRPr="00AF65B6">
              <w:rPr>
                <w:b/>
                <w:i/>
              </w:rPr>
              <w:t>:</w:t>
            </w:r>
            <w:r w:rsidR="00AF65B6">
              <w:t xml:space="preserve"> </w:t>
            </w:r>
            <w:r w:rsidR="006D5417" w:rsidRPr="006D5417">
              <w:t>Proportion of Act and legislative instrument compilations required to be prepared by OPC that are registered on the Legislation Register by the later of 90 days after Royal Assent or making date, or 28 days after commencement of the prospective amendments</w:t>
            </w:r>
          </w:p>
          <w:p w:rsidR="0098121C" w:rsidRPr="00AF65B6" w:rsidRDefault="0098121C" w:rsidP="00AF65B6">
            <w:pPr>
              <w:pStyle w:val="Tabletext"/>
              <w:spacing w:before="0"/>
              <w:ind w:left="284"/>
            </w:pPr>
            <w:r w:rsidRPr="00AF65B6">
              <w:rPr>
                <w:b/>
                <w:i/>
              </w:rPr>
              <w:t>Source</w:t>
            </w:r>
            <w:r w:rsidR="00AF65B6" w:rsidRPr="00AF65B6">
              <w:rPr>
                <w:b/>
                <w:i/>
              </w:rPr>
              <w:t>:</w:t>
            </w:r>
            <w:r w:rsidR="00AF65B6">
              <w:t xml:space="preserve"> </w:t>
            </w:r>
            <w:r w:rsidR="009C3C58">
              <w:t>Corporate plan 2015-16; PBS 2015-</w:t>
            </w:r>
            <w:r>
              <w:t>16, page 489</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9B4F97" w:rsidP="006D55AF">
            <w:pPr>
              <w:pStyle w:val="Tabletext"/>
              <w:spacing w:before="0"/>
              <w:ind w:left="284"/>
              <w:rPr>
                <w:i/>
              </w:rPr>
            </w:pPr>
            <w:r w:rsidRPr="00AF65B6">
              <w:t>100%</w:t>
            </w:r>
          </w:p>
        </w:tc>
        <w:tc>
          <w:tcPr>
            <w:tcW w:w="4218" w:type="dxa"/>
            <w:shd w:val="clear" w:color="auto" w:fill="auto"/>
          </w:tcPr>
          <w:p w:rsidR="009B4F97" w:rsidRPr="00AF65B6" w:rsidRDefault="009C3C58" w:rsidP="006D55AF">
            <w:pPr>
              <w:pStyle w:val="Tabletexthead"/>
              <w:spacing w:before="0" w:after="0"/>
              <w:rPr>
                <w:i/>
                <w:color w:val="auto"/>
              </w:rPr>
            </w:pPr>
            <w:r>
              <w:rPr>
                <w:i/>
                <w:color w:val="auto"/>
              </w:rPr>
              <w:t>Result</w:t>
            </w:r>
          </w:p>
          <w:p w:rsidR="009B4F97" w:rsidRPr="00AF65B6" w:rsidRDefault="008B7F83" w:rsidP="006D55AF">
            <w:pPr>
              <w:pStyle w:val="Tabletext"/>
              <w:spacing w:before="0"/>
              <w:rPr>
                <w:i/>
              </w:rPr>
            </w:pPr>
            <w:r>
              <w:t>82</w:t>
            </w:r>
            <w:r w:rsidR="009B4F97" w:rsidRPr="00AF65B6">
              <w:t>%</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tc>
      </w:tr>
    </w:tbl>
    <w:p w:rsidR="00C74A04" w:rsidRDefault="00C74A04" w:rsidP="00C74A04">
      <w:pPr>
        <w:rPr>
          <w:b/>
        </w:rPr>
      </w:pPr>
    </w:p>
    <w:p w:rsidR="00C74A04" w:rsidRDefault="00C74A04">
      <w:pPr>
        <w:rPr>
          <w:b/>
        </w:rPr>
      </w:pPr>
    </w:p>
    <w:p w:rsidR="00C74A04" w:rsidRDefault="00C74A04" w:rsidP="00C74A04">
      <w:pPr>
        <w:pStyle w:val="Head3"/>
        <w:sectPr w:rsidR="00C74A04" w:rsidSect="003B561A">
          <w:type w:val="continuous"/>
          <w:pgSz w:w="11907" w:h="16839" w:code="9"/>
          <w:pgMar w:top="1134" w:right="2410" w:bottom="4253" w:left="2410" w:header="510" w:footer="3402" w:gutter="0"/>
          <w:cols w:space="709"/>
          <w:docGrid w:linePitch="326"/>
        </w:sectPr>
      </w:pPr>
    </w:p>
    <w:p w:rsidR="00C74A04" w:rsidRDefault="00C74A04" w:rsidP="00C74A04"/>
    <w:p w:rsidR="00C74A04" w:rsidRPr="009A0845" w:rsidRDefault="00C74A04" w:rsidP="00C74A04">
      <w:pPr>
        <w:pStyle w:val="notedraft"/>
        <w:sectPr w:rsidR="00C74A04" w:rsidRPr="009A0845">
          <w:type w:val="continuous"/>
          <w:pgSz w:w="11907" w:h="16839" w:code="9"/>
          <w:pgMar w:top="1134" w:right="2410" w:bottom="4253" w:left="2410" w:header="510" w:footer="3402" w:gutter="0"/>
          <w:cols w:space="709"/>
          <w:docGrid w:linePitch="326"/>
        </w:sectPr>
      </w:pPr>
    </w:p>
    <w:p w:rsidR="008C3C98" w:rsidRDefault="008C3C98" w:rsidP="008C3C98">
      <w:pPr>
        <w:pStyle w:val="Head3"/>
      </w:pPr>
      <w:bookmarkStart w:id="33" w:name="_Toc463613735"/>
      <w:r>
        <w:t xml:space="preserve">Analysis of performance against Purpose 1: </w:t>
      </w:r>
      <w:r w:rsidR="006A126B">
        <w:t>Legislati</w:t>
      </w:r>
      <w:r w:rsidR="00E57038">
        <w:t>ve Drafting</w:t>
      </w:r>
      <w:bookmarkEnd w:id="33"/>
    </w:p>
    <w:p w:rsidR="00B37353" w:rsidRPr="00356616" w:rsidRDefault="00B37353" w:rsidP="006A72B6">
      <w:pPr>
        <w:sectPr w:rsidR="00B37353" w:rsidRPr="00356616">
          <w:pgSz w:w="11907" w:h="16839" w:code="9"/>
          <w:pgMar w:top="1134" w:right="2410" w:bottom="4253" w:left="2410" w:header="510" w:footer="3402" w:gutter="0"/>
          <w:cols w:space="709"/>
          <w:docGrid w:linePitch="326"/>
        </w:sectPr>
      </w:pPr>
    </w:p>
    <w:p w:rsidR="00E355BB" w:rsidRDefault="00E355BB" w:rsidP="00E355BB">
      <w:pPr>
        <w:pStyle w:val="Head4"/>
        <w:spacing w:before="0"/>
        <w:rPr>
          <w:rStyle w:val="CharSubdText"/>
        </w:rPr>
      </w:pPr>
      <w:bookmarkStart w:id="34" w:name="_Ref113169286"/>
      <w:r>
        <w:rPr>
          <w:rStyle w:val="CharSubdText"/>
        </w:rPr>
        <w:t>Overview</w:t>
      </w:r>
    </w:p>
    <w:p w:rsidR="00B37353" w:rsidRDefault="00B37353" w:rsidP="00B37353">
      <w:pPr>
        <w:pStyle w:val="BodyNum"/>
      </w:pPr>
      <w:r>
        <w:t>OPC’s outcome for 201</w:t>
      </w:r>
      <w:r w:rsidR="007821D6">
        <w:t>5</w:t>
      </w:r>
      <w:r>
        <w:t>-201</w:t>
      </w:r>
      <w:r w:rsidR="007821D6">
        <w:t>6</w:t>
      </w:r>
      <w:r>
        <w:t xml:space="preserve"> is “</w:t>
      </w:r>
      <w:r w:rsidR="007821D6">
        <w:t>A body of Commonwealth laws and instruments that give effect to intended policy, and that are coherent, readable and readily accessible, through the drafting and publication of those laws and instruments</w:t>
      </w:r>
      <w:r>
        <w:t>”.</w:t>
      </w:r>
      <w:bookmarkEnd w:id="34"/>
    </w:p>
    <w:p w:rsidR="007821D6" w:rsidRPr="007821D6" w:rsidRDefault="007821D6" w:rsidP="00B37353">
      <w:pPr>
        <w:pStyle w:val="BodyNum"/>
        <w:rPr>
          <w:i/>
        </w:rPr>
      </w:pPr>
      <w:r>
        <w:t>The first purpose that this gives rise to is to “e</w:t>
      </w:r>
      <w:r w:rsidRPr="00D34211">
        <w:t>nable the government to carry out its legislative program through the drafting of all Bills, all legislative instruments to be made or approved by the Governor-General (Federal Executive Council (</w:t>
      </w:r>
      <w:r w:rsidRPr="001708ED">
        <w:rPr>
          <w:b/>
          <w:i/>
        </w:rPr>
        <w:t>ExCo</w:t>
      </w:r>
      <w:r w:rsidRPr="00D34211">
        <w:t>) instruments) and a range of other instruments</w:t>
      </w:r>
      <w:r>
        <w:t>”.</w:t>
      </w:r>
    </w:p>
    <w:p w:rsidR="00C97DDD" w:rsidRDefault="00C97DDD" w:rsidP="00C97DDD">
      <w:pPr>
        <w:pStyle w:val="BodyNum"/>
      </w:pPr>
      <w:r w:rsidRPr="0049617F">
        <w:t xml:space="preserve">OPC </w:t>
      </w:r>
      <w:r>
        <w:t xml:space="preserve">meets this </w:t>
      </w:r>
      <w:r w:rsidR="007821D6">
        <w:t xml:space="preserve">purpose </w:t>
      </w:r>
      <w:r w:rsidRPr="0049617F">
        <w:t>by working with governm</w:t>
      </w:r>
      <w:r>
        <w:t>ent agencies to clarify policy</w:t>
      </w:r>
      <w:r w:rsidRPr="0049617F">
        <w:t xml:space="preserve"> proposals </w:t>
      </w:r>
      <w:r>
        <w:t>and implement the intended policy of the executive government in legally effective legislation. The legislation drafted is comprehensible, workable and in a form available for scrutiny, and approval or rejection, by the Parliament.</w:t>
      </w:r>
    </w:p>
    <w:p w:rsidR="00B37353" w:rsidRDefault="00441F3F" w:rsidP="007821D6">
      <w:pPr>
        <w:pStyle w:val="BodyNum"/>
      </w:pPr>
      <w:r>
        <w:br w:type="column"/>
      </w:r>
      <w:r w:rsidR="00C97DDD" w:rsidRPr="007821D6">
        <w:t xml:space="preserve">OPC has met the </w:t>
      </w:r>
      <w:r w:rsidR="007821D6">
        <w:t xml:space="preserve">targets for the performance criteria for this purpose </w:t>
      </w:r>
      <w:r w:rsidR="00C97DDD" w:rsidRPr="007821D6">
        <w:t>in the 201</w:t>
      </w:r>
      <w:r w:rsidR="007821D6">
        <w:t>5</w:t>
      </w:r>
      <w:r w:rsidR="00C97DDD" w:rsidRPr="007821D6">
        <w:t>-201</w:t>
      </w:r>
      <w:r w:rsidR="007821D6">
        <w:t>6</w:t>
      </w:r>
      <w:r w:rsidR="00C97DDD" w:rsidRPr="007821D6">
        <w:t xml:space="preserve"> year. </w:t>
      </w:r>
    </w:p>
    <w:p w:rsidR="007821D6" w:rsidRDefault="007821D6" w:rsidP="007821D6">
      <w:pPr>
        <w:pStyle w:val="BodyNum"/>
      </w:pPr>
      <w:r>
        <w:t>All Bills and ExCo instruments were drafted in accordance with government priorities and in a form suitable for consideration and enactment.</w:t>
      </w:r>
    </w:p>
    <w:p w:rsidR="007821D6" w:rsidRDefault="007821D6" w:rsidP="007821D6">
      <w:pPr>
        <w:pStyle w:val="BodyNum"/>
      </w:pPr>
      <w:r>
        <w:t>Client feedback surveys during 201</w:t>
      </w:r>
      <w:r w:rsidR="00795FB3">
        <w:t>5</w:t>
      </w:r>
      <w:r>
        <w:t>-201</w:t>
      </w:r>
      <w:r w:rsidR="00795FB3">
        <w:t>6</w:t>
      </w:r>
      <w:r>
        <w:t xml:space="preserve"> indicated that all Bills and instruments reflected their sponsors’ policy intentions.</w:t>
      </w:r>
    </w:p>
    <w:p w:rsidR="007821D6" w:rsidRDefault="007821D6" w:rsidP="007821D6">
      <w:pPr>
        <w:pStyle w:val="BodyNum"/>
      </w:pPr>
      <w:r>
        <w:t>Minor technical flaws have been detected in a small number of Bills. These have been, or will be, corrected through the Statute Law Revision process</w:t>
      </w:r>
      <w:r w:rsidR="00767FBD">
        <w:t xml:space="preserve"> or through editorial changes made using F</w:t>
      </w:r>
      <w:r w:rsidR="000C61BE">
        <w:t xml:space="preserve">irst </w:t>
      </w:r>
      <w:r w:rsidR="00767FBD">
        <w:t>P</w:t>
      </w:r>
      <w:r w:rsidR="000C61BE">
        <w:t xml:space="preserve">arliamentary </w:t>
      </w:r>
      <w:r w:rsidR="00767FBD">
        <w:t>C</w:t>
      </w:r>
      <w:r w:rsidR="000C61BE">
        <w:t>ounsel</w:t>
      </w:r>
      <w:r w:rsidR="00767FBD">
        <w:t xml:space="preserve">’s powers under the </w:t>
      </w:r>
      <w:r w:rsidR="00767FBD" w:rsidRPr="00795FB3">
        <w:rPr>
          <w:i/>
        </w:rPr>
        <w:t>Legislation Act 2003</w:t>
      </w:r>
      <w:r w:rsidR="00926EA4">
        <w:t xml:space="preserve"> (</w:t>
      </w:r>
      <w:r w:rsidR="00926EA4" w:rsidRPr="00926EA4">
        <w:rPr>
          <w:b/>
          <w:i/>
        </w:rPr>
        <w:t>the Legislation Act</w:t>
      </w:r>
      <w:r w:rsidR="00926EA4">
        <w:t>).</w:t>
      </w:r>
      <w:r>
        <w:t xml:space="preserve"> </w:t>
      </w:r>
      <w:r w:rsidRPr="00672F1B">
        <w:t xml:space="preserve">Minor technical flaws detected in regulations are addressed </w:t>
      </w:r>
      <w:r w:rsidR="00767FBD">
        <w:t>using F</w:t>
      </w:r>
      <w:r w:rsidR="000C61BE">
        <w:t xml:space="preserve">irst </w:t>
      </w:r>
      <w:r w:rsidR="00767FBD">
        <w:t>P</w:t>
      </w:r>
      <w:r w:rsidR="000C61BE">
        <w:t xml:space="preserve">arliamentary </w:t>
      </w:r>
      <w:r w:rsidR="00767FBD">
        <w:t>C</w:t>
      </w:r>
      <w:r w:rsidR="000C61BE">
        <w:t>ounsel</w:t>
      </w:r>
      <w:r w:rsidR="00767FBD">
        <w:t xml:space="preserve">’s editorial power or </w:t>
      </w:r>
      <w:r w:rsidRPr="00672F1B">
        <w:t>through the next relevant drafting project.</w:t>
      </w:r>
    </w:p>
    <w:p w:rsidR="00E355BB" w:rsidRDefault="00E355BB" w:rsidP="007821D6">
      <w:pPr>
        <w:pStyle w:val="BodyNum"/>
      </w:pPr>
      <w:r>
        <w:t xml:space="preserve">Clients were also surveyed on their overall satisfaction with the drafting process and the resulting legislation. On a rating scale of 1 to 5, the average response for Bills was </w:t>
      </w:r>
      <w:r w:rsidR="00937B4A">
        <w:t>4.9</w:t>
      </w:r>
      <w:r>
        <w:t xml:space="preserve"> and the average response for instruments was </w:t>
      </w:r>
      <w:r w:rsidR="00937B4A">
        <w:t>4.8</w:t>
      </w:r>
      <w:r>
        <w:t xml:space="preserve">. Both of these </w:t>
      </w:r>
      <w:r w:rsidR="00937B4A">
        <w:t>are well above the target of 4.</w:t>
      </w:r>
    </w:p>
    <w:p w:rsidR="007821D6" w:rsidRDefault="007821D6" w:rsidP="007821D6">
      <w:pPr>
        <w:pStyle w:val="BodyNum"/>
      </w:pPr>
      <w:r>
        <w:t>Drafting standards are issued and formatting conventions are set by the First Parliamentary Counsel to ensure a consistent approach is taken in drafting.</w:t>
      </w:r>
    </w:p>
    <w:p w:rsidR="007821D6" w:rsidRDefault="007821D6" w:rsidP="007821D6">
      <w:pPr>
        <w:pStyle w:val="BodyNum"/>
      </w:pPr>
      <w:r>
        <w:t>The drafting standards and formatting conventions were applied consistently to Bills and ExCo instruments.</w:t>
      </w:r>
    </w:p>
    <w:p w:rsidR="007821D6" w:rsidRDefault="007821D6" w:rsidP="007821D6">
      <w:pPr>
        <w:pStyle w:val="BodyNum"/>
      </w:pPr>
      <w:r>
        <w:t>Quality assurance through editorial checking ensured drafting standards and formatting conventions were applied consistently and legislation was readable.</w:t>
      </w:r>
    </w:p>
    <w:p w:rsidR="007821D6" w:rsidRDefault="007821D6" w:rsidP="007821D6">
      <w:pPr>
        <w:pStyle w:val="BodyNum"/>
      </w:pPr>
      <w:r w:rsidRPr="00672F1B">
        <w:t>Client feedback surveys during 201</w:t>
      </w:r>
      <w:r w:rsidR="00795FB3">
        <w:t>5</w:t>
      </w:r>
      <w:r w:rsidRPr="00672F1B">
        <w:t>-201</w:t>
      </w:r>
      <w:r w:rsidR="00795FB3">
        <w:t>6</w:t>
      </w:r>
      <w:r w:rsidRPr="00672F1B">
        <w:t xml:space="preserve"> indicate</w:t>
      </w:r>
      <w:r>
        <w:t>d</w:t>
      </w:r>
      <w:r w:rsidRPr="00672F1B">
        <w:t xml:space="preserve"> that all Bills and instruments were easy to understand, having regard to the inherent complexity of the subject matter.</w:t>
      </w:r>
    </w:p>
    <w:p w:rsidR="00C97DDD" w:rsidRPr="00FF7AFF" w:rsidRDefault="00C97DDD" w:rsidP="00FF7AFF">
      <w:pPr>
        <w:pStyle w:val="Head4"/>
      </w:pPr>
      <w:bookmarkStart w:id="35" w:name="_Ref113168636"/>
      <w:bookmarkStart w:id="36" w:name="_Ref81116917"/>
      <w:r w:rsidRPr="00FF7AFF">
        <w:t>Bills</w:t>
      </w:r>
    </w:p>
    <w:p w:rsidR="00C97DDD" w:rsidRPr="00A07370" w:rsidRDefault="00C97DDD" w:rsidP="00C97DDD">
      <w:pPr>
        <w:pStyle w:val="BodyNum"/>
      </w:pPr>
      <w:r w:rsidRPr="00A07370">
        <w:t>Before ea</w:t>
      </w:r>
      <w:r w:rsidR="00E42F6F">
        <w:t>ch parliamentary sittings, the G</w:t>
      </w:r>
      <w:r w:rsidRPr="00A07370">
        <w:t>overnment formulates the program of Bills that it requires to be drafted for the sittings. Since it may not be possible for all Bills on the program to be drafted, a drafting priority is given to each Bill.</w:t>
      </w:r>
    </w:p>
    <w:p w:rsidR="00C97DDD" w:rsidRPr="00A07370" w:rsidRDefault="00C97DDD" w:rsidP="00C97DDD">
      <w:pPr>
        <w:pStyle w:val="BodyNum"/>
      </w:pPr>
      <w:r w:rsidRPr="00A07370">
        <w:t xml:space="preserve">On the basis of this program, departments or other agencies instruct drafters in OPC on the policy to be effected by </w:t>
      </w:r>
      <w:r>
        <w:t>each Bill</w:t>
      </w:r>
      <w:r w:rsidRPr="00A07370">
        <w:t>.</w:t>
      </w:r>
    </w:p>
    <w:p w:rsidR="00C97DDD" w:rsidRPr="00A07370" w:rsidRDefault="00C97DDD" w:rsidP="00C97DDD">
      <w:pPr>
        <w:pStyle w:val="BodyNum"/>
      </w:pPr>
      <w:r w:rsidRPr="00A07370">
        <w:t xml:space="preserve">In consultation with instructing officers, the drafters consider the constitutional and legal background against which the </w:t>
      </w:r>
      <w:r>
        <w:t>Bill</w:t>
      </w:r>
      <w:r w:rsidRPr="00A07370">
        <w:t xml:space="preserve"> is to be framed, analyse the policy and determine the structure of the </w:t>
      </w:r>
      <w:r>
        <w:t>Bill</w:t>
      </w:r>
      <w:r w:rsidRPr="00A07370">
        <w:t xml:space="preserve">. Then they draft the </w:t>
      </w:r>
      <w:r>
        <w:t>Bill</w:t>
      </w:r>
      <w:r w:rsidRPr="00A07370">
        <w:t xml:space="preserve"> in terms intended to give effect to the policy in as precise and clear a manner as possible.</w:t>
      </w:r>
    </w:p>
    <w:p w:rsidR="00C97DDD" w:rsidRPr="00A07370" w:rsidRDefault="00C97DDD" w:rsidP="00C97DDD">
      <w:pPr>
        <w:pStyle w:val="BodyNum"/>
      </w:pPr>
      <w:r w:rsidRPr="00A07370">
        <w:t>When a Bill is completed, OPC arranges for the Bill to be printed in sufficient numbers for consideration by the Parliament.</w:t>
      </w:r>
    </w:p>
    <w:p w:rsidR="00C97DDD" w:rsidRPr="00A07370" w:rsidRDefault="00E42F6F" w:rsidP="00C97DDD">
      <w:pPr>
        <w:pStyle w:val="BodyNum"/>
      </w:pPr>
      <w:r>
        <w:t>If the G</w:t>
      </w:r>
      <w:r w:rsidR="00C97DDD" w:rsidRPr="00A07370">
        <w:t xml:space="preserve">overnment decides to amend </w:t>
      </w:r>
      <w:r w:rsidR="00C97DDD">
        <w:t>a Bill</w:t>
      </w:r>
      <w:r w:rsidR="00C97DDD" w:rsidRPr="00A07370">
        <w:t xml:space="preserve"> during </w:t>
      </w:r>
      <w:r w:rsidR="00C97DDD">
        <w:t>its</w:t>
      </w:r>
      <w:r w:rsidR="00C97DDD" w:rsidRPr="00A07370">
        <w:t xml:space="preserve"> passage through the Parliament, drafters in OPC prepare the necessary amendments and provide copies to the Parliament.</w:t>
      </w:r>
    </w:p>
    <w:p w:rsidR="00C97DDD" w:rsidRPr="00A07370" w:rsidRDefault="00C97DDD" w:rsidP="00BE3CFD">
      <w:pPr>
        <w:pStyle w:val="Head5"/>
      </w:pPr>
      <w:r w:rsidRPr="00A07370">
        <w:t>Drafting resources applied according to government priorities</w:t>
      </w:r>
    </w:p>
    <w:p w:rsidR="00C97DDD" w:rsidRPr="00A07370" w:rsidRDefault="00C97DDD" w:rsidP="00C97DDD">
      <w:pPr>
        <w:pStyle w:val="BodyNum"/>
      </w:pPr>
      <w:bookmarkStart w:id="37" w:name="_Ref113169303"/>
      <w:r w:rsidRPr="00A07370">
        <w:t>Drafting resources were applied, and Bills were drafted, in accordance with government priorities.</w:t>
      </w:r>
      <w:bookmarkEnd w:id="37"/>
    </w:p>
    <w:p w:rsidR="00C97DDD" w:rsidRPr="00A07370" w:rsidRDefault="00C97DDD" w:rsidP="00C97DDD">
      <w:pPr>
        <w:pStyle w:val="BodyNum"/>
      </w:pPr>
      <w:r w:rsidRPr="00A07370">
        <w:t>Most category T Bills were drafted and introduced. Several Bills retained category T status to ensure access to drafting resources throughout the sittings concerned. Many category A Bills, and</w:t>
      </w:r>
      <w:r w:rsidR="00203AD7">
        <w:t xml:space="preserve"> </w:t>
      </w:r>
      <w:r w:rsidR="00063F47">
        <w:t xml:space="preserve">7 </w:t>
      </w:r>
      <w:r w:rsidR="00926EA4">
        <w:t>c</w:t>
      </w:r>
      <w:r w:rsidRPr="00A07370">
        <w:t xml:space="preserve">ategory B or C Bills, were drafted and introduced. </w:t>
      </w:r>
    </w:p>
    <w:bookmarkEnd w:id="35"/>
    <w:bookmarkEnd w:id="36"/>
    <w:p w:rsidR="00C97DDD" w:rsidRPr="00A07370" w:rsidRDefault="00C97DDD" w:rsidP="00BE3CFD">
      <w:pPr>
        <w:pStyle w:val="Head5"/>
      </w:pPr>
      <w:r w:rsidRPr="00A07370">
        <w:t>Statistics for Bills introduced</w:t>
      </w:r>
    </w:p>
    <w:p w:rsidR="00C97DDD" w:rsidRPr="00A07370" w:rsidRDefault="00C97DDD" w:rsidP="00C97DDD">
      <w:pPr>
        <w:pStyle w:val="BodyNum"/>
      </w:pPr>
      <w:r w:rsidRPr="00A07370">
        <w:t xml:space="preserve">Over the year </w:t>
      </w:r>
      <w:r w:rsidR="00063F47">
        <w:t>143</w:t>
      </w:r>
      <w:r w:rsidR="006E4A12">
        <w:t xml:space="preserve"> </w:t>
      </w:r>
      <w:r w:rsidRPr="00A07370">
        <w:t xml:space="preserve">Bills, totalling </w:t>
      </w:r>
      <w:r w:rsidR="00063F47">
        <w:t>5,213</w:t>
      </w:r>
      <w:r w:rsidRPr="00A07370">
        <w:t xml:space="preserve"> pages, drafted in OPC were introduced into the Parliament. </w:t>
      </w:r>
    </w:p>
    <w:p w:rsidR="00C97DDD" w:rsidRPr="00A07370" w:rsidRDefault="00C97DDD" w:rsidP="00C97DDD">
      <w:pPr>
        <w:pStyle w:val="BodyNum"/>
      </w:pPr>
      <w:r w:rsidRPr="00A07370">
        <w:t xml:space="preserve">The table following paragraph </w:t>
      </w:r>
      <w:r w:rsidR="00FF7AFF">
        <w:fldChar w:fldCharType="begin"/>
      </w:r>
      <w:r w:rsidR="00FF7AFF">
        <w:instrText xml:space="preserve"> REF _Ref461183948 \r \h </w:instrText>
      </w:r>
      <w:r w:rsidR="00FF7AFF">
        <w:fldChar w:fldCharType="separate"/>
      </w:r>
      <w:r w:rsidR="006C41B7">
        <w:t>107</w:t>
      </w:r>
      <w:r w:rsidR="00FF7AFF">
        <w:fldChar w:fldCharType="end"/>
      </w:r>
      <w:r w:rsidRPr="00A07370">
        <w:t xml:space="preserve"> gives more detailed figures for those Bills, broken down by </w:t>
      </w:r>
      <w:r w:rsidR="00DB5EF4">
        <w:t>parliamentary sittings periods.</w:t>
      </w:r>
    </w:p>
    <w:p w:rsidR="00C97DDD" w:rsidRPr="00A07370" w:rsidRDefault="00C97DDD" w:rsidP="00E355BB">
      <w:pPr>
        <w:pStyle w:val="BodyNum"/>
      </w:pPr>
      <w:bookmarkStart w:id="38" w:name="_Ref113167204"/>
      <w:r w:rsidRPr="00A07370">
        <w:t>The figures in the table also indicate</w:t>
      </w:r>
      <w:bookmarkEnd w:id="38"/>
      <w:r w:rsidR="00E355BB">
        <w:t xml:space="preserve"> </w:t>
      </w:r>
      <w:r w:rsidRPr="00A07370">
        <w:t>the total number of Bills on the original program for each sittings that is set by the Parliamentary Business Committee of the Cabinet (</w:t>
      </w:r>
      <w:r w:rsidRPr="002F0009">
        <w:rPr>
          <w:b/>
          <w:i/>
        </w:rPr>
        <w:t>PBC</w:t>
      </w:r>
      <w:r w:rsidRPr="00A07370">
        <w:t>) at the end of the preceding sittings</w:t>
      </w:r>
      <w:r w:rsidR="00E355BB">
        <w:t xml:space="preserve">. As </w:t>
      </w:r>
      <w:r w:rsidRPr="00A07370">
        <w:t>the original program is subject to variations during the sittings</w:t>
      </w:r>
      <w:r w:rsidR="00E355BB">
        <w:t xml:space="preserve"> concerned, the n</w:t>
      </w:r>
      <w:r w:rsidR="00926EA4">
        <w:t>umber of Bills in a particular</w:t>
      </w:r>
      <w:r w:rsidR="00E355BB">
        <w:t xml:space="preserve"> category that are introduced may exceed the number on the original program.</w:t>
      </w:r>
    </w:p>
    <w:p w:rsidR="00C97DDD" w:rsidRPr="00A07370" w:rsidRDefault="00C97DDD" w:rsidP="00C97DDD">
      <w:pPr>
        <w:pStyle w:val="BodyNum"/>
      </w:pPr>
      <w:bookmarkStart w:id="39" w:name="_Ref79899081"/>
      <w:bookmarkStart w:id="40" w:name="_Ref399517413"/>
      <w:bookmarkStart w:id="41" w:name="_Ref79899473"/>
      <w:bookmarkEnd w:id="39"/>
      <w:r w:rsidRPr="00A07370">
        <w:t>An understanding of the programming approach used by PBC is necessary to make sense of the tables. This involves dividing the legislation planned for a parliamentary sittings into 4 categories:</w:t>
      </w:r>
      <w:bookmarkEnd w:id="40"/>
    </w:p>
    <w:bookmarkEnd w:id="41"/>
    <w:p w:rsidR="00C97DDD" w:rsidRPr="00A07370" w:rsidRDefault="00C97DDD" w:rsidP="00C97DDD">
      <w:pPr>
        <w:pStyle w:val="AnnualReportBullet"/>
        <w:tabs>
          <w:tab w:val="left" w:pos="360"/>
        </w:tabs>
        <w:ind w:left="360" w:hanging="360"/>
      </w:pPr>
      <w:r w:rsidRPr="00A07370">
        <w:rPr>
          <w:rFonts w:ascii="Symbol" w:hAnsi="Symbol"/>
        </w:rPr>
        <w:t></w:t>
      </w:r>
      <w:r w:rsidRPr="00A07370">
        <w:rPr>
          <w:rFonts w:ascii="Symbol" w:hAnsi="Symbol"/>
        </w:rPr>
        <w:tab/>
      </w:r>
      <w:r w:rsidRPr="00A07370">
        <w:rPr>
          <w:b/>
          <w:i/>
        </w:rPr>
        <w:t>Category T (“time critical”)</w:t>
      </w:r>
      <w:r w:rsidRPr="00A07370">
        <w:t>: These Bills are intended to be introduced and passed in a single sittings.</w:t>
      </w:r>
    </w:p>
    <w:p w:rsidR="00C97DDD" w:rsidRPr="00A07370" w:rsidRDefault="00C97DDD" w:rsidP="00C97DDD">
      <w:pPr>
        <w:pStyle w:val="AnnualReportBullet"/>
        <w:tabs>
          <w:tab w:val="left" w:pos="360"/>
        </w:tabs>
        <w:ind w:left="360" w:hanging="360"/>
      </w:pPr>
      <w:r w:rsidRPr="00A07370">
        <w:rPr>
          <w:rFonts w:ascii="Symbol" w:hAnsi="Symbol"/>
        </w:rPr>
        <w:t></w:t>
      </w:r>
      <w:r w:rsidRPr="00A07370">
        <w:rPr>
          <w:rFonts w:ascii="Symbol" w:hAnsi="Symbol"/>
        </w:rPr>
        <w:tab/>
      </w:r>
      <w:r w:rsidRPr="00A07370">
        <w:rPr>
          <w:b/>
          <w:i/>
        </w:rPr>
        <w:t>Category A</w:t>
      </w:r>
      <w:r w:rsidRPr="00A07370">
        <w:t>: Most important after category T. Generally intended for introduction, but not passage, during the sittings.</w:t>
      </w:r>
    </w:p>
    <w:p w:rsidR="00C97DDD" w:rsidRPr="00A07370" w:rsidRDefault="00C97DDD" w:rsidP="00C97DDD">
      <w:pPr>
        <w:pStyle w:val="AnnualReportBullet"/>
        <w:tabs>
          <w:tab w:val="left" w:pos="360"/>
        </w:tabs>
        <w:ind w:left="360" w:hanging="360"/>
      </w:pPr>
      <w:r w:rsidRPr="00A07370">
        <w:rPr>
          <w:rFonts w:ascii="Symbol" w:hAnsi="Symbol"/>
        </w:rPr>
        <w:t></w:t>
      </w:r>
      <w:r w:rsidRPr="00A07370">
        <w:rPr>
          <w:rFonts w:ascii="Symbol" w:hAnsi="Symbol"/>
        </w:rPr>
        <w:tab/>
      </w:r>
      <w:r w:rsidRPr="00A07370">
        <w:rPr>
          <w:b/>
          <w:i/>
        </w:rPr>
        <w:t>Category B</w:t>
      </w:r>
      <w:r w:rsidRPr="00A07370">
        <w:t>: Next most important. Generally intended for introduction, but not passage, during the sittings.</w:t>
      </w:r>
    </w:p>
    <w:p w:rsidR="00C97DDD" w:rsidRPr="00A07370" w:rsidRDefault="00C97DDD" w:rsidP="00C97DDD">
      <w:pPr>
        <w:pStyle w:val="AnnualReportBullet"/>
        <w:tabs>
          <w:tab w:val="left" w:pos="360"/>
        </w:tabs>
        <w:ind w:left="360" w:hanging="360"/>
      </w:pPr>
      <w:r w:rsidRPr="00A07370">
        <w:rPr>
          <w:rFonts w:ascii="Symbol" w:hAnsi="Symbol"/>
        </w:rPr>
        <w:t></w:t>
      </w:r>
      <w:r w:rsidRPr="00A07370">
        <w:rPr>
          <w:rFonts w:ascii="Symbol" w:hAnsi="Symbol"/>
        </w:rPr>
        <w:tab/>
      </w:r>
      <w:r w:rsidRPr="00A07370">
        <w:rPr>
          <w:b/>
          <w:i/>
        </w:rPr>
        <w:t>Category C</w:t>
      </w:r>
      <w:r w:rsidRPr="00A07370">
        <w:t>: Less important, or less likely to be ready for introduction (e.g. because final policy is dependent on the findings of a review that will not be completed until late in the sittings).</w:t>
      </w:r>
    </w:p>
    <w:p w:rsidR="00C97DDD" w:rsidRDefault="00C97DDD" w:rsidP="00C97DDD">
      <w:pPr>
        <w:pStyle w:val="BodyNum"/>
      </w:pPr>
      <w:bookmarkStart w:id="42" w:name="_Ref79899922"/>
      <w:r w:rsidRPr="00A07370">
        <w:t>Some Bills in categories A, B and C may not be intended for introduction in the sittings concerned. These are Bills that are very large, or are required for consultation purposes before introduction. Drafting of such Bills needs to be started well before the sittings proposed for introduction.</w:t>
      </w:r>
      <w:bookmarkEnd w:id="42"/>
    </w:p>
    <w:p w:rsidR="00063F47" w:rsidRPr="00B30442" w:rsidRDefault="00063F47" w:rsidP="00C97DDD">
      <w:pPr>
        <w:pStyle w:val="BodyNum"/>
      </w:pPr>
      <w:bookmarkStart w:id="43" w:name="_Ref461183948"/>
      <w:r>
        <w:t xml:space="preserve">It should be noted that, due to the calling of the election, the Winter 2016 sittings was very short. Therefore, the figures for that sittings (and for the year) </w:t>
      </w:r>
      <w:r w:rsidR="00926EA4">
        <w:t>are</w:t>
      </w:r>
      <w:r>
        <w:t xml:space="preserve"> not directly comparable with other financial years.</w:t>
      </w:r>
      <w:bookmarkEnd w:id="43"/>
    </w:p>
    <w:p w:rsidR="00845C9B" w:rsidRPr="00845C9B" w:rsidRDefault="00845C9B" w:rsidP="00845C9B">
      <w:pPr>
        <w:pStyle w:val="Heading2"/>
        <w:sectPr w:rsidR="00845C9B" w:rsidRPr="00845C9B">
          <w:headerReference w:type="default" r:id="rId39"/>
          <w:type w:val="continuous"/>
          <w:pgSz w:w="11907" w:h="16839" w:code="9"/>
          <w:pgMar w:top="1134" w:right="2410" w:bottom="4253" w:left="2410" w:header="510" w:footer="3402" w:gutter="0"/>
          <w:cols w:num="2" w:space="709"/>
          <w:docGrid w:linePitch="326"/>
        </w:sectPr>
      </w:pPr>
    </w:p>
    <w:p w:rsidR="008243F7" w:rsidRDefault="008243F7"/>
    <w:tbl>
      <w:tblPr>
        <w:tblW w:w="7230" w:type="dxa"/>
        <w:tblInd w:w="108" w:type="dxa"/>
        <w:tblBorders>
          <w:top w:val="single" w:sz="12" w:space="0" w:color="008000"/>
          <w:bottom w:val="single" w:sz="12" w:space="0" w:color="008000"/>
        </w:tblBorders>
        <w:tblLayout w:type="fixed"/>
        <w:tblLook w:val="01A0" w:firstRow="1" w:lastRow="0" w:firstColumn="1" w:lastColumn="1" w:noHBand="0" w:noVBand="0"/>
      </w:tblPr>
      <w:tblGrid>
        <w:gridCol w:w="1276"/>
        <w:gridCol w:w="3119"/>
        <w:gridCol w:w="2835"/>
      </w:tblGrid>
      <w:tr w:rsidR="00074C6A" w:rsidTr="007327BF">
        <w:tc>
          <w:tcPr>
            <w:tcW w:w="7230" w:type="dxa"/>
            <w:gridSpan w:val="3"/>
            <w:tcBorders>
              <w:top w:val="single" w:sz="12" w:space="0" w:color="000000"/>
              <w:bottom w:val="single" w:sz="6" w:space="0" w:color="000000"/>
            </w:tcBorders>
            <w:shd w:val="clear" w:color="auto" w:fill="auto"/>
          </w:tcPr>
          <w:p w:rsidR="00074C6A" w:rsidRDefault="00074C6A" w:rsidP="0063584E">
            <w:pPr>
              <w:pStyle w:val="Tabletexthead"/>
            </w:pPr>
            <w:r>
              <w:t>Bill statistics</w:t>
            </w:r>
          </w:p>
        </w:tc>
      </w:tr>
      <w:tr w:rsidR="005167ED" w:rsidTr="005167ED">
        <w:tblPrEx>
          <w:tblLook w:val="00A0" w:firstRow="1" w:lastRow="0" w:firstColumn="1" w:lastColumn="0" w:noHBand="0" w:noVBand="0"/>
        </w:tblPrEx>
        <w:tc>
          <w:tcPr>
            <w:tcW w:w="1276" w:type="dxa"/>
            <w:tcBorders>
              <w:top w:val="nil"/>
              <w:bottom w:val="single" w:sz="6" w:space="0" w:color="auto"/>
            </w:tcBorders>
            <w:shd w:val="clear" w:color="auto" w:fill="auto"/>
          </w:tcPr>
          <w:p w:rsidR="005167ED" w:rsidRDefault="005167ED" w:rsidP="00B37353">
            <w:pPr>
              <w:pStyle w:val="Tabletexthead"/>
            </w:pPr>
            <w:r>
              <w:br w:type="page"/>
              <w:t>Category</w:t>
            </w:r>
          </w:p>
        </w:tc>
        <w:tc>
          <w:tcPr>
            <w:tcW w:w="3119" w:type="dxa"/>
            <w:tcBorders>
              <w:top w:val="nil"/>
              <w:bottom w:val="single" w:sz="6" w:space="0" w:color="auto"/>
            </w:tcBorders>
            <w:shd w:val="clear" w:color="auto" w:fill="auto"/>
          </w:tcPr>
          <w:p w:rsidR="005167ED" w:rsidRDefault="005167ED" w:rsidP="00B37353">
            <w:pPr>
              <w:pStyle w:val="Tabletexthead"/>
            </w:pPr>
            <w:r>
              <w:t>Bills on original PBC program</w:t>
            </w:r>
          </w:p>
        </w:tc>
        <w:tc>
          <w:tcPr>
            <w:tcW w:w="2835" w:type="dxa"/>
            <w:tcBorders>
              <w:top w:val="nil"/>
              <w:bottom w:val="single" w:sz="6" w:space="0" w:color="auto"/>
            </w:tcBorders>
            <w:shd w:val="clear" w:color="auto" w:fill="auto"/>
          </w:tcPr>
          <w:p w:rsidR="005167ED" w:rsidRDefault="005167ED" w:rsidP="00B37353">
            <w:pPr>
              <w:pStyle w:val="Tabletexthead"/>
            </w:pPr>
            <w:r>
              <w:t>Bills introduced</w:t>
            </w:r>
          </w:p>
        </w:tc>
      </w:tr>
      <w:tr w:rsidR="00B37353" w:rsidTr="007327BF">
        <w:tblPrEx>
          <w:tblLook w:val="00A0" w:firstRow="1" w:lastRow="0" w:firstColumn="1" w:lastColumn="0" w:noHBand="0" w:noVBand="0"/>
        </w:tblPrEx>
        <w:tc>
          <w:tcPr>
            <w:tcW w:w="7230" w:type="dxa"/>
            <w:gridSpan w:val="3"/>
            <w:tcBorders>
              <w:top w:val="single" w:sz="6" w:space="0" w:color="auto"/>
              <w:bottom w:val="nil"/>
            </w:tcBorders>
            <w:shd w:val="clear" w:color="auto" w:fill="99CCFF"/>
          </w:tcPr>
          <w:p w:rsidR="00B37353" w:rsidRDefault="00B37353" w:rsidP="005A31AD">
            <w:pPr>
              <w:pStyle w:val="Tabletexthead"/>
              <w:jc w:val="center"/>
            </w:pPr>
            <w:r>
              <w:t>Spring 201</w:t>
            </w:r>
            <w:r w:rsidR="005A31AD">
              <w:t>5</w:t>
            </w:r>
            <w:r>
              <w:t xml:space="preserve"> (</w:t>
            </w:r>
            <w:r w:rsidR="00DE4C1F">
              <w:t>November</w:t>
            </w:r>
            <w:r>
              <w:t>—</w:t>
            </w:r>
            <w:r w:rsidR="00DE4C1F">
              <w:t>Dec</w:t>
            </w:r>
            <w:r>
              <w:t>ember 201</w:t>
            </w:r>
            <w:r w:rsidR="005A31AD">
              <w:t>5</w:t>
            </w:r>
            <w:r>
              <w:t>)</w:t>
            </w:r>
          </w:p>
        </w:tc>
      </w:tr>
      <w:tr w:rsidR="005167ED" w:rsidRPr="00CB554F" w:rsidTr="005167ED">
        <w:tblPrEx>
          <w:tblLook w:val="00A0" w:firstRow="1" w:lastRow="0" w:firstColumn="1" w:lastColumn="0" w:noHBand="0" w:noVBand="0"/>
        </w:tblPrEx>
        <w:tc>
          <w:tcPr>
            <w:tcW w:w="1276" w:type="dxa"/>
            <w:tcBorders>
              <w:top w:val="nil"/>
            </w:tcBorders>
            <w:shd w:val="clear" w:color="auto" w:fill="auto"/>
          </w:tcPr>
          <w:p w:rsidR="005167ED" w:rsidRPr="00CB554F" w:rsidRDefault="005167ED" w:rsidP="00B37353">
            <w:pPr>
              <w:pStyle w:val="Body"/>
              <w:spacing w:before="60"/>
              <w:rPr>
                <w:b/>
                <w:color w:val="0000FF"/>
              </w:rPr>
            </w:pPr>
            <w:r w:rsidRPr="00CB554F">
              <w:rPr>
                <w:b/>
                <w:color w:val="0000FF"/>
              </w:rPr>
              <w:t>T</w:t>
            </w:r>
          </w:p>
        </w:tc>
        <w:tc>
          <w:tcPr>
            <w:tcW w:w="3119" w:type="dxa"/>
            <w:tcBorders>
              <w:top w:val="nil"/>
            </w:tcBorders>
            <w:shd w:val="clear" w:color="auto" w:fill="auto"/>
          </w:tcPr>
          <w:p w:rsidR="005167ED" w:rsidRPr="00CB554F" w:rsidRDefault="005A31AD" w:rsidP="005167ED">
            <w:pPr>
              <w:pStyle w:val="Body"/>
              <w:tabs>
                <w:tab w:val="decimal" w:pos="660"/>
              </w:tabs>
              <w:spacing w:before="60"/>
              <w:jc w:val="center"/>
              <w:rPr>
                <w:color w:val="0000FF"/>
              </w:rPr>
            </w:pPr>
            <w:r>
              <w:rPr>
                <w:color w:val="0000FF"/>
              </w:rPr>
              <w:t>39</w:t>
            </w:r>
          </w:p>
        </w:tc>
        <w:tc>
          <w:tcPr>
            <w:tcW w:w="2835" w:type="dxa"/>
            <w:tcBorders>
              <w:top w:val="nil"/>
            </w:tcBorders>
            <w:shd w:val="clear" w:color="auto" w:fill="auto"/>
          </w:tcPr>
          <w:p w:rsidR="005167ED" w:rsidRPr="00CB554F" w:rsidRDefault="005A31AD" w:rsidP="005167ED">
            <w:pPr>
              <w:pStyle w:val="Body"/>
              <w:tabs>
                <w:tab w:val="decimal" w:pos="660"/>
              </w:tabs>
              <w:spacing w:before="60"/>
              <w:jc w:val="center"/>
              <w:rPr>
                <w:color w:val="0000FF"/>
              </w:rPr>
            </w:pPr>
            <w:r>
              <w:rPr>
                <w:color w:val="0000FF"/>
              </w:rPr>
              <w:t>50</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B37353">
            <w:pPr>
              <w:pStyle w:val="Body"/>
              <w:spacing w:before="60"/>
              <w:rPr>
                <w:b/>
                <w:color w:val="0000FF"/>
              </w:rPr>
            </w:pPr>
            <w:r w:rsidRPr="00CB554F">
              <w:rPr>
                <w:b/>
                <w:color w:val="0000FF"/>
              </w:rPr>
              <w:t>A</w:t>
            </w:r>
          </w:p>
        </w:tc>
        <w:tc>
          <w:tcPr>
            <w:tcW w:w="3119"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38</w:t>
            </w:r>
          </w:p>
        </w:tc>
        <w:tc>
          <w:tcPr>
            <w:tcW w:w="2835"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31</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B37353">
            <w:pPr>
              <w:pStyle w:val="Body"/>
              <w:spacing w:before="60"/>
              <w:rPr>
                <w:b/>
                <w:color w:val="0000FF"/>
              </w:rPr>
            </w:pPr>
            <w:r w:rsidRPr="00CB554F">
              <w:rPr>
                <w:b/>
                <w:color w:val="0000FF"/>
              </w:rPr>
              <w:t>B</w:t>
            </w:r>
          </w:p>
        </w:tc>
        <w:tc>
          <w:tcPr>
            <w:tcW w:w="3119"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15</w:t>
            </w:r>
          </w:p>
        </w:tc>
        <w:tc>
          <w:tcPr>
            <w:tcW w:w="2835"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1</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B37353">
            <w:pPr>
              <w:pStyle w:val="Body"/>
              <w:spacing w:before="60"/>
              <w:rPr>
                <w:b/>
                <w:color w:val="0000FF"/>
              </w:rPr>
            </w:pPr>
            <w:r w:rsidRPr="00CB554F">
              <w:rPr>
                <w:b/>
                <w:color w:val="0000FF"/>
              </w:rPr>
              <w:t>C</w:t>
            </w:r>
          </w:p>
        </w:tc>
        <w:tc>
          <w:tcPr>
            <w:tcW w:w="3119"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3</w:t>
            </w:r>
          </w:p>
        </w:tc>
        <w:tc>
          <w:tcPr>
            <w:tcW w:w="2835"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2</w:t>
            </w:r>
          </w:p>
        </w:tc>
      </w:tr>
      <w:tr w:rsidR="005167ED" w:rsidRPr="00CB554F" w:rsidTr="005167ED">
        <w:tblPrEx>
          <w:tblLook w:val="00A0" w:firstRow="1" w:lastRow="0" w:firstColumn="1" w:lastColumn="0" w:noHBand="0" w:noVBand="0"/>
        </w:tblPrEx>
        <w:tc>
          <w:tcPr>
            <w:tcW w:w="1276" w:type="dxa"/>
            <w:tcBorders>
              <w:bottom w:val="single" w:sz="6" w:space="0" w:color="auto"/>
            </w:tcBorders>
            <w:shd w:val="clear" w:color="auto" w:fill="auto"/>
          </w:tcPr>
          <w:p w:rsidR="005167ED" w:rsidRPr="00CB554F" w:rsidRDefault="005167ED" w:rsidP="00B37353">
            <w:pPr>
              <w:pStyle w:val="Body"/>
              <w:spacing w:before="60"/>
              <w:rPr>
                <w:b/>
                <w:color w:val="0000FF"/>
              </w:rPr>
            </w:pPr>
            <w:r w:rsidRPr="00CB554F">
              <w:rPr>
                <w:b/>
                <w:color w:val="0000FF"/>
              </w:rPr>
              <w:t>Total</w:t>
            </w:r>
          </w:p>
        </w:tc>
        <w:tc>
          <w:tcPr>
            <w:tcW w:w="3119" w:type="dxa"/>
            <w:tcBorders>
              <w:bottom w:val="single" w:sz="6" w:space="0" w:color="auto"/>
            </w:tcBorders>
            <w:shd w:val="clear" w:color="auto" w:fill="auto"/>
          </w:tcPr>
          <w:p w:rsidR="005167ED" w:rsidRPr="00CB554F" w:rsidRDefault="005A31AD" w:rsidP="005167ED">
            <w:pPr>
              <w:pStyle w:val="Body"/>
              <w:tabs>
                <w:tab w:val="decimal" w:pos="660"/>
              </w:tabs>
              <w:spacing w:before="60"/>
              <w:jc w:val="center"/>
              <w:rPr>
                <w:b/>
                <w:color w:val="0000FF"/>
              </w:rPr>
            </w:pPr>
            <w:r>
              <w:rPr>
                <w:b/>
                <w:color w:val="0000FF"/>
              </w:rPr>
              <w:t>95</w:t>
            </w:r>
          </w:p>
        </w:tc>
        <w:tc>
          <w:tcPr>
            <w:tcW w:w="2835" w:type="dxa"/>
            <w:tcBorders>
              <w:bottom w:val="single" w:sz="6" w:space="0" w:color="auto"/>
            </w:tcBorders>
            <w:shd w:val="clear" w:color="auto" w:fill="auto"/>
          </w:tcPr>
          <w:p w:rsidR="005167ED" w:rsidRPr="00B72921" w:rsidRDefault="005A31AD" w:rsidP="005167ED">
            <w:pPr>
              <w:pStyle w:val="Body"/>
              <w:tabs>
                <w:tab w:val="decimal" w:pos="660"/>
              </w:tabs>
              <w:spacing w:before="60"/>
              <w:jc w:val="center"/>
              <w:rPr>
                <w:b/>
                <w:color w:val="0000FF"/>
              </w:rPr>
            </w:pPr>
            <w:r>
              <w:rPr>
                <w:b/>
                <w:color w:val="0000FF"/>
              </w:rPr>
              <w:t>84</w:t>
            </w:r>
          </w:p>
        </w:tc>
      </w:tr>
      <w:tr w:rsidR="00B37353" w:rsidTr="007327BF">
        <w:tblPrEx>
          <w:tblLook w:val="00A0" w:firstRow="1" w:lastRow="0" w:firstColumn="1" w:lastColumn="0" w:noHBand="0" w:noVBand="0"/>
        </w:tblPrEx>
        <w:tc>
          <w:tcPr>
            <w:tcW w:w="7230" w:type="dxa"/>
            <w:gridSpan w:val="3"/>
            <w:tcBorders>
              <w:top w:val="single" w:sz="6" w:space="0" w:color="auto"/>
              <w:bottom w:val="nil"/>
            </w:tcBorders>
            <w:shd w:val="clear" w:color="auto" w:fill="99CCFF"/>
          </w:tcPr>
          <w:p w:rsidR="00B37353" w:rsidRDefault="00B37353" w:rsidP="002F0009">
            <w:pPr>
              <w:pStyle w:val="Tabletexthead"/>
              <w:jc w:val="center"/>
            </w:pPr>
            <w:r>
              <w:t>Autumn 201</w:t>
            </w:r>
            <w:r w:rsidR="002F0009">
              <w:t>6</w:t>
            </w:r>
            <w:r>
              <w:t xml:space="preserve"> (February—March 201</w:t>
            </w:r>
            <w:r w:rsidR="005A31AD">
              <w:t>6</w:t>
            </w:r>
            <w:r>
              <w:t>)</w:t>
            </w:r>
          </w:p>
        </w:tc>
      </w:tr>
      <w:tr w:rsidR="005167ED" w:rsidRPr="00CB554F" w:rsidTr="005167ED">
        <w:tblPrEx>
          <w:tblLook w:val="00A0" w:firstRow="1" w:lastRow="0" w:firstColumn="1" w:lastColumn="0" w:noHBand="0" w:noVBand="0"/>
        </w:tblPrEx>
        <w:tc>
          <w:tcPr>
            <w:tcW w:w="1276" w:type="dxa"/>
            <w:tcBorders>
              <w:top w:val="nil"/>
            </w:tcBorders>
            <w:shd w:val="clear" w:color="auto" w:fill="auto"/>
          </w:tcPr>
          <w:p w:rsidR="005167ED" w:rsidRPr="00CB554F" w:rsidRDefault="005167ED" w:rsidP="005167ED">
            <w:pPr>
              <w:pStyle w:val="Body"/>
              <w:spacing w:before="60"/>
              <w:rPr>
                <w:b/>
                <w:color w:val="0000FF"/>
              </w:rPr>
            </w:pPr>
            <w:r w:rsidRPr="00CB554F">
              <w:rPr>
                <w:b/>
                <w:color w:val="0000FF"/>
              </w:rPr>
              <w:t>T</w:t>
            </w:r>
          </w:p>
        </w:tc>
        <w:tc>
          <w:tcPr>
            <w:tcW w:w="3119" w:type="dxa"/>
            <w:tcBorders>
              <w:top w:val="nil"/>
            </w:tcBorders>
            <w:shd w:val="clear" w:color="auto" w:fill="auto"/>
          </w:tcPr>
          <w:p w:rsidR="005167ED" w:rsidRPr="00CB554F" w:rsidRDefault="005A31AD" w:rsidP="005167ED">
            <w:pPr>
              <w:pStyle w:val="Body"/>
              <w:tabs>
                <w:tab w:val="decimal" w:pos="660"/>
              </w:tabs>
              <w:spacing w:before="60"/>
              <w:jc w:val="center"/>
              <w:rPr>
                <w:color w:val="0000FF"/>
              </w:rPr>
            </w:pPr>
            <w:r>
              <w:rPr>
                <w:color w:val="0000FF"/>
              </w:rPr>
              <w:t>13</w:t>
            </w:r>
          </w:p>
        </w:tc>
        <w:tc>
          <w:tcPr>
            <w:tcW w:w="2835" w:type="dxa"/>
            <w:tcBorders>
              <w:top w:val="nil"/>
            </w:tcBorders>
            <w:shd w:val="clear" w:color="auto" w:fill="auto"/>
          </w:tcPr>
          <w:p w:rsidR="005167ED" w:rsidRPr="00CB554F" w:rsidRDefault="005A31AD" w:rsidP="005167ED">
            <w:pPr>
              <w:pStyle w:val="Body"/>
              <w:tabs>
                <w:tab w:val="decimal" w:pos="660"/>
              </w:tabs>
              <w:spacing w:before="60"/>
              <w:jc w:val="center"/>
              <w:rPr>
                <w:color w:val="0000FF"/>
              </w:rPr>
            </w:pPr>
            <w:r>
              <w:rPr>
                <w:color w:val="0000FF"/>
              </w:rPr>
              <w:t>27</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A</w:t>
            </w:r>
          </w:p>
        </w:tc>
        <w:tc>
          <w:tcPr>
            <w:tcW w:w="3119"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61</w:t>
            </w:r>
          </w:p>
        </w:tc>
        <w:tc>
          <w:tcPr>
            <w:tcW w:w="2835"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13</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B</w:t>
            </w:r>
          </w:p>
        </w:tc>
        <w:tc>
          <w:tcPr>
            <w:tcW w:w="3119"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27</w:t>
            </w:r>
          </w:p>
        </w:tc>
        <w:tc>
          <w:tcPr>
            <w:tcW w:w="2835"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2</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C</w:t>
            </w:r>
          </w:p>
        </w:tc>
        <w:tc>
          <w:tcPr>
            <w:tcW w:w="3119"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2</w:t>
            </w:r>
          </w:p>
        </w:tc>
        <w:tc>
          <w:tcPr>
            <w:tcW w:w="2835"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2</w:t>
            </w:r>
          </w:p>
        </w:tc>
      </w:tr>
      <w:tr w:rsidR="005167ED" w:rsidRPr="00CB554F" w:rsidTr="005167ED">
        <w:tblPrEx>
          <w:tblLook w:val="00A0" w:firstRow="1" w:lastRow="0" w:firstColumn="1" w:lastColumn="0" w:noHBand="0" w:noVBand="0"/>
        </w:tblPrEx>
        <w:tc>
          <w:tcPr>
            <w:tcW w:w="1276" w:type="dxa"/>
            <w:tcBorders>
              <w:bottom w:val="single" w:sz="6" w:space="0" w:color="auto"/>
            </w:tcBorders>
            <w:shd w:val="clear" w:color="auto" w:fill="auto"/>
          </w:tcPr>
          <w:p w:rsidR="005167ED" w:rsidRPr="00CB554F" w:rsidRDefault="005167ED" w:rsidP="005167ED">
            <w:pPr>
              <w:pStyle w:val="Body"/>
              <w:spacing w:before="60"/>
              <w:rPr>
                <w:b/>
                <w:color w:val="0000FF"/>
              </w:rPr>
            </w:pPr>
            <w:r w:rsidRPr="00CB554F">
              <w:rPr>
                <w:b/>
                <w:color w:val="0000FF"/>
              </w:rPr>
              <w:t>Total</w:t>
            </w:r>
          </w:p>
        </w:tc>
        <w:tc>
          <w:tcPr>
            <w:tcW w:w="3119" w:type="dxa"/>
            <w:tcBorders>
              <w:bottom w:val="single" w:sz="6" w:space="0" w:color="auto"/>
            </w:tcBorders>
            <w:shd w:val="clear" w:color="auto" w:fill="auto"/>
          </w:tcPr>
          <w:p w:rsidR="005167ED" w:rsidRPr="00CB554F" w:rsidRDefault="005A31AD" w:rsidP="005167ED">
            <w:pPr>
              <w:pStyle w:val="Body"/>
              <w:tabs>
                <w:tab w:val="decimal" w:pos="660"/>
              </w:tabs>
              <w:spacing w:before="60"/>
              <w:jc w:val="center"/>
              <w:rPr>
                <w:b/>
                <w:color w:val="0000FF"/>
              </w:rPr>
            </w:pPr>
            <w:r>
              <w:rPr>
                <w:b/>
                <w:color w:val="0000FF"/>
              </w:rPr>
              <w:t>103</w:t>
            </w:r>
          </w:p>
        </w:tc>
        <w:tc>
          <w:tcPr>
            <w:tcW w:w="2835" w:type="dxa"/>
            <w:tcBorders>
              <w:bottom w:val="single" w:sz="6" w:space="0" w:color="auto"/>
            </w:tcBorders>
            <w:shd w:val="clear" w:color="auto" w:fill="auto"/>
          </w:tcPr>
          <w:p w:rsidR="005167ED" w:rsidRPr="00B72921" w:rsidRDefault="005A31AD" w:rsidP="005167ED">
            <w:pPr>
              <w:pStyle w:val="Body"/>
              <w:tabs>
                <w:tab w:val="decimal" w:pos="660"/>
              </w:tabs>
              <w:spacing w:before="60"/>
              <w:jc w:val="center"/>
              <w:rPr>
                <w:b/>
                <w:color w:val="0000FF"/>
              </w:rPr>
            </w:pPr>
            <w:r>
              <w:rPr>
                <w:b/>
                <w:color w:val="0000FF"/>
              </w:rPr>
              <w:t>44</w:t>
            </w:r>
          </w:p>
        </w:tc>
      </w:tr>
      <w:tr w:rsidR="00B37353" w:rsidTr="007327BF">
        <w:tblPrEx>
          <w:tblLook w:val="00A0" w:firstRow="1" w:lastRow="0" w:firstColumn="1" w:lastColumn="0" w:noHBand="0" w:noVBand="0"/>
        </w:tblPrEx>
        <w:tc>
          <w:tcPr>
            <w:tcW w:w="7230" w:type="dxa"/>
            <w:gridSpan w:val="3"/>
            <w:tcBorders>
              <w:top w:val="single" w:sz="6" w:space="0" w:color="auto"/>
              <w:bottom w:val="nil"/>
            </w:tcBorders>
            <w:shd w:val="clear" w:color="auto" w:fill="99CCFF"/>
          </w:tcPr>
          <w:p w:rsidR="00B37353" w:rsidRDefault="00861A7C" w:rsidP="002F0009">
            <w:pPr>
              <w:pStyle w:val="Tabletexthead"/>
              <w:jc w:val="center"/>
            </w:pPr>
            <w:r>
              <w:t>Winter 201</w:t>
            </w:r>
            <w:r w:rsidR="002F0009">
              <w:t>6</w:t>
            </w:r>
            <w:r w:rsidR="00B37353">
              <w:t xml:space="preserve"> (May 201</w:t>
            </w:r>
            <w:r w:rsidR="005A31AD">
              <w:t>6</w:t>
            </w:r>
            <w:r w:rsidR="00B37353">
              <w:t>)</w:t>
            </w:r>
          </w:p>
        </w:tc>
      </w:tr>
      <w:tr w:rsidR="005167ED" w:rsidRPr="00CB554F" w:rsidTr="005167ED">
        <w:tblPrEx>
          <w:tblLook w:val="00A0" w:firstRow="1" w:lastRow="0" w:firstColumn="1" w:lastColumn="0" w:noHBand="0" w:noVBand="0"/>
        </w:tblPrEx>
        <w:tc>
          <w:tcPr>
            <w:tcW w:w="1276" w:type="dxa"/>
            <w:tcBorders>
              <w:top w:val="nil"/>
            </w:tcBorders>
            <w:shd w:val="clear" w:color="auto" w:fill="auto"/>
          </w:tcPr>
          <w:p w:rsidR="005167ED" w:rsidRPr="00CB554F" w:rsidRDefault="005167ED" w:rsidP="005167ED">
            <w:pPr>
              <w:pStyle w:val="Body"/>
              <w:spacing w:before="60"/>
              <w:rPr>
                <w:b/>
                <w:color w:val="0000FF"/>
              </w:rPr>
            </w:pPr>
            <w:r w:rsidRPr="00CB554F">
              <w:rPr>
                <w:b/>
                <w:color w:val="0000FF"/>
              </w:rPr>
              <w:t>T</w:t>
            </w:r>
          </w:p>
        </w:tc>
        <w:tc>
          <w:tcPr>
            <w:tcW w:w="3119" w:type="dxa"/>
            <w:tcBorders>
              <w:top w:val="nil"/>
            </w:tcBorders>
            <w:shd w:val="clear" w:color="auto" w:fill="auto"/>
          </w:tcPr>
          <w:p w:rsidR="005167ED" w:rsidRPr="00CB554F" w:rsidRDefault="005A31AD" w:rsidP="005167ED">
            <w:pPr>
              <w:pStyle w:val="Body"/>
              <w:tabs>
                <w:tab w:val="decimal" w:pos="660"/>
              </w:tabs>
              <w:spacing w:before="60"/>
              <w:jc w:val="center"/>
              <w:rPr>
                <w:color w:val="0000FF"/>
              </w:rPr>
            </w:pPr>
            <w:r>
              <w:rPr>
                <w:color w:val="0000FF"/>
              </w:rPr>
              <w:t>25</w:t>
            </w:r>
          </w:p>
        </w:tc>
        <w:tc>
          <w:tcPr>
            <w:tcW w:w="2835" w:type="dxa"/>
            <w:tcBorders>
              <w:top w:val="nil"/>
            </w:tcBorders>
            <w:shd w:val="clear" w:color="auto" w:fill="auto"/>
          </w:tcPr>
          <w:p w:rsidR="005167ED" w:rsidRPr="00CB554F" w:rsidRDefault="005A31AD" w:rsidP="005167ED">
            <w:pPr>
              <w:pStyle w:val="Body"/>
              <w:tabs>
                <w:tab w:val="decimal" w:pos="660"/>
              </w:tabs>
              <w:spacing w:before="60"/>
              <w:jc w:val="center"/>
              <w:rPr>
                <w:color w:val="0000FF"/>
              </w:rPr>
            </w:pPr>
            <w:r>
              <w:rPr>
                <w:color w:val="0000FF"/>
              </w:rPr>
              <w:t>15</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A</w:t>
            </w:r>
          </w:p>
        </w:tc>
        <w:tc>
          <w:tcPr>
            <w:tcW w:w="3119"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40</w:t>
            </w:r>
          </w:p>
        </w:tc>
        <w:tc>
          <w:tcPr>
            <w:tcW w:w="2835"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0</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B</w:t>
            </w:r>
          </w:p>
        </w:tc>
        <w:tc>
          <w:tcPr>
            <w:tcW w:w="3119"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39</w:t>
            </w:r>
          </w:p>
        </w:tc>
        <w:tc>
          <w:tcPr>
            <w:tcW w:w="2835" w:type="dxa"/>
            <w:shd w:val="clear" w:color="auto" w:fill="auto"/>
          </w:tcPr>
          <w:p w:rsidR="005167ED" w:rsidRPr="00CB554F" w:rsidRDefault="005A31AD" w:rsidP="005167ED">
            <w:pPr>
              <w:pStyle w:val="Body"/>
              <w:tabs>
                <w:tab w:val="decimal" w:pos="660"/>
              </w:tabs>
              <w:spacing w:before="60"/>
              <w:jc w:val="center"/>
              <w:rPr>
                <w:color w:val="0000FF"/>
              </w:rPr>
            </w:pPr>
            <w:r>
              <w:rPr>
                <w:color w:val="0000FF"/>
              </w:rPr>
              <w:t>0</w:t>
            </w:r>
          </w:p>
        </w:tc>
      </w:tr>
      <w:tr w:rsidR="005167ED" w:rsidRPr="00CB554F" w:rsidTr="007B6CA4">
        <w:tblPrEx>
          <w:tblLook w:val="00A0" w:firstRow="1" w:lastRow="0" w:firstColumn="1" w:lastColumn="0" w:noHBand="0" w:noVBand="0"/>
        </w:tblPrEx>
        <w:tc>
          <w:tcPr>
            <w:tcW w:w="1276" w:type="dxa"/>
            <w:tcBorders>
              <w:bottom w:val="nil"/>
            </w:tcBorders>
            <w:shd w:val="clear" w:color="auto" w:fill="auto"/>
          </w:tcPr>
          <w:p w:rsidR="005167ED" w:rsidRPr="00CB554F" w:rsidRDefault="005167ED" w:rsidP="005167ED">
            <w:pPr>
              <w:pStyle w:val="Body"/>
              <w:spacing w:before="60"/>
              <w:rPr>
                <w:b/>
                <w:color w:val="0000FF"/>
              </w:rPr>
            </w:pPr>
            <w:r w:rsidRPr="00CB554F">
              <w:rPr>
                <w:b/>
                <w:color w:val="0000FF"/>
              </w:rPr>
              <w:t>C</w:t>
            </w:r>
          </w:p>
        </w:tc>
        <w:tc>
          <w:tcPr>
            <w:tcW w:w="3119" w:type="dxa"/>
            <w:tcBorders>
              <w:bottom w:val="nil"/>
            </w:tcBorders>
            <w:shd w:val="clear" w:color="auto" w:fill="auto"/>
          </w:tcPr>
          <w:p w:rsidR="005167ED" w:rsidRPr="00CB554F" w:rsidRDefault="005A31AD" w:rsidP="005167ED">
            <w:pPr>
              <w:pStyle w:val="Body"/>
              <w:tabs>
                <w:tab w:val="decimal" w:pos="660"/>
              </w:tabs>
              <w:spacing w:before="60"/>
              <w:jc w:val="center"/>
              <w:rPr>
                <w:color w:val="0000FF"/>
              </w:rPr>
            </w:pPr>
            <w:r>
              <w:rPr>
                <w:color w:val="0000FF"/>
              </w:rPr>
              <w:t>2</w:t>
            </w:r>
          </w:p>
        </w:tc>
        <w:tc>
          <w:tcPr>
            <w:tcW w:w="2835" w:type="dxa"/>
            <w:tcBorders>
              <w:bottom w:val="nil"/>
            </w:tcBorders>
            <w:shd w:val="clear" w:color="auto" w:fill="auto"/>
          </w:tcPr>
          <w:p w:rsidR="005167ED" w:rsidRPr="00CB554F" w:rsidRDefault="005A31AD" w:rsidP="005167ED">
            <w:pPr>
              <w:pStyle w:val="Body"/>
              <w:tabs>
                <w:tab w:val="decimal" w:pos="660"/>
              </w:tabs>
              <w:spacing w:before="60"/>
              <w:jc w:val="center"/>
              <w:rPr>
                <w:color w:val="0000FF"/>
              </w:rPr>
            </w:pPr>
            <w:r>
              <w:rPr>
                <w:color w:val="0000FF"/>
              </w:rPr>
              <w:t>0</w:t>
            </w:r>
          </w:p>
        </w:tc>
      </w:tr>
      <w:tr w:rsidR="005167ED" w:rsidRPr="00CB554F" w:rsidTr="007B6CA4">
        <w:tblPrEx>
          <w:tblLook w:val="00A0" w:firstRow="1" w:lastRow="0" w:firstColumn="1" w:lastColumn="0" w:noHBand="0" w:noVBand="0"/>
        </w:tblPrEx>
        <w:tc>
          <w:tcPr>
            <w:tcW w:w="1276" w:type="dxa"/>
            <w:tcBorders>
              <w:top w:val="nil"/>
              <w:bottom w:val="single" w:sz="12" w:space="0" w:color="auto"/>
            </w:tcBorders>
            <w:shd w:val="clear" w:color="auto" w:fill="auto"/>
          </w:tcPr>
          <w:p w:rsidR="005167ED" w:rsidRPr="00CB554F" w:rsidRDefault="005167ED" w:rsidP="005167ED">
            <w:pPr>
              <w:pStyle w:val="Body"/>
              <w:spacing w:before="60"/>
              <w:rPr>
                <w:b/>
                <w:color w:val="0000FF"/>
              </w:rPr>
            </w:pPr>
            <w:r w:rsidRPr="00CB554F">
              <w:rPr>
                <w:b/>
                <w:color w:val="0000FF"/>
              </w:rPr>
              <w:t>Total</w:t>
            </w:r>
          </w:p>
        </w:tc>
        <w:tc>
          <w:tcPr>
            <w:tcW w:w="3119" w:type="dxa"/>
            <w:tcBorders>
              <w:top w:val="nil"/>
              <w:bottom w:val="single" w:sz="12" w:space="0" w:color="auto"/>
            </w:tcBorders>
            <w:shd w:val="clear" w:color="auto" w:fill="auto"/>
          </w:tcPr>
          <w:p w:rsidR="005167ED" w:rsidRPr="00CB554F" w:rsidRDefault="005A31AD" w:rsidP="005167ED">
            <w:pPr>
              <w:pStyle w:val="Body"/>
              <w:tabs>
                <w:tab w:val="decimal" w:pos="660"/>
              </w:tabs>
              <w:spacing w:before="60"/>
              <w:jc w:val="center"/>
              <w:rPr>
                <w:b/>
                <w:color w:val="0000FF"/>
              </w:rPr>
            </w:pPr>
            <w:r>
              <w:rPr>
                <w:b/>
                <w:color w:val="0000FF"/>
              </w:rPr>
              <w:t>106</w:t>
            </w:r>
          </w:p>
        </w:tc>
        <w:tc>
          <w:tcPr>
            <w:tcW w:w="2835" w:type="dxa"/>
            <w:tcBorders>
              <w:top w:val="nil"/>
              <w:bottom w:val="single" w:sz="12" w:space="0" w:color="auto"/>
            </w:tcBorders>
            <w:shd w:val="clear" w:color="auto" w:fill="auto"/>
          </w:tcPr>
          <w:p w:rsidR="005167ED" w:rsidRPr="00B72921" w:rsidRDefault="005A31AD" w:rsidP="005167ED">
            <w:pPr>
              <w:pStyle w:val="Body"/>
              <w:tabs>
                <w:tab w:val="decimal" w:pos="660"/>
              </w:tabs>
              <w:spacing w:before="60"/>
              <w:jc w:val="center"/>
              <w:rPr>
                <w:b/>
                <w:color w:val="0000FF"/>
              </w:rPr>
            </w:pPr>
            <w:r>
              <w:rPr>
                <w:b/>
                <w:color w:val="0000FF"/>
              </w:rPr>
              <w:t>15</w:t>
            </w:r>
          </w:p>
        </w:tc>
      </w:tr>
    </w:tbl>
    <w:p w:rsidR="00B37353" w:rsidRDefault="00B37353" w:rsidP="00B37353">
      <w:pPr>
        <w:pStyle w:val="PageBreak"/>
        <w:sectPr w:rsidR="00B37353">
          <w:headerReference w:type="even" r:id="rId40"/>
          <w:type w:val="continuous"/>
          <w:pgSz w:w="11907" w:h="16839" w:code="9"/>
          <w:pgMar w:top="1134" w:right="2410" w:bottom="4253" w:left="2410" w:header="510" w:footer="3402" w:gutter="0"/>
          <w:cols w:space="709"/>
          <w:docGrid w:linePitch="326"/>
        </w:sectPr>
      </w:pPr>
      <w:bookmarkStart w:id="44" w:name="_Ref79899961"/>
      <w:bookmarkStart w:id="45" w:name="_Ref81116972"/>
    </w:p>
    <w:bookmarkEnd w:id="44"/>
    <w:bookmarkEnd w:id="45"/>
    <w:p w:rsidR="00BE3CFD" w:rsidRPr="005A7848" w:rsidRDefault="00BE3CFD" w:rsidP="00BE3CFD">
      <w:pPr>
        <w:pStyle w:val="Head5"/>
      </w:pPr>
      <w:r w:rsidRPr="005A7848">
        <w:t>Client feedback</w:t>
      </w:r>
    </w:p>
    <w:p w:rsidR="00C97DDD" w:rsidRDefault="00C97DDD" w:rsidP="00C97DDD">
      <w:pPr>
        <w:pStyle w:val="BodyNum"/>
      </w:pPr>
      <w:r>
        <w:t>OPC surveys its direct clients (agency instructors) about all Bills drafted. Among other things, clients are asked whether the Bills as introduced reflect their policy intentions. Survey responses for 201</w:t>
      </w:r>
      <w:r w:rsidR="002F0009">
        <w:t>5</w:t>
      </w:r>
      <w:r>
        <w:t>-201</w:t>
      </w:r>
      <w:r w:rsidR="002F0009">
        <w:t>6</w:t>
      </w:r>
      <w:r>
        <w:t xml:space="preserve"> indicated that all Bills reflected their sponsors’ policy intentions. However, since Bills are not introduced without clearance from those sponsors, it would be surprising if sponsors did not believe that Bills reflected the sponsors’ policy intentions when they were introduced.</w:t>
      </w:r>
    </w:p>
    <w:p w:rsidR="00C97DDD" w:rsidRDefault="00C97DDD" w:rsidP="00C97DDD">
      <w:pPr>
        <w:pStyle w:val="BodyNum"/>
      </w:pPr>
      <w:r>
        <w:t xml:space="preserve">The target in the Portfolio Budget Statements for the average response to “overall satisfaction” was 4.0 out of 5 (where 5 is the highest rating). The result for this year </w:t>
      </w:r>
      <w:r w:rsidRPr="002E007C">
        <w:t xml:space="preserve">was </w:t>
      </w:r>
      <w:r w:rsidRPr="00C91508">
        <w:t>4.9</w:t>
      </w:r>
      <w:r>
        <w:t xml:space="preserve"> out of 5.</w:t>
      </w:r>
    </w:p>
    <w:p w:rsidR="007375A2" w:rsidRDefault="00C97DDD" w:rsidP="00937B4A">
      <w:pPr>
        <w:pStyle w:val="BodyNum"/>
      </w:pPr>
      <w:bookmarkStart w:id="46" w:name="_Ref334530258"/>
      <w:r>
        <w:t xml:space="preserve">Comments included in responses to the client surveys reinforced this very high degree of satisfaction with </w:t>
      </w:r>
      <w:r w:rsidR="005743A1">
        <w:t>OPC’s services</w:t>
      </w:r>
      <w:r>
        <w:t>. Comments in response to the question “</w:t>
      </w:r>
      <w:r w:rsidRPr="00664ADE">
        <w:rPr>
          <w:rFonts w:cs="Arial"/>
          <w:i/>
        </w:rPr>
        <w:t>What did you like most about this experience with the Office?</w:t>
      </w:r>
      <w:r w:rsidRPr="005743A1">
        <w:rPr>
          <w:rFonts w:cs="Arial"/>
        </w:rPr>
        <w:t xml:space="preserve">” </w:t>
      </w:r>
      <w:r>
        <w:t>included:</w:t>
      </w:r>
      <w:bookmarkEnd w:id="46"/>
    </w:p>
    <w:p w:rsidR="00937B4A" w:rsidRDefault="00937B4A" w:rsidP="00937B4A">
      <w:pPr>
        <w:pStyle w:val="BodyNum"/>
        <w:numPr>
          <w:ilvl w:val="0"/>
          <w:numId w:val="0"/>
        </w:numPr>
        <w:rPr>
          <w:i/>
        </w:rPr>
      </w:pPr>
      <w:r>
        <w:rPr>
          <w:i/>
        </w:rPr>
        <w:t>“Their responsiveness, patience and professionalism throughout the drafting process, especially under sometimes difficult circumstances; e.g. where instructions were coming from a number of sources, where policy parameters were changing from day-to-day and where drafting was required urgently.”</w:t>
      </w:r>
    </w:p>
    <w:p w:rsidR="00937B4A" w:rsidRDefault="00937B4A" w:rsidP="00937B4A">
      <w:pPr>
        <w:pStyle w:val="BodyNum"/>
        <w:numPr>
          <w:ilvl w:val="0"/>
          <w:numId w:val="0"/>
        </w:numPr>
        <w:rPr>
          <w:i/>
        </w:rPr>
      </w:pPr>
      <w:r>
        <w:rPr>
          <w:i/>
        </w:rPr>
        <w:t>“Everything was done very quickly and easily. The whole process was very smooth.”</w:t>
      </w:r>
    </w:p>
    <w:p w:rsidR="00937B4A" w:rsidRDefault="00937B4A" w:rsidP="00937B4A">
      <w:pPr>
        <w:pStyle w:val="BodyNum"/>
        <w:numPr>
          <w:ilvl w:val="0"/>
          <w:numId w:val="0"/>
        </w:numPr>
        <w:rPr>
          <w:i/>
        </w:rPr>
      </w:pPr>
      <w:r>
        <w:rPr>
          <w:i/>
        </w:rPr>
        <w:t>“OPC drafters are flexible, intelligent and easy to talk to. They suggest great drafting options to meet our policy needs.”</w:t>
      </w:r>
    </w:p>
    <w:p w:rsidR="00937B4A" w:rsidRDefault="00937B4A" w:rsidP="00937B4A">
      <w:pPr>
        <w:pStyle w:val="BodyNum"/>
        <w:numPr>
          <w:ilvl w:val="0"/>
          <w:numId w:val="0"/>
        </w:numPr>
        <w:rPr>
          <w:i/>
        </w:rPr>
      </w:pPr>
      <w:r>
        <w:rPr>
          <w:i/>
        </w:rPr>
        <w:t>“I continue to be amazed at the flexibility and patience of OPC drafters when given ridiculous timeframes to work with. You</w:t>
      </w:r>
      <w:r w:rsidR="000C61BE">
        <w:rPr>
          <w:i/>
        </w:rPr>
        <w:t xml:space="preserve"> a</w:t>
      </w:r>
      <w:r>
        <w:rPr>
          <w:i/>
        </w:rPr>
        <w:t>re consummate professionals.”</w:t>
      </w:r>
    </w:p>
    <w:p w:rsidR="00937B4A" w:rsidRDefault="00727098" w:rsidP="00937B4A">
      <w:pPr>
        <w:pStyle w:val="BodyNum"/>
        <w:numPr>
          <w:ilvl w:val="0"/>
          <w:numId w:val="0"/>
        </w:numPr>
        <w:rPr>
          <w:i/>
        </w:rPr>
      </w:pPr>
      <w:r>
        <w:rPr>
          <w:i/>
        </w:rPr>
        <w:t>“The drafting team was always available to answer questions and consider other perspectives. Their calm and patience is outstanding.”</w:t>
      </w:r>
    </w:p>
    <w:p w:rsidR="00727098" w:rsidRDefault="00727098" w:rsidP="00937B4A">
      <w:pPr>
        <w:pStyle w:val="BodyNum"/>
        <w:numPr>
          <w:ilvl w:val="0"/>
          <w:numId w:val="0"/>
        </w:numPr>
        <w:rPr>
          <w:i/>
        </w:rPr>
      </w:pPr>
      <w:r>
        <w:rPr>
          <w:i/>
        </w:rPr>
        <w:t>“Great customer service, responsiveness, willingness to discuss and resolve issues, great working relationship.”</w:t>
      </w:r>
    </w:p>
    <w:p w:rsidR="00727098" w:rsidRDefault="00727098" w:rsidP="00937B4A">
      <w:pPr>
        <w:pStyle w:val="BodyNum"/>
        <w:numPr>
          <w:ilvl w:val="0"/>
          <w:numId w:val="0"/>
        </w:numPr>
        <w:rPr>
          <w:i/>
        </w:rPr>
      </w:pPr>
      <w:r>
        <w:rPr>
          <w:i/>
        </w:rPr>
        <w:t>“Our drafting team was very helpful in providing advice to help us resolve issues. They also identified a few issues that we hadn’t considered and helped us resolve them. They also worked to very tight deadlines, which we greatly appreciated.”</w:t>
      </w:r>
    </w:p>
    <w:p w:rsidR="00727098" w:rsidRDefault="00727098" w:rsidP="00937B4A">
      <w:pPr>
        <w:pStyle w:val="BodyNum"/>
        <w:numPr>
          <w:ilvl w:val="0"/>
          <w:numId w:val="0"/>
        </w:numPr>
        <w:rPr>
          <w:i/>
        </w:rPr>
      </w:pPr>
      <w:r>
        <w:rPr>
          <w:i/>
        </w:rPr>
        <w:t>“I continue to be impressed by the excellent service provided by OPC and the exemplary performance of drafting teams.”</w:t>
      </w:r>
    </w:p>
    <w:p w:rsidR="00F072CF" w:rsidRPr="00727098" w:rsidRDefault="00727098" w:rsidP="00727098">
      <w:pPr>
        <w:pStyle w:val="BodyNum"/>
        <w:numPr>
          <w:ilvl w:val="0"/>
          <w:numId w:val="0"/>
        </w:numPr>
        <w:rPr>
          <w:rStyle w:val="CharSubdText"/>
          <w:i/>
        </w:rPr>
      </w:pPr>
      <w:r>
        <w:rPr>
          <w:i/>
        </w:rPr>
        <w:t>“Responsiveness and can do attitude, together with excellent problem solving.”</w:t>
      </w:r>
    </w:p>
    <w:p w:rsidR="00C97DDD" w:rsidRDefault="00C97DDD" w:rsidP="00BE3CFD">
      <w:pPr>
        <w:pStyle w:val="Head5"/>
      </w:pPr>
      <w:r>
        <w:rPr>
          <w:rStyle w:val="CharSubdText"/>
        </w:rPr>
        <w:t>Parliamentary amendments</w:t>
      </w:r>
    </w:p>
    <w:p w:rsidR="00C97DDD" w:rsidRDefault="00C97DDD" w:rsidP="00C97DDD">
      <w:pPr>
        <w:pStyle w:val="BodyNum"/>
      </w:pPr>
      <w:bookmarkStart w:id="47" w:name="_Ref79899578"/>
      <w:r>
        <w:t>OPC keeps records of the numbers of parliamentary amendments drafted and the proportion of those amendments required to correct drafting errors in the Bills concerned. The figures are set out in the following table.</w:t>
      </w:r>
      <w:bookmarkEnd w:id="47"/>
    </w:p>
    <w:p w:rsidR="00C97DDD" w:rsidRDefault="00C97DDD" w:rsidP="00C97DDD">
      <w:pPr>
        <w:pStyle w:val="BodyNum"/>
      </w:pPr>
      <w:bookmarkStart w:id="48" w:name="_Ref79899593"/>
      <w:r>
        <w:t>The table also shows figures for reporting years since 2008-2009, to enable trends to be identified. The table relates to the numbers of amendments drafted in OPC, not all of which were moved in the Parliament.</w:t>
      </w:r>
      <w:bookmarkEnd w:id="48"/>
    </w:p>
    <w:p w:rsidR="00B37353" w:rsidRDefault="00B37353" w:rsidP="00B37353">
      <w:pPr>
        <w:pStyle w:val="Tabletext"/>
        <w:sectPr w:rsidR="00B37353">
          <w:type w:val="continuous"/>
          <w:pgSz w:w="11907" w:h="16839" w:code="9"/>
          <w:pgMar w:top="1134" w:right="2410" w:bottom="4253" w:left="2410" w:header="510" w:footer="3402" w:gutter="0"/>
          <w:cols w:num="2" w:space="709"/>
          <w:docGrid w:linePitch="326"/>
        </w:sectPr>
      </w:pPr>
    </w:p>
    <w:p w:rsidR="008B746B" w:rsidRDefault="008B746B">
      <w:pPr>
        <w:rPr>
          <w:sz w:val="16"/>
          <w:szCs w:val="16"/>
        </w:rPr>
      </w:pPr>
    </w:p>
    <w:p w:rsidR="00C91508" w:rsidRDefault="00C91508" w:rsidP="00C91508">
      <w:pPr>
        <w:rPr>
          <w:sz w:val="16"/>
          <w:szCs w:val="16"/>
        </w:rPr>
      </w:pPr>
    </w:p>
    <w:tbl>
      <w:tblPr>
        <w:tblW w:w="7428" w:type="dxa"/>
        <w:tblBorders>
          <w:top w:val="single" w:sz="12" w:space="0" w:color="auto"/>
          <w:bottom w:val="single" w:sz="12" w:space="0" w:color="auto"/>
        </w:tblBorders>
        <w:tblLayout w:type="fixed"/>
        <w:tblLook w:val="01A0" w:firstRow="1" w:lastRow="0" w:firstColumn="1" w:lastColumn="1" w:noHBand="0" w:noVBand="0"/>
      </w:tblPr>
      <w:tblGrid>
        <w:gridCol w:w="730"/>
        <w:gridCol w:w="1418"/>
        <w:gridCol w:w="1440"/>
        <w:gridCol w:w="1440"/>
        <w:gridCol w:w="1560"/>
        <w:gridCol w:w="840"/>
      </w:tblGrid>
      <w:tr w:rsidR="00C91508" w:rsidTr="00E20FA1">
        <w:tc>
          <w:tcPr>
            <w:tcW w:w="7428" w:type="dxa"/>
            <w:gridSpan w:val="6"/>
            <w:tcBorders>
              <w:top w:val="single" w:sz="12" w:space="0" w:color="auto"/>
              <w:bottom w:val="single" w:sz="2" w:space="0" w:color="auto"/>
            </w:tcBorders>
            <w:shd w:val="clear" w:color="auto" w:fill="auto"/>
          </w:tcPr>
          <w:p w:rsidR="00C91508" w:rsidRDefault="00C91508" w:rsidP="00C95AED">
            <w:pPr>
              <w:pStyle w:val="Tabletexthead"/>
            </w:pPr>
            <w:r>
              <w:t>Parliamentary amendment statistics</w:t>
            </w:r>
          </w:p>
          <w:p w:rsidR="00C91508" w:rsidRDefault="00C91508" w:rsidP="00C95AED">
            <w:pPr>
              <w:pStyle w:val="Tabletexthead"/>
            </w:pPr>
            <w:r>
              <w:t>Number of amendments drafted (% of total)</w:t>
            </w:r>
          </w:p>
        </w:tc>
      </w:tr>
      <w:tr w:rsidR="00C91508" w:rsidTr="00E20FA1">
        <w:tc>
          <w:tcPr>
            <w:tcW w:w="730" w:type="dxa"/>
            <w:tcBorders>
              <w:top w:val="single" w:sz="2" w:space="0" w:color="auto"/>
              <w:bottom w:val="single" w:sz="2" w:space="0" w:color="auto"/>
            </w:tcBorders>
            <w:shd w:val="clear" w:color="auto" w:fill="auto"/>
          </w:tcPr>
          <w:p w:rsidR="00C91508" w:rsidRDefault="00C91508" w:rsidP="00C95AED">
            <w:pPr>
              <w:pStyle w:val="Tabletexthead"/>
            </w:pPr>
            <w:r>
              <w:t>Year</w:t>
            </w:r>
          </w:p>
        </w:tc>
        <w:tc>
          <w:tcPr>
            <w:tcW w:w="1418" w:type="dxa"/>
            <w:tcBorders>
              <w:top w:val="single" w:sz="2" w:space="0" w:color="auto"/>
              <w:bottom w:val="single" w:sz="2" w:space="0" w:color="auto"/>
            </w:tcBorders>
            <w:shd w:val="clear" w:color="auto" w:fill="auto"/>
          </w:tcPr>
          <w:p w:rsidR="00C91508" w:rsidRDefault="00C91508" w:rsidP="00C95AED">
            <w:pPr>
              <w:pStyle w:val="Tabletexthead"/>
            </w:pPr>
            <w:r>
              <w:t>Government policy change</w:t>
            </w:r>
          </w:p>
        </w:tc>
        <w:tc>
          <w:tcPr>
            <w:tcW w:w="1440" w:type="dxa"/>
            <w:tcBorders>
              <w:top w:val="single" w:sz="2" w:space="0" w:color="auto"/>
              <w:bottom w:val="single" w:sz="2" w:space="0" w:color="auto"/>
            </w:tcBorders>
            <w:shd w:val="clear" w:color="auto" w:fill="auto"/>
          </w:tcPr>
          <w:p w:rsidR="00C91508" w:rsidRDefault="00C91508" w:rsidP="00C95AED">
            <w:pPr>
              <w:pStyle w:val="Tabletexthead"/>
            </w:pPr>
            <w:r>
              <w:t>Government new policy</w:t>
            </w:r>
          </w:p>
        </w:tc>
        <w:tc>
          <w:tcPr>
            <w:tcW w:w="1440" w:type="dxa"/>
            <w:tcBorders>
              <w:top w:val="single" w:sz="2" w:space="0" w:color="auto"/>
              <w:bottom w:val="single" w:sz="2" w:space="0" w:color="auto"/>
            </w:tcBorders>
            <w:shd w:val="clear" w:color="auto" w:fill="auto"/>
          </w:tcPr>
          <w:p w:rsidR="00C91508" w:rsidRDefault="00C91508" w:rsidP="00C95AED">
            <w:pPr>
              <w:pStyle w:val="Tabletexthead"/>
            </w:pPr>
            <w:r>
              <w:t>Government correction of drafting errors</w:t>
            </w:r>
          </w:p>
        </w:tc>
        <w:tc>
          <w:tcPr>
            <w:tcW w:w="1560" w:type="dxa"/>
            <w:tcBorders>
              <w:top w:val="single" w:sz="2" w:space="0" w:color="auto"/>
              <w:bottom w:val="single" w:sz="2" w:space="0" w:color="auto"/>
            </w:tcBorders>
            <w:shd w:val="clear" w:color="auto" w:fill="auto"/>
          </w:tcPr>
          <w:p w:rsidR="00C91508" w:rsidRDefault="00C91508" w:rsidP="00C95AED">
            <w:pPr>
              <w:pStyle w:val="Tabletexthead"/>
            </w:pPr>
            <w:r>
              <w:t>Non-government amendments</w:t>
            </w:r>
          </w:p>
        </w:tc>
        <w:tc>
          <w:tcPr>
            <w:tcW w:w="840" w:type="dxa"/>
            <w:tcBorders>
              <w:top w:val="single" w:sz="2" w:space="0" w:color="auto"/>
              <w:bottom w:val="single" w:sz="2" w:space="0" w:color="auto"/>
            </w:tcBorders>
            <w:shd w:val="clear" w:color="auto" w:fill="auto"/>
          </w:tcPr>
          <w:p w:rsidR="00C91508" w:rsidRDefault="00C91508" w:rsidP="00C95AED">
            <w:pPr>
              <w:pStyle w:val="Tabletexthead"/>
            </w:pPr>
            <w:r>
              <w:t>Total</w:t>
            </w:r>
          </w:p>
        </w:tc>
      </w:tr>
      <w:tr w:rsidR="00C10173" w:rsidRPr="00CB554F" w:rsidTr="00E20FA1">
        <w:tc>
          <w:tcPr>
            <w:tcW w:w="730" w:type="dxa"/>
            <w:tcBorders>
              <w:top w:val="single" w:sz="2" w:space="0" w:color="auto"/>
            </w:tcBorders>
            <w:shd w:val="clear" w:color="auto" w:fill="auto"/>
          </w:tcPr>
          <w:p w:rsidR="00C10173" w:rsidRDefault="00C10173" w:rsidP="00C10173">
            <w:pPr>
              <w:pStyle w:val="Body"/>
              <w:spacing w:before="60"/>
              <w:rPr>
                <w:b/>
                <w:color w:val="0000FF"/>
                <w:szCs w:val="20"/>
              </w:rPr>
            </w:pPr>
            <w:r w:rsidRPr="006C28A6">
              <w:rPr>
                <w:b/>
                <w:color w:val="0000FF"/>
                <w:szCs w:val="20"/>
              </w:rPr>
              <w:t>201</w:t>
            </w:r>
            <w:r>
              <w:rPr>
                <w:b/>
                <w:color w:val="0000FF"/>
                <w:szCs w:val="20"/>
              </w:rPr>
              <w:t>5</w:t>
            </w:r>
            <w:r w:rsidRPr="006C28A6">
              <w:rPr>
                <w:b/>
                <w:color w:val="0000FF"/>
                <w:szCs w:val="20"/>
              </w:rPr>
              <w:t>-201</w:t>
            </w:r>
            <w:r>
              <w:rPr>
                <w:b/>
                <w:color w:val="0000FF"/>
                <w:szCs w:val="20"/>
              </w:rPr>
              <w:t>6</w:t>
            </w:r>
          </w:p>
        </w:tc>
        <w:tc>
          <w:tcPr>
            <w:tcW w:w="1418" w:type="dxa"/>
            <w:shd w:val="clear" w:color="auto" w:fill="auto"/>
          </w:tcPr>
          <w:p w:rsidR="00C10173" w:rsidRDefault="006141AE" w:rsidP="00C95AED">
            <w:pPr>
              <w:pStyle w:val="Body"/>
              <w:spacing w:before="60"/>
              <w:jc w:val="center"/>
              <w:rPr>
                <w:color w:val="0000FF"/>
                <w:szCs w:val="20"/>
              </w:rPr>
            </w:pPr>
            <w:r>
              <w:rPr>
                <w:color w:val="0000FF"/>
                <w:szCs w:val="20"/>
              </w:rPr>
              <w:t>281 (74.7)</w:t>
            </w:r>
          </w:p>
        </w:tc>
        <w:tc>
          <w:tcPr>
            <w:tcW w:w="1440" w:type="dxa"/>
            <w:shd w:val="clear" w:color="auto" w:fill="auto"/>
          </w:tcPr>
          <w:p w:rsidR="00C10173" w:rsidRDefault="006141AE" w:rsidP="00C95AED">
            <w:pPr>
              <w:pStyle w:val="Body"/>
              <w:spacing w:before="60"/>
              <w:jc w:val="center"/>
              <w:rPr>
                <w:color w:val="0000FF"/>
                <w:szCs w:val="20"/>
              </w:rPr>
            </w:pPr>
            <w:r>
              <w:rPr>
                <w:color w:val="0000FF"/>
                <w:szCs w:val="20"/>
              </w:rPr>
              <w:t>37 (9.8)</w:t>
            </w:r>
          </w:p>
        </w:tc>
        <w:tc>
          <w:tcPr>
            <w:tcW w:w="1440" w:type="dxa"/>
            <w:shd w:val="clear" w:color="auto" w:fill="auto"/>
          </w:tcPr>
          <w:p w:rsidR="00C10173" w:rsidRDefault="006141AE" w:rsidP="002F0009">
            <w:pPr>
              <w:pStyle w:val="Body"/>
              <w:spacing w:before="60"/>
              <w:jc w:val="center"/>
              <w:rPr>
                <w:color w:val="0000FF"/>
                <w:szCs w:val="20"/>
              </w:rPr>
            </w:pPr>
            <w:r>
              <w:rPr>
                <w:color w:val="0000FF"/>
                <w:szCs w:val="20"/>
              </w:rPr>
              <w:t>1 (0.</w:t>
            </w:r>
            <w:r w:rsidR="002F0009">
              <w:rPr>
                <w:color w:val="0000FF"/>
                <w:szCs w:val="20"/>
              </w:rPr>
              <w:t>3</w:t>
            </w:r>
            <w:r>
              <w:rPr>
                <w:color w:val="0000FF"/>
                <w:szCs w:val="20"/>
              </w:rPr>
              <w:t>)</w:t>
            </w:r>
          </w:p>
        </w:tc>
        <w:tc>
          <w:tcPr>
            <w:tcW w:w="1560" w:type="dxa"/>
            <w:shd w:val="clear" w:color="auto" w:fill="auto"/>
          </w:tcPr>
          <w:p w:rsidR="00C10173" w:rsidRDefault="006141AE" w:rsidP="00255084">
            <w:pPr>
              <w:pStyle w:val="Body"/>
              <w:spacing w:before="60"/>
              <w:jc w:val="center"/>
              <w:rPr>
                <w:color w:val="0000FF"/>
                <w:szCs w:val="20"/>
              </w:rPr>
            </w:pPr>
            <w:r>
              <w:rPr>
                <w:color w:val="0000FF"/>
                <w:szCs w:val="20"/>
              </w:rPr>
              <w:t>57 (15.2)</w:t>
            </w:r>
          </w:p>
        </w:tc>
        <w:tc>
          <w:tcPr>
            <w:tcW w:w="840" w:type="dxa"/>
            <w:shd w:val="clear" w:color="auto" w:fill="auto"/>
          </w:tcPr>
          <w:p w:rsidR="00C10173" w:rsidRDefault="006141AE" w:rsidP="00C95AED">
            <w:pPr>
              <w:pStyle w:val="Body"/>
              <w:spacing w:before="60"/>
              <w:jc w:val="center"/>
              <w:rPr>
                <w:b/>
                <w:color w:val="0000FF"/>
                <w:szCs w:val="20"/>
              </w:rPr>
            </w:pPr>
            <w:r>
              <w:rPr>
                <w:b/>
                <w:color w:val="0000FF"/>
                <w:szCs w:val="20"/>
              </w:rPr>
              <w:t>376</w:t>
            </w:r>
          </w:p>
        </w:tc>
      </w:tr>
      <w:tr w:rsidR="00C10173" w:rsidRPr="00CB554F" w:rsidTr="005167ED">
        <w:tc>
          <w:tcPr>
            <w:tcW w:w="730" w:type="dxa"/>
            <w:shd w:val="clear" w:color="auto" w:fill="auto"/>
          </w:tcPr>
          <w:p w:rsidR="00C10173" w:rsidRDefault="00C10173" w:rsidP="005167ED">
            <w:pPr>
              <w:pStyle w:val="Body"/>
              <w:spacing w:before="60"/>
              <w:rPr>
                <w:b/>
                <w:color w:val="0000FF"/>
                <w:szCs w:val="20"/>
              </w:rPr>
            </w:pPr>
            <w:r w:rsidRPr="006C28A6">
              <w:rPr>
                <w:b/>
                <w:color w:val="0000FF"/>
                <w:szCs w:val="20"/>
              </w:rPr>
              <w:t>2014-2015</w:t>
            </w:r>
          </w:p>
        </w:tc>
        <w:tc>
          <w:tcPr>
            <w:tcW w:w="1418" w:type="dxa"/>
            <w:shd w:val="clear" w:color="auto" w:fill="auto"/>
          </w:tcPr>
          <w:p w:rsidR="00C10173" w:rsidRDefault="00C10173" w:rsidP="005167ED">
            <w:pPr>
              <w:pStyle w:val="Body"/>
              <w:spacing w:before="60"/>
              <w:jc w:val="center"/>
              <w:rPr>
                <w:color w:val="0000FF"/>
                <w:szCs w:val="20"/>
              </w:rPr>
            </w:pPr>
            <w:r>
              <w:rPr>
                <w:color w:val="0000FF"/>
                <w:szCs w:val="20"/>
              </w:rPr>
              <w:t>783 (88.0)</w:t>
            </w:r>
          </w:p>
        </w:tc>
        <w:tc>
          <w:tcPr>
            <w:tcW w:w="1440" w:type="dxa"/>
            <w:shd w:val="clear" w:color="auto" w:fill="auto"/>
          </w:tcPr>
          <w:p w:rsidR="00C10173" w:rsidRDefault="00C10173" w:rsidP="005167ED">
            <w:pPr>
              <w:pStyle w:val="Body"/>
              <w:spacing w:before="60"/>
              <w:jc w:val="center"/>
              <w:rPr>
                <w:color w:val="0000FF"/>
                <w:szCs w:val="20"/>
              </w:rPr>
            </w:pPr>
            <w:r>
              <w:rPr>
                <w:color w:val="0000FF"/>
                <w:szCs w:val="20"/>
              </w:rPr>
              <w:t>14 (1.6)</w:t>
            </w:r>
          </w:p>
        </w:tc>
        <w:tc>
          <w:tcPr>
            <w:tcW w:w="1440" w:type="dxa"/>
            <w:shd w:val="clear" w:color="auto" w:fill="auto"/>
          </w:tcPr>
          <w:p w:rsidR="00C10173" w:rsidRDefault="00C10173" w:rsidP="005167ED">
            <w:pPr>
              <w:pStyle w:val="Body"/>
              <w:spacing w:before="60"/>
              <w:jc w:val="center"/>
              <w:rPr>
                <w:color w:val="0000FF"/>
                <w:szCs w:val="20"/>
              </w:rPr>
            </w:pPr>
            <w:r>
              <w:rPr>
                <w:color w:val="0000FF"/>
                <w:szCs w:val="20"/>
              </w:rPr>
              <w:t>19 (2.1)</w:t>
            </w:r>
          </w:p>
        </w:tc>
        <w:tc>
          <w:tcPr>
            <w:tcW w:w="1560" w:type="dxa"/>
            <w:shd w:val="clear" w:color="auto" w:fill="auto"/>
          </w:tcPr>
          <w:p w:rsidR="00C10173" w:rsidRDefault="00C10173" w:rsidP="005167ED">
            <w:pPr>
              <w:pStyle w:val="Body"/>
              <w:spacing w:before="60"/>
              <w:jc w:val="center"/>
              <w:rPr>
                <w:color w:val="0000FF"/>
                <w:szCs w:val="20"/>
              </w:rPr>
            </w:pPr>
            <w:r>
              <w:rPr>
                <w:color w:val="0000FF"/>
                <w:szCs w:val="20"/>
              </w:rPr>
              <w:t>74 (8.3)</w:t>
            </w:r>
          </w:p>
        </w:tc>
        <w:tc>
          <w:tcPr>
            <w:tcW w:w="840" w:type="dxa"/>
            <w:shd w:val="clear" w:color="auto" w:fill="auto"/>
          </w:tcPr>
          <w:p w:rsidR="00C10173" w:rsidRDefault="00C10173" w:rsidP="005167ED">
            <w:pPr>
              <w:pStyle w:val="Body"/>
              <w:spacing w:before="60"/>
              <w:jc w:val="center"/>
              <w:rPr>
                <w:b/>
                <w:color w:val="0000FF"/>
                <w:szCs w:val="20"/>
              </w:rPr>
            </w:pPr>
            <w:r>
              <w:rPr>
                <w:b/>
                <w:color w:val="0000FF"/>
                <w:szCs w:val="20"/>
              </w:rPr>
              <w:t>890</w:t>
            </w:r>
          </w:p>
        </w:tc>
      </w:tr>
      <w:tr w:rsidR="00C10173" w:rsidRPr="00CB554F" w:rsidTr="00E20FA1">
        <w:tc>
          <w:tcPr>
            <w:tcW w:w="730" w:type="dxa"/>
            <w:shd w:val="clear" w:color="auto" w:fill="auto"/>
          </w:tcPr>
          <w:p w:rsidR="00C10173" w:rsidRPr="008C5EDA" w:rsidRDefault="00C10173" w:rsidP="00C95AED">
            <w:pPr>
              <w:pStyle w:val="Body"/>
              <w:spacing w:before="60"/>
              <w:rPr>
                <w:b/>
                <w:color w:val="0000FF"/>
                <w:szCs w:val="20"/>
              </w:rPr>
            </w:pPr>
            <w:r>
              <w:rPr>
                <w:b/>
                <w:color w:val="0000FF"/>
                <w:szCs w:val="20"/>
              </w:rPr>
              <w:t>2013-2014</w:t>
            </w:r>
          </w:p>
        </w:tc>
        <w:tc>
          <w:tcPr>
            <w:tcW w:w="1418" w:type="dxa"/>
            <w:shd w:val="clear" w:color="auto" w:fill="auto"/>
          </w:tcPr>
          <w:p w:rsidR="00C10173" w:rsidRPr="008C5EDA" w:rsidRDefault="00C10173" w:rsidP="00C95AED">
            <w:pPr>
              <w:pStyle w:val="Body"/>
              <w:spacing w:before="60"/>
              <w:jc w:val="center"/>
              <w:rPr>
                <w:color w:val="0000FF"/>
                <w:szCs w:val="20"/>
              </w:rPr>
            </w:pPr>
            <w:r>
              <w:rPr>
                <w:color w:val="0000FF"/>
                <w:szCs w:val="20"/>
              </w:rPr>
              <w:t>191 (81.6)</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19 (8.1)</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1 (0.4)</w:t>
            </w:r>
          </w:p>
        </w:tc>
        <w:tc>
          <w:tcPr>
            <w:tcW w:w="1560" w:type="dxa"/>
            <w:shd w:val="clear" w:color="auto" w:fill="auto"/>
          </w:tcPr>
          <w:p w:rsidR="00C10173" w:rsidRPr="008C5EDA" w:rsidRDefault="00C10173" w:rsidP="00255084">
            <w:pPr>
              <w:pStyle w:val="Body"/>
              <w:spacing w:before="60"/>
              <w:jc w:val="center"/>
              <w:rPr>
                <w:color w:val="0000FF"/>
                <w:szCs w:val="20"/>
              </w:rPr>
            </w:pPr>
            <w:r>
              <w:rPr>
                <w:color w:val="0000FF"/>
                <w:szCs w:val="20"/>
              </w:rPr>
              <w:t>23 (9.9)</w:t>
            </w:r>
          </w:p>
        </w:tc>
        <w:tc>
          <w:tcPr>
            <w:tcW w:w="840" w:type="dxa"/>
            <w:shd w:val="clear" w:color="auto" w:fill="auto"/>
          </w:tcPr>
          <w:p w:rsidR="00C10173" w:rsidRPr="008C5EDA" w:rsidRDefault="00C10173" w:rsidP="00C95AED">
            <w:pPr>
              <w:pStyle w:val="Body"/>
              <w:spacing w:before="60"/>
              <w:jc w:val="center"/>
              <w:rPr>
                <w:b/>
                <w:color w:val="0000FF"/>
                <w:szCs w:val="20"/>
              </w:rPr>
            </w:pPr>
            <w:r>
              <w:rPr>
                <w:b/>
                <w:color w:val="0000FF"/>
                <w:szCs w:val="20"/>
              </w:rPr>
              <w:t>234</w:t>
            </w:r>
          </w:p>
        </w:tc>
      </w:tr>
      <w:tr w:rsidR="00C10173" w:rsidRPr="00CB554F" w:rsidTr="00E20FA1">
        <w:tc>
          <w:tcPr>
            <w:tcW w:w="730" w:type="dxa"/>
            <w:shd w:val="clear" w:color="auto" w:fill="auto"/>
          </w:tcPr>
          <w:p w:rsidR="00C10173" w:rsidRPr="008C5EDA" w:rsidRDefault="00C10173" w:rsidP="00C95AED">
            <w:pPr>
              <w:pStyle w:val="Body"/>
              <w:spacing w:before="60"/>
              <w:rPr>
                <w:b/>
                <w:color w:val="0000FF"/>
                <w:szCs w:val="20"/>
              </w:rPr>
            </w:pPr>
            <w:r w:rsidRPr="008C5EDA">
              <w:rPr>
                <w:b/>
                <w:color w:val="0000FF"/>
                <w:szCs w:val="20"/>
              </w:rPr>
              <w:t>201</w:t>
            </w:r>
            <w:r>
              <w:rPr>
                <w:b/>
                <w:color w:val="0000FF"/>
                <w:szCs w:val="20"/>
              </w:rPr>
              <w:t>2</w:t>
            </w:r>
            <w:r w:rsidRPr="008C5EDA">
              <w:rPr>
                <w:b/>
                <w:color w:val="0000FF"/>
                <w:szCs w:val="20"/>
              </w:rPr>
              <w:t>-201</w:t>
            </w:r>
            <w:r>
              <w:rPr>
                <w:b/>
                <w:color w:val="0000FF"/>
                <w:szCs w:val="20"/>
              </w:rPr>
              <w:t>3</w:t>
            </w:r>
          </w:p>
        </w:tc>
        <w:tc>
          <w:tcPr>
            <w:tcW w:w="1418" w:type="dxa"/>
            <w:shd w:val="clear" w:color="auto" w:fill="auto"/>
          </w:tcPr>
          <w:p w:rsidR="00C10173" w:rsidRPr="008C5EDA" w:rsidRDefault="00C10173" w:rsidP="00C95AED">
            <w:pPr>
              <w:pStyle w:val="Body"/>
              <w:spacing w:before="60"/>
              <w:jc w:val="center"/>
              <w:rPr>
                <w:color w:val="0000FF"/>
                <w:szCs w:val="20"/>
              </w:rPr>
            </w:pPr>
            <w:r>
              <w:rPr>
                <w:color w:val="0000FF"/>
                <w:szCs w:val="20"/>
              </w:rPr>
              <w:t>786 (71.6)</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254 (23.2)</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14 (1.3)</w:t>
            </w:r>
          </w:p>
        </w:tc>
        <w:tc>
          <w:tcPr>
            <w:tcW w:w="1560" w:type="dxa"/>
            <w:shd w:val="clear" w:color="auto" w:fill="auto"/>
          </w:tcPr>
          <w:p w:rsidR="00C10173" w:rsidRPr="008C5EDA" w:rsidRDefault="00C10173" w:rsidP="00C95AED">
            <w:pPr>
              <w:pStyle w:val="Body"/>
              <w:spacing w:before="60"/>
              <w:jc w:val="center"/>
              <w:rPr>
                <w:color w:val="0000FF"/>
                <w:szCs w:val="20"/>
              </w:rPr>
            </w:pPr>
            <w:r>
              <w:rPr>
                <w:color w:val="0000FF"/>
                <w:szCs w:val="20"/>
              </w:rPr>
              <w:t>43 (3.9)</w:t>
            </w:r>
          </w:p>
        </w:tc>
        <w:tc>
          <w:tcPr>
            <w:tcW w:w="840" w:type="dxa"/>
            <w:shd w:val="clear" w:color="auto" w:fill="auto"/>
          </w:tcPr>
          <w:p w:rsidR="00C10173" w:rsidRPr="008C5EDA" w:rsidRDefault="00C10173" w:rsidP="00C95AED">
            <w:pPr>
              <w:pStyle w:val="Body"/>
              <w:spacing w:before="60"/>
              <w:jc w:val="center"/>
              <w:rPr>
                <w:b/>
                <w:color w:val="0000FF"/>
                <w:szCs w:val="20"/>
              </w:rPr>
            </w:pPr>
            <w:r>
              <w:rPr>
                <w:b/>
                <w:color w:val="0000FF"/>
                <w:szCs w:val="20"/>
              </w:rPr>
              <w:t>1,097</w:t>
            </w:r>
          </w:p>
        </w:tc>
      </w:tr>
      <w:tr w:rsidR="00C10173" w:rsidRPr="00CB554F" w:rsidTr="00E20FA1">
        <w:tc>
          <w:tcPr>
            <w:tcW w:w="730" w:type="dxa"/>
            <w:shd w:val="clear" w:color="auto" w:fill="auto"/>
          </w:tcPr>
          <w:p w:rsidR="00C10173" w:rsidRPr="008C5EDA" w:rsidRDefault="00C10173" w:rsidP="00C95AED">
            <w:pPr>
              <w:pStyle w:val="Body"/>
              <w:spacing w:before="60"/>
              <w:rPr>
                <w:b/>
                <w:color w:val="0000FF"/>
                <w:szCs w:val="20"/>
              </w:rPr>
            </w:pPr>
            <w:r w:rsidRPr="008C5EDA">
              <w:rPr>
                <w:b/>
                <w:color w:val="0000FF"/>
                <w:szCs w:val="20"/>
              </w:rPr>
              <w:t>201</w:t>
            </w:r>
            <w:r>
              <w:rPr>
                <w:b/>
                <w:color w:val="0000FF"/>
                <w:szCs w:val="20"/>
              </w:rPr>
              <w:t>1</w:t>
            </w:r>
            <w:r w:rsidRPr="008C5EDA">
              <w:rPr>
                <w:b/>
                <w:color w:val="0000FF"/>
                <w:szCs w:val="20"/>
              </w:rPr>
              <w:t>-201</w:t>
            </w:r>
            <w:r>
              <w:rPr>
                <w:b/>
                <w:color w:val="0000FF"/>
                <w:szCs w:val="20"/>
              </w:rPr>
              <w:t>2</w:t>
            </w:r>
          </w:p>
        </w:tc>
        <w:tc>
          <w:tcPr>
            <w:tcW w:w="1418" w:type="dxa"/>
            <w:shd w:val="clear" w:color="auto" w:fill="auto"/>
          </w:tcPr>
          <w:p w:rsidR="00C10173" w:rsidRPr="008C5EDA" w:rsidRDefault="00C10173" w:rsidP="00C95AED">
            <w:pPr>
              <w:pStyle w:val="Body"/>
              <w:spacing w:before="60"/>
              <w:jc w:val="center"/>
              <w:rPr>
                <w:color w:val="0000FF"/>
                <w:szCs w:val="20"/>
              </w:rPr>
            </w:pPr>
            <w:r>
              <w:rPr>
                <w:color w:val="0000FF"/>
                <w:szCs w:val="20"/>
              </w:rPr>
              <w:t>734 (86.6)</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52 (6.1)</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23 (2.7)</w:t>
            </w:r>
          </w:p>
        </w:tc>
        <w:tc>
          <w:tcPr>
            <w:tcW w:w="1560" w:type="dxa"/>
            <w:shd w:val="clear" w:color="auto" w:fill="auto"/>
          </w:tcPr>
          <w:p w:rsidR="00C10173" w:rsidRPr="008C5EDA" w:rsidRDefault="00C10173" w:rsidP="00C95AED">
            <w:pPr>
              <w:pStyle w:val="Body"/>
              <w:spacing w:before="60"/>
              <w:jc w:val="center"/>
              <w:rPr>
                <w:color w:val="0000FF"/>
                <w:szCs w:val="20"/>
              </w:rPr>
            </w:pPr>
            <w:r>
              <w:rPr>
                <w:color w:val="0000FF"/>
                <w:szCs w:val="20"/>
              </w:rPr>
              <w:t>39 (4.6)</w:t>
            </w:r>
          </w:p>
        </w:tc>
        <w:tc>
          <w:tcPr>
            <w:tcW w:w="840" w:type="dxa"/>
            <w:shd w:val="clear" w:color="auto" w:fill="auto"/>
          </w:tcPr>
          <w:p w:rsidR="00C10173" w:rsidRPr="008C5EDA" w:rsidRDefault="00C10173" w:rsidP="00C95AED">
            <w:pPr>
              <w:pStyle w:val="Body"/>
              <w:spacing w:before="60"/>
              <w:jc w:val="center"/>
              <w:rPr>
                <w:b/>
                <w:color w:val="0000FF"/>
                <w:szCs w:val="20"/>
              </w:rPr>
            </w:pPr>
            <w:r>
              <w:rPr>
                <w:b/>
                <w:color w:val="0000FF"/>
                <w:szCs w:val="20"/>
              </w:rPr>
              <w:t>848</w:t>
            </w:r>
          </w:p>
        </w:tc>
      </w:tr>
      <w:tr w:rsidR="00C10173" w:rsidRPr="00CB554F" w:rsidTr="00E20FA1">
        <w:tc>
          <w:tcPr>
            <w:tcW w:w="730" w:type="dxa"/>
            <w:shd w:val="clear" w:color="auto" w:fill="auto"/>
          </w:tcPr>
          <w:p w:rsidR="00C10173" w:rsidRPr="008C5EDA" w:rsidRDefault="00C10173" w:rsidP="00C95AED">
            <w:pPr>
              <w:pStyle w:val="Body"/>
              <w:spacing w:before="60"/>
              <w:rPr>
                <w:b/>
                <w:color w:val="0000FF"/>
                <w:szCs w:val="20"/>
              </w:rPr>
            </w:pPr>
            <w:r w:rsidRPr="008C5EDA">
              <w:rPr>
                <w:b/>
                <w:color w:val="0000FF"/>
                <w:szCs w:val="20"/>
              </w:rPr>
              <w:t>2010-2011</w:t>
            </w:r>
          </w:p>
        </w:tc>
        <w:tc>
          <w:tcPr>
            <w:tcW w:w="1418" w:type="dxa"/>
            <w:shd w:val="clear" w:color="auto" w:fill="auto"/>
          </w:tcPr>
          <w:p w:rsidR="00C10173" w:rsidRPr="008C5EDA" w:rsidRDefault="00C10173" w:rsidP="00C95AED">
            <w:pPr>
              <w:pStyle w:val="Body"/>
              <w:spacing w:before="60"/>
              <w:jc w:val="center"/>
              <w:rPr>
                <w:color w:val="0000FF"/>
                <w:szCs w:val="20"/>
              </w:rPr>
            </w:pPr>
            <w:r w:rsidRPr="008C5EDA">
              <w:rPr>
                <w:color w:val="0000FF"/>
                <w:szCs w:val="20"/>
              </w:rPr>
              <w:t>529 (79.4)</w:t>
            </w:r>
          </w:p>
        </w:tc>
        <w:tc>
          <w:tcPr>
            <w:tcW w:w="1440" w:type="dxa"/>
            <w:shd w:val="clear" w:color="auto" w:fill="auto"/>
          </w:tcPr>
          <w:p w:rsidR="00C10173" w:rsidRPr="008C5EDA" w:rsidRDefault="00C10173" w:rsidP="00C95AED">
            <w:pPr>
              <w:pStyle w:val="Body"/>
              <w:spacing w:before="60"/>
              <w:jc w:val="center"/>
              <w:rPr>
                <w:color w:val="0000FF"/>
                <w:szCs w:val="20"/>
              </w:rPr>
            </w:pPr>
            <w:r w:rsidRPr="008C5EDA">
              <w:rPr>
                <w:color w:val="0000FF"/>
                <w:szCs w:val="20"/>
              </w:rPr>
              <w:t>58 (8.7)</w:t>
            </w:r>
          </w:p>
        </w:tc>
        <w:tc>
          <w:tcPr>
            <w:tcW w:w="1440" w:type="dxa"/>
            <w:shd w:val="clear" w:color="auto" w:fill="auto"/>
          </w:tcPr>
          <w:p w:rsidR="00C10173" w:rsidRPr="008C5EDA" w:rsidRDefault="00C10173" w:rsidP="00C95AED">
            <w:pPr>
              <w:pStyle w:val="Body"/>
              <w:spacing w:before="60"/>
              <w:jc w:val="center"/>
              <w:rPr>
                <w:color w:val="0000FF"/>
                <w:szCs w:val="20"/>
              </w:rPr>
            </w:pPr>
            <w:r w:rsidRPr="008C5EDA">
              <w:rPr>
                <w:color w:val="0000FF"/>
                <w:szCs w:val="20"/>
              </w:rPr>
              <w:t>3 (0.5)</w:t>
            </w:r>
          </w:p>
        </w:tc>
        <w:tc>
          <w:tcPr>
            <w:tcW w:w="1560" w:type="dxa"/>
            <w:shd w:val="clear" w:color="auto" w:fill="auto"/>
          </w:tcPr>
          <w:p w:rsidR="00C10173" w:rsidRPr="008C5EDA" w:rsidRDefault="00C10173" w:rsidP="00C95AED">
            <w:pPr>
              <w:pStyle w:val="Body"/>
              <w:spacing w:before="60"/>
              <w:jc w:val="center"/>
              <w:rPr>
                <w:color w:val="0000FF"/>
                <w:szCs w:val="20"/>
              </w:rPr>
            </w:pPr>
            <w:r w:rsidRPr="008C5EDA">
              <w:rPr>
                <w:color w:val="0000FF"/>
                <w:szCs w:val="20"/>
              </w:rPr>
              <w:t>76 (11.4)</w:t>
            </w:r>
          </w:p>
        </w:tc>
        <w:tc>
          <w:tcPr>
            <w:tcW w:w="840" w:type="dxa"/>
            <w:shd w:val="clear" w:color="auto" w:fill="auto"/>
          </w:tcPr>
          <w:p w:rsidR="00C10173" w:rsidRPr="008C5EDA" w:rsidRDefault="00C10173" w:rsidP="00C95AED">
            <w:pPr>
              <w:pStyle w:val="Body"/>
              <w:spacing w:before="60"/>
              <w:jc w:val="center"/>
              <w:rPr>
                <w:b/>
                <w:color w:val="0000FF"/>
                <w:szCs w:val="20"/>
              </w:rPr>
            </w:pPr>
            <w:r w:rsidRPr="008C5EDA">
              <w:rPr>
                <w:b/>
                <w:color w:val="0000FF"/>
                <w:szCs w:val="20"/>
              </w:rPr>
              <w:t>666</w:t>
            </w:r>
          </w:p>
        </w:tc>
      </w:tr>
      <w:tr w:rsidR="00C10173" w:rsidRPr="00CB554F" w:rsidTr="00E20FA1">
        <w:tc>
          <w:tcPr>
            <w:tcW w:w="730" w:type="dxa"/>
            <w:shd w:val="clear" w:color="auto" w:fill="auto"/>
          </w:tcPr>
          <w:p w:rsidR="00C10173" w:rsidRPr="00CB554F" w:rsidRDefault="00C10173" w:rsidP="00C95AED">
            <w:pPr>
              <w:pStyle w:val="Body"/>
              <w:spacing w:before="60"/>
              <w:rPr>
                <w:b/>
                <w:color w:val="0000FF"/>
                <w:szCs w:val="20"/>
              </w:rPr>
            </w:pPr>
            <w:r w:rsidRPr="00CB554F">
              <w:rPr>
                <w:b/>
                <w:color w:val="0000FF"/>
                <w:szCs w:val="20"/>
              </w:rPr>
              <w:t>200</w:t>
            </w:r>
            <w:r>
              <w:rPr>
                <w:b/>
                <w:color w:val="0000FF"/>
                <w:szCs w:val="20"/>
              </w:rPr>
              <w:t>9-2010</w:t>
            </w:r>
          </w:p>
        </w:tc>
        <w:tc>
          <w:tcPr>
            <w:tcW w:w="1418" w:type="dxa"/>
            <w:shd w:val="clear" w:color="auto" w:fill="auto"/>
          </w:tcPr>
          <w:p w:rsidR="00C10173" w:rsidRPr="00CB554F" w:rsidRDefault="00C10173" w:rsidP="00C95AED">
            <w:pPr>
              <w:pStyle w:val="Body"/>
              <w:spacing w:before="60"/>
              <w:jc w:val="center"/>
              <w:rPr>
                <w:color w:val="0000FF"/>
                <w:szCs w:val="20"/>
              </w:rPr>
            </w:pPr>
            <w:r>
              <w:rPr>
                <w:color w:val="0000FF"/>
                <w:szCs w:val="20"/>
              </w:rPr>
              <w:t>1,110 (81.6)</w:t>
            </w:r>
          </w:p>
        </w:tc>
        <w:tc>
          <w:tcPr>
            <w:tcW w:w="1440" w:type="dxa"/>
            <w:shd w:val="clear" w:color="auto" w:fill="auto"/>
          </w:tcPr>
          <w:p w:rsidR="00C10173" w:rsidRPr="00CB554F" w:rsidRDefault="00C10173" w:rsidP="00C95AED">
            <w:pPr>
              <w:pStyle w:val="Body"/>
              <w:spacing w:before="60"/>
              <w:jc w:val="center"/>
              <w:rPr>
                <w:color w:val="0000FF"/>
                <w:szCs w:val="20"/>
              </w:rPr>
            </w:pPr>
            <w:r>
              <w:rPr>
                <w:color w:val="0000FF"/>
                <w:szCs w:val="20"/>
              </w:rPr>
              <w:t>97 (7.1)</w:t>
            </w:r>
          </w:p>
        </w:tc>
        <w:tc>
          <w:tcPr>
            <w:tcW w:w="1440" w:type="dxa"/>
            <w:shd w:val="clear" w:color="auto" w:fill="auto"/>
          </w:tcPr>
          <w:p w:rsidR="00C10173" w:rsidRPr="00CB554F" w:rsidRDefault="00C10173" w:rsidP="00C95AED">
            <w:pPr>
              <w:pStyle w:val="Body"/>
              <w:spacing w:before="60"/>
              <w:jc w:val="center"/>
              <w:rPr>
                <w:color w:val="0000FF"/>
                <w:szCs w:val="20"/>
              </w:rPr>
            </w:pPr>
            <w:r>
              <w:rPr>
                <w:color w:val="0000FF"/>
                <w:szCs w:val="20"/>
              </w:rPr>
              <w:t>61 (4.5)</w:t>
            </w:r>
          </w:p>
        </w:tc>
        <w:tc>
          <w:tcPr>
            <w:tcW w:w="1560" w:type="dxa"/>
            <w:shd w:val="clear" w:color="auto" w:fill="auto"/>
          </w:tcPr>
          <w:p w:rsidR="00C10173" w:rsidRPr="00CB554F" w:rsidRDefault="00C10173" w:rsidP="00C95AED">
            <w:pPr>
              <w:pStyle w:val="Body"/>
              <w:spacing w:before="60"/>
              <w:jc w:val="center"/>
              <w:rPr>
                <w:color w:val="0000FF"/>
                <w:szCs w:val="20"/>
              </w:rPr>
            </w:pPr>
            <w:r>
              <w:rPr>
                <w:color w:val="0000FF"/>
                <w:szCs w:val="20"/>
              </w:rPr>
              <w:t>92 (6.8)</w:t>
            </w:r>
          </w:p>
        </w:tc>
        <w:tc>
          <w:tcPr>
            <w:tcW w:w="840" w:type="dxa"/>
            <w:shd w:val="clear" w:color="auto" w:fill="auto"/>
          </w:tcPr>
          <w:p w:rsidR="00C10173" w:rsidRPr="00CB554F" w:rsidRDefault="00C10173" w:rsidP="00C95AED">
            <w:pPr>
              <w:pStyle w:val="Body"/>
              <w:spacing w:before="60"/>
              <w:jc w:val="center"/>
              <w:rPr>
                <w:b/>
                <w:color w:val="0000FF"/>
                <w:szCs w:val="20"/>
              </w:rPr>
            </w:pPr>
            <w:r>
              <w:rPr>
                <w:b/>
                <w:color w:val="0000FF"/>
                <w:szCs w:val="20"/>
              </w:rPr>
              <w:t>1,360</w:t>
            </w:r>
          </w:p>
        </w:tc>
      </w:tr>
      <w:tr w:rsidR="00C10173" w:rsidRPr="00CB554F" w:rsidTr="00E20FA1">
        <w:tc>
          <w:tcPr>
            <w:tcW w:w="730" w:type="dxa"/>
            <w:tcBorders>
              <w:bottom w:val="single" w:sz="12" w:space="0" w:color="auto"/>
            </w:tcBorders>
            <w:shd w:val="clear" w:color="auto" w:fill="auto"/>
          </w:tcPr>
          <w:p w:rsidR="00C10173" w:rsidRPr="00CB554F" w:rsidRDefault="00C10173" w:rsidP="00C95AED">
            <w:pPr>
              <w:pStyle w:val="Body"/>
              <w:spacing w:before="60"/>
              <w:rPr>
                <w:b/>
                <w:color w:val="0000FF"/>
                <w:szCs w:val="20"/>
              </w:rPr>
            </w:pPr>
            <w:r w:rsidRPr="00CB554F">
              <w:rPr>
                <w:b/>
                <w:color w:val="0000FF"/>
                <w:szCs w:val="20"/>
              </w:rPr>
              <w:t>200</w:t>
            </w:r>
            <w:r>
              <w:rPr>
                <w:b/>
                <w:color w:val="0000FF"/>
                <w:szCs w:val="20"/>
              </w:rPr>
              <w:t>8-2009</w:t>
            </w:r>
          </w:p>
        </w:tc>
        <w:tc>
          <w:tcPr>
            <w:tcW w:w="1418" w:type="dxa"/>
            <w:tcBorders>
              <w:bottom w:val="single" w:sz="12" w:space="0" w:color="auto"/>
            </w:tcBorders>
            <w:shd w:val="clear" w:color="auto" w:fill="auto"/>
          </w:tcPr>
          <w:p w:rsidR="00C10173" w:rsidRPr="00CB554F" w:rsidRDefault="00C10173" w:rsidP="00C95AED">
            <w:pPr>
              <w:pStyle w:val="Body"/>
              <w:spacing w:before="60"/>
              <w:jc w:val="center"/>
              <w:rPr>
                <w:color w:val="0000FF"/>
                <w:szCs w:val="20"/>
              </w:rPr>
            </w:pPr>
            <w:r>
              <w:rPr>
                <w:color w:val="0000FF"/>
                <w:szCs w:val="20"/>
              </w:rPr>
              <w:t>812 (67.4)</w:t>
            </w:r>
          </w:p>
        </w:tc>
        <w:tc>
          <w:tcPr>
            <w:tcW w:w="1440" w:type="dxa"/>
            <w:tcBorders>
              <w:bottom w:val="single" w:sz="12" w:space="0" w:color="auto"/>
            </w:tcBorders>
            <w:shd w:val="clear" w:color="auto" w:fill="auto"/>
          </w:tcPr>
          <w:p w:rsidR="00C10173" w:rsidRPr="00CB554F" w:rsidRDefault="00C10173" w:rsidP="00C95AED">
            <w:pPr>
              <w:pStyle w:val="Body"/>
              <w:spacing w:before="60"/>
              <w:jc w:val="center"/>
              <w:rPr>
                <w:color w:val="0000FF"/>
                <w:szCs w:val="20"/>
              </w:rPr>
            </w:pPr>
            <w:r>
              <w:rPr>
                <w:color w:val="0000FF"/>
                <w:szCs w:val="20"/>
              </w:rPr>
              <w:t>340 (28.2)</w:t>
            </w:r>
          </w:p>
        </w:tc>
        <w:tc>
          <w:tcPr>
            <w:tcW w:w="1440" w:type="dxa"/>
            <w:tcBorders>
              <w:bottom w:val="single" w:sz="12" w:space="0" w:color="auto"/>
            </w:tcBorders>
            <w:shd w:val="clear" w:color="auto" w:fill="auto"/>
          </w:tcPr>
          <w:p w:rsidR="00C10173" w:rsidRPr="00CB554F" w:rsidRDefault="00C10173" w:rsidP="00C95AED">
            <w:pPr>
              <w:pStyle w:val="Body"/>
              <w:spacing w:before="60"/>
              <w:jc w:val="center"/>
              <w:rPr>
                <w:color w:val="0000FF"/>
                <w:szCs w:val="20"/>
              </w:rPr>
            </w:pPr>
            <w:r>
              <w:rPr>
                <w:color w:val="0000FF"/>
                <w:szCs w:val="20"/>
              </w:rPr>
              <w:t>14 (1.2)</w:t>
            </w:r>
          </w:p>
        </w:tc>
        <w:tc>
          <w:tcPr>
            <w:tcW w:w="1560" w:type="dxa"/>
            <w:tcBorders>
              <w:bottom w:val="single" w:sz="12" w:space="0" w:color="auto"/>
            </w:tcBorders>
            <w:shd w:val="clear" w:color="auto" w:fill="auto"/>
          </w:tcPr>
          <w:p w:rsidR="00C10173" w:rsidRPr="00CB554F" w:rsidRDefault="00C10173" w:rsidP="00C95AED">
            <w:pPr>
              <w:pStyle w:val="Body"/>
              <w:spacing w:before="60"/>
              <w:jc w:val="center"/>
              <w:rPr>
                <w:color w:val="0000FF"/>
                <w:szCs w:val="20"/>
              </w:rPr>
            </w:pPr>
            <w:r>
              <w:rPr>
                <w:color w:val="0000FF"/>
                <w:szCs w:val="20"/>
              </w:rPr>
              <w:t>38 (3.2)</w:t>
            </w:r>
          </w:p>
        </w:tc>
        <w:tc>
          <w:tcPr>
            <w:tcW w:w="840" w:type="dxa"/>
            <w:tcBorders>
              <w:bottom w:val="single" w:sz="12" w:space="0" w:color="auto"/>
            </w:tcBorders>
            <w:shd w:val="clear" w:color="auto" w:fill="auto"/>
          </w:tcPr>
          <w:p w:rsidR="00C10173" w:rsidRPr="00CB554F" w:rsidRDefault="00C10173" w:rsidP="00C95AED">
            <w:pPr>
              <w:pStyle w:val="Body"/>
              <w:spacing w:before="60"/>
              <w:jc w:val="center"/>
              <w:rPr>
                <w:b/>
                <w:color w:val="0000FF"/>
                <w:szCs w:val="20"/>
              </w:rPr>
            </w:pPr>
            <w:r>
              <w:rPr>
                <w:b/>
                <w:color w:val="0000FF"/>
                <w:szCs w:val="20"/>
              </w:rPr>
              <w:t>1,204</w:t>
            </w:r>
          </w:p>
        </w:tc>
      </w:tr>
    </w:tbl>
    <w:p w:rsidR="00B37353" w:rsidRDefault="00B37353" w:rsidP="00B37353">
      <w:pPr>
        <w:pStyle w:val="PageBreak"/>
        <w:sectPr w:rsidR="00B37353">
          <w:type w:val="continuous"/>
          <w:pgSz w:w="11907" w:h="16839" w:code="9"/>
          <w:pgMar w:top="1134" w:right="2410" w:bottom="4253" w:left="2410" w:header="510" w:footer="3402" w:gutter="0"/>
          <w:cols w:space="709"/>
          <w:docGrid w:linePitch="326"/>
        </w:sectPr>
      </w:pPr>
    </w:p>
    <w:p w:rsidR="00C97DDD" w:rsidRPr="00255084" w:rsidRDefault="00C97DDD" w:rsidP="00C97DDD">
      <w:pPr>
        <w:pStyle w:val="BodyNum"/>
      </w:pPr>
      <w:r w:rsidRPr="00255084">
        <w:t xml:space="preserve">The number of amendments was </w:t>
      </w:r>
      <w:r w:rsidR="00C10173">
        <w:t xml:space="preserve">lower than many previous years but </w:t>
      </w:r>
      <w:r>
        <w:t xml:space="preserve">similar to </w:t>
      </w:r>
      <w:r w:rsidR="00C10173">
        <w:t xml:space="preserve">the </w:t>
      </w:r>
      <w:r w:rsidRPr="00255084">
        <w:t>previous years</w:t>
      </w:r>
      <w:r>
        <w:t xml:space="preserve"> which included </w:t>
      </w:r>
      <w:r w:rsidR="00C10173">
        <w:t xml:space="preserve">a substantial </w:t>
      </w:r>
      <w:r w:rsidRPr="00255084">
        <w:t>election period</w:t>
      </w:r>
      <w:r w:rsidR="00C10173">
        <w:t>.</w:t>
      </w:r>
      <w:r w:rsidRPr="00255084">
        <w:t xml:space="preserve"> </w:t>
      </w:r>
    </w:p>
    <w:p w:rsidR="00C97DDD" w:rsidRDefault="00C97DDD" w:rsidP="00C97DDD">
      <w:pPr>
        <w:pStyle w:val="BodyNum"/>
      </w:pPr>
      <w:r>
        <w:t>Amendments described as “government policy change” proposed changes to policy positions already dealt with in the Bill concerned. Amendments described as “government new policy” added new material, dealing with new policy, to the Bill. Generally, these represented cases in which a Bill already in the Parliament was seen as a convenient vehicle for additional but urgent legislative provisions.</w:t>
      </w:r>
    </w:p>
    <w:p w:rsidR="00C97DDD" w:rsidRDefault="00C97DDD" w:rsidP="00C97DDD">
      <w:pPr>
        <w:pStyle w:val="BodyNum"/>
      </w:pPr>
      <w:r>
        <w:t>Amendments described as “non-government amendments” are very rarely drafted by OPC on instructions from the non-government members concerned. Usually they are prepared on instructions from departmental or ministerial staff for use in negotiations with non-government members.</w:t>
      </w:r>
    </w:p>
    <w:p w:rsidR="00CA6A2D" w:rsidRDefault="00C97DDD" w:rsidP="00CA6A2D">
      <w:pPr>
        <w:pStyle w:val="BodyNum"/>
        <w:rPr>
          <w:rStyle w:val="CharSubdText"/>
        </w:rPr>
      </w:pPr>
      <w:r>
        <w:t>The number of amendments to correct drafting errors was once again very low.</w:t>
      </w:r>
      <w:r w:rsidR="00CA6A2D">
        <w:br/>
      </w:r>
    </w:p>
    <w:p w:rsidR="00C97DDD" w:rsidRDefault="00C97DDD" w:rsidP="00C97DDD">
      <w:pPr>
        <w:pStyle w:val="Head4"/>
        <w:spacing w:before="0"/>
        <w:rPr>
          <w:rStyle w:val="CharSubdText"/>
        </w:rPr>
      </w:pPr>
      <w:r w:rsidRPr="001E69BC">
        <w:rPr>
          <w:rStyle w:val="CharSubdText"/>
        </w:rPr>
        <w:t>Instruments</w:t>
      </w:r>
    </w:p>
    <w:p w:rsidR="00C97DDD" w:rsidRDefault="00C97DDD" w:rsidP="00C97DDD">
      <w:pPr>
        <w:pStyle w:val="BodyNum"/>
      </w:pPr>
      <w:r>
        <w:t>OPC provides government agencies with drafting servic</w:t>
      </w:r>
      <w:r w:rsidR="00DB5EF4">
        <w:t>es for subordinate legislation.</w:t>
      </w:r>
    </w:p>
    <w:p w:rsidR="00C97DDD" w:rsidRDefault="00C97DDD" w:rsidP="00C97DDD">
      <w:pPr>
        <w:pStyle w:val="BodyNum"/>
      </w:pPr>
      <w:r>
        <w:t>OPC provides</w:t>
      </w:r>
      <w:r w:rsidRPr="00F1403F">
        <w:t xml:space="preserve"> instrument drafting services that are tied</w:t>
      </w:r>
      <w:r>
        <w:t xml:space="preserve"> to OPC</w:t>
      </w:r>
      <w:r w:rsidRPr="00F1403F">
        <w:t xml:space="preserve"> under the </w:t>
      </w:r>
      <w:r w:rsidRPr="00324922">
        <w:rPr>
          <w:i/>
        </w:rPr>
        <w:t>Legal Services Directions 2005</w:t>
      </w:r>
      <w:r w:rsidRPr="00F1403F">
        <w:t xml:space="preserve"> </w:t>
      </w:r>
      <w:r>
        <w:t xml:space="preserve">to sponsoring agencies </w:t>
      </w:r>
      <w:r w:rsidRPr="00F1403F">
        <w:t xml:space="preserve">on a budget-funded basis. </w:t>
      </w:r>
      <w:r>
        <w:t>OPC also provides i</w:t>
      </w:r>
      <w:r w:rsidRPr="00F1403F">
        <w:t xml:space="preserve">nstrument drafting services that are not tied to OPC </w:t>
      </w:r>
      <w:r>
        <w:t xml:space="preserve">to government agency clients </w:t>
      </w:r>
      <w:r w:rsidRPr="00F1403F">
        <w:t>on a contestable, user-pays basis.</w:t>
      </w:r>
    </w:p>
    <w:p w:rsidR="00DB1912" w:rsidRPr="00C95AED" w:rsidRDefault="00DB1912" w:rsidP="00DB1912">
      <w:pPr>
        <w:pStyle w:val="BodyNum"/>
      </w:pPr>
      <w:r w:rsidRPr="00C95AED">
        <w:t xml:space="preserve">OPC </w:t>
      </w:r>
      <w:r>
        <w:t xml:space="preserve">has </w:t>
      </w:r>
      <w:r w:rsidRPr="00C95AED">
        <w:t>a bidding and priority system for instruments</w:t>
      </w:r>
      <w:r>
        <w:t xml:space="preserve"> which is </w:t>
      </w:r>
      <w:r w:rsidRPr="00C95AED">
        <w:t>very closely</w:t>
      </w:r>
      <w:r>
        <w:t xml:space="preserve"> based on the system for Bills.</w:t>
      </w:r>
    </w:p>
    <w:p w:rsidR="00DB1912" w:rsidRPr="00C95AED" w:rsidRDefault="00DB1912" w:rsidP="00DB1912">
      <w:pPr>
        <w:pStyle w:val="BodyNum"/>
      </w:pPr>
      <w:r w:rsidRPr="00C95AED">
        <w:t xml:space="preserve">The main difference is that there is no ministerial involvement in determining the final priorities. Where necessary, this will be done by OPC in consultation with the relevant </w:t>
      </w:r>
      <w:r w:rsidR="007E755B">
        <w:t>government agencies</w:t>
      </w:r>
      <w:r w:rsidRPr="00C95AED">
        <w:t>.</w:t>
      </w:r>
    </w:p>
    <w:p w:rsidR="00DB1912" w:rsidRDefault="00DB1912" w:rsidP="00DB1912">
      <w:pPr>
        <w:pStyle w:val="BodyNum"/>
      </w:pPr>
      <w:r w:rsidRPr="00C95AED">
        <w:t>In addition, the priorities used are 1, 2, 3 and 4 (rather than T, A, B and C).</w:t>
      </w:r>
    </w:p>
    <w:p w:rsidR="00DB1912" w:rsidRPr="00C95AED" w:rsidRDefault="00DB1912" w:rsidP="00DB1912">
      <w:pPr>
        <w:pStyle w:val="BodyNum"/>
      </w:pPr>
      <w:r>
        <w:t>The priority system has been very useful for OPC in planning instrument drafting work. It also appears to be assisting instructing agencies in achieving greater coordination of their instrument drafting.</w:t>
      </w:r>
    </w:p>
    <w:p w:rsidR="00DB1912" w:rsidRDefault="00DB1912" w:rsidP="00DB1912">
      <w:pPr>
        <w:pStyle w:val="BodyNum"/>
      </w:pPr>
      <w:r w:rsidRPr="00C95AED">
        <w:t>As OPC drafts both Bills and instruments, drafters have been able to work closely on significant projects that required changes to both Acts and subordinate legislation. This has facilitated a more effective and efficient management of projects across both legislation processes</w:t>
      </w:r>
      <w:r w:rsidR="006E1F95">
        <w:t>.</w:t>
      </w:r>
    </w:p>
    <w:p w:rsidR="00C97DDD" w:rsidRPr="00324922" w:rsidRDefault="00C97DDD" w:rsidP="00C97DDD">
      <w:pPr>
        <w:pStyle w:val="Head5"/>
      </w:pPr>
      <w:r>
        <w:t xml:space="preserve">Budget-funded </w:t>
      </w:r>
      <w:r w:rsidR="00811A9F">
        <w:t xml:space="preserve">instrument </w:t>
      </w:r>
      <w:r w:rsidRPr="00324922">
        <w:t>drafting services</w:t>
      </w:r>
    </w:p>
    <w:p w:rsidR="00C97DDD" w:rsidRDefault="00C97DDD" w:rsidP="005F740D">
      <w:pPr>
        <w:pStyle w:val="BodyNum"/>
      </w:pPr>
      <w:r>
        <w:t xml:space="preserve">Under the </w:t>
      </w:r>
      <w:r w:rsidRPr="00D07753">
        <w:rPr>
          <w:i/>
        </w:rPr>
        <w:t>Legal Services Directions 2005</w:t>
      </w:r>
      <w:r w:rsidRPr="00F1403F">
        <w:t xml:space="preserve"> </w:t>
      </w:r>
      <w:r>
        <w:t>the drafting of regulations, Ordinances and regulations of non-self-governing Territories, and other legislative instruments made or approved by the Governor-General is tied to OPC and is provided on a budget-funded basis. Drafting services are also provided on a budget-f</w:t>
      </w:r>
      <w:r w:rsidR="00DB5EF4">
        <w:t xml:space="preserve">unded basis for </w:t>
      </w:r>
      <w:r w:rsidR="00C221DE">
        <w:t>r</w:t>
      </w:r>
      <w:r w:rsidR="00DB5EF4">
        <w:t>ules of court.</w:t>
      </w:r>
    </w:p>
    <w:p w:rsidR="00DB1912" w:rsidRDefault="00DB1912" w:rsidP="00DB1912">
      <w:pPr>
        <w:pStyle w:val="BodyNum"/>
      </w:pPr>
      <w:r w:rsidRPr="001A0239">
        <w:t xml:space="preserve">During the year, </w:t>
      </w:r>
      <w:r>
        <w:t xml:space="preserve">302 ExCo legislative and notifiable instruments, </w:t>
      </w:r>
      <w:r w:rsidRPr="001A0239">
        <w:t xml:space="preserve">totalling </w:t>
      </w:r>
      <w:r>
        <w:t>3,602</w:t>
      </w:r>
      <w:r w:rsidRPr="001A0239">
        <w:t xml:space="preserve"> pages, drafted </w:t>
      </w:r>
      <w:r>
        <w:t>by</w:t>
      </w:r>
      <w:r w:rsidRPr="001A0239">
        <w:t xml:space="preserve"> OPC</w:t>
      </w:r>
      <w:r>
        <w:t xml:space="preserve"> were made and</w:t>
      </w:r>
      <w:r w:rsidRPr="001A0239">
        <w:t xml:space="preserve"> registered on the </w:t>
      </w:r>
      <w:r w:rsidR="00773A15">
        <w:t>Legislation Register</w:t>
      </w:r>
      <w:r w:rsidRPr="001A0239">
        <w:t>.</w:t>
      </w:r>
    </w:p>
    <w:p w:rsidR="00DB1912" w:rsidRPr="0041193E" w:rsidRDefault="00DB1912" w:rsidP="00DB1912">
      <w:pPr>
        <w:pStyle w:val="Head5"/>
      </w:pPr>
      <w:r w:rsidRPr="0041193E">
        <w:t>User-pays drafting services</w:t>
      </w:r>
    </w:p>
    <w:p w:rsidR="00DB1912" w:rsidRDefault="00DB1912" w:rsidP="00DB1912">
      <w:pPr>
        <w:pStyle w:val="BodyNum"/>
      </w:pPr>
      <w:r w:rsidRPr="00F1403F">
        <w:t>Instrument drafting services that are not tied to OPC are provided on a contestable, user-pays basis. Editing, compilation and related IT services for instruments that are not tied to OPC are also provided on a u</w:t>
      </w:r>
      <w:bookmarkStart w:id="49" w:name="BK_S22P25L44C29"/>
      <w:bookmarkEnd w:id="49"/>
      <w:r w:rsidRPr="00F1403F">
        <w:t xml:space="preserve">ser-pays basis. </w:t>
      </w:r>
      <w:r w:rsidRPr="00822012">
        <w:t>The fees for these services are consistent with the competitive neutrality guidelines and are relied on by OPC as part of the funding mix that assists to sustain the deliv</w:t>
      </w:r>
      <w:r>
        <w:t>ery of all its functions.</w:t>
      </w:r>
    </w:p>
    <w:p w:rsidR="00DB1912" w:rsidRDefault="00DB1912" w:rsidP="00DB1912">
      <w:pPr>
        <w:pStyle w:val="BodyNum"/>
      </w:pPr>
      <w:r w:rsidRPr="005A7848">
        <w:t xml:space="preserve">During the year, approximately </w:t>
      </w:r>
      <w:r>
        <w:t>124</w:t>
      </w:r>
      <w:r w:rsidRPr="005A7848">
        <w:t xml:space="preserve"> legislative </w:t>
      </w:r>
      <w:r>
        <w:t xml:space="preserve">and notifiable </w:t>
      </w:r>
      <w:r w:rsidRPr="005A7848">
        <w:t xml:space="preserve">instruments, totalling </w:t>
      </w:r>
      <w:r>
        <w:t>1,595</w:t>
      </w:r>
      <w:r w:rsidRPr="005A7848">
        <w:t xml:space="preserve"> pages, were drafted by OPC on a u</w:t>
      </w:r>
      <w:bookmarkStart w:id="50" w:name="BK_S22P25L55C7"/>
      <w:bookmarkEnd w:id="50"/>
      <w:r w:rsidRPr="005A7848">
        <w:t>ser-pays basis for government agency clients and registered on the Le</w:t>
      </w:r>
      <w:r>
        <w:t>gislation</w:t>
      </w:r>
      <w:r w:rsidR="005645B7">
        <w:t xml:space="preserve"> Register</w:t>
      </w:r>
      <w:r w:rsidRPr="005A7848">
        <w:t>.</w:t>
      </w:r>
    </w:p>
    <w:p w:rsidR="00C97DDD" w:rsidRPr="005A7848" w:rsidRDefault="00C97DDD" w:rsidP="00C97DDD">
      <w:pPr>
        <w:pStyle w:val="Head5"/>
      </w:pPr>
      <w:r w:rsidRPr="005A7848">
        <w:t>Client feedback</w:t>
      </w:r>
    </w:p>
    <w:p w:rsidR="00C97DDD" w:rsidRPr="005A7848" w:rsidRDefault="00C97DDD" w:rsidP="00C97DDD">
      <w:pPr>
        <w:pStyle w:val="BodyNum"/>
      </w:pPr>
      <w:r w:rsidRPr="005A7848">
        <w:t>OPC surveys its direct clients (agency instructors) ab</w:t>
      </w:r>
      <w:r w:rsidR="00DB5EF4">
        <w:t>out instruments drafted by OPC.</w:t>
      </w:r>
    </w:p>
    <w:p w:rsidR="00C97DDD" w:rsidRPr="005A7848" w:rsidRDefault="00C97DDD" w:rsidP="00C97DDD">
      <w:pPr>
        <w:pStyle w:val="BodyNum"/>
      </w:pPr>
      <w:r w:rsidRPr="005A7848">
        <w:t>The target in the Portfolio Budget Statements for the average response to “overall satisfaction” was 4.0 out of 5 (where 5 is the highest rating). The result for this year was 4.</w:t>
      </w:r>
      <w:r w:rsidR="00727098">
        <w:t>8</w:t>
      </w:r>
      <w:r w:rsidRPr="005A7848">
        <w:t xml:space="preserve"> out of 5.</w:t>
      </w:r>
    </w:p>
    <w:p w:rsidR="00DB1912" w:rsidRPr="005A7848" w:rsidRDefault="00C97DDD" w:rsidP="00727098">
      <w:pPr>
        <w:pStyle w:val="BodyNum"/>
      </w:pPr>
      <w:r w:rsidRPr="005A7848">
        <w:t>Comments included in responses to the client surveys reinforce</w:t>
      </w:r>
      <w:r>
        <w:t>d</w:t>
      </w:r>
      <w:r w:rsidRPr="005A7848">
        <w:t xml:space="preserve"> this very high degree of satisfaction with services provided by OPC. Comments in response to the question “</w:t>
      </w:r>
      <w:r w:rsidRPr="005A7848">
        <w:rPr>
          <w:rFonts w:cs="Arial"/>
          <w:i/>
        </w:rPr>
        <w:t>What did you like most about this experience with the Office?</w:t>
      </w:r>
      <w:r w:rsidRPr="00C221DE">
        <w:rPr>
          <w:rFonts w:cs="Arial"/>
        </w:rPr>
        <w:t>”</w:t>
      </w:r>
      <w:r w:rsidRPr="005A7848">
        <w:rPr>
          <w:rFonts w:cs="Arial"/>
          <w:i/>
        </w:rPr>
        <w:t xml:space="preserve"> </w:t>
      </w:r>
      <w:r w:rsidRPr="005A7848">
        <w:t>include</w:t>
      </w:r>
      <w:r>
        <w:t>d</w:t>
      </w:r>
      <w:r w:rsidRPr="005A7848">
        <w:t>:</w:t>
      </w:r>
    </w:p>
    <w:p w:rsidR="00C97DDD" w:rsidRPr="005A7848" w:rsidRDefault="00C97DDD" w:rsidP="00C97DDD">
      <w:pPr>
        <w:pStyle w:val="BodyPara"/>
        <w:rPr>
          <w:i/>
        </w:rPr>
      </w:pPr>
      <w:r w:rsidRPr="005A7848">
        <w:rPr>
          <w:i/>
        </w:rPr>
        <w:t>“</w:t>
      </w:r>
      <w:r w:rsidR="00727098">
        <w:rPr>
          <w:i/>
        </w:rPr>
        <w:t>The attention given by the drafter to the project; willingness to discuss and consider different option</w:t>
      </w:r>
      <w:r w:rsidR="00B2783E">
        <w:rPr>
          <w:i/>
        </w:rPr>
        <w:t>s; timely responses with draft</w:t>
      </w:r>
      <w:r w:rsidR="00727098">
        <w:rPr>
          <w:i/>
        </w:rPr>
        <w:t>s etc.; overall professional and friendly manner.</w:t>
      </w:r>
      <w:r w:rsidRPr="005A7848">
        <w:rPr>
          <w:i/>
        </w:rPr>
        <w:t>”</w:t>
      </w:r>
    </w:p>
    <w:p w:rsidR="00C97DDD" w:rsidRPr="005A7848" w:rsidRDefault="00C97DDD" w:rsidP="00C97DDD">
      <w:pPr>
        <w:pStyle w:val="BodyPara"/>
        <w:rPr>
          <w:i/>
        </w:rPr>
      </w:pPr>
      <w:r w:rsidRPr="005A7848">
        <w:rPr>
          <w:i/>
        </w:rPr>
        <w:t>“</w:t>
      </w:r>
      <w:r w:rsidR="0050705A">
        <w:rPr>
          <w:i/>
        </w:rPr>
        <w:t>OPC have been incredibly easy to work with, and have provided timely, well considered advice.</w:t>
      </w:r>
      <w:r w:rsidRPr="005A7848">
        <w:rPr>
          <w:i/>
        </w:rPr>
        <w:t>”</w:t>
      </w:r>
    </w:p>
    <w:p w:rsidR="00C97DDD" w:rsidRPr="005A7848" w:rsidRDefault="00C97DDD" w:rsidP="00C97DDD">
      <w:pPr>
        <w:pStyle w:val="BodyPara"/>
        <w:rPr>
          <w:i/>
        </w:rPr>
      </w:pPr>
      <w:r w:rsidRPr="005A7848">
        <w:rPr>
          <w:i/>
        </w:rPr>
        <w:t>“</w:t>
      </w:r>
      <w:r w:rsidR="0050705A">
        <w:rPr>
          <w:i/>
        </w:rPr>
        <w:t>OPC were responsive and patient during changing policy context, and provided good, practical advice on how to reflect this in a legislative sense</w:t>
      </w:r>
      <w:r w:rsidRPr="00380AD9">
        <w:rPr>
          <w:i/>
        </w:rPr>
        <w:t>.</w:t>
      </w:r>
      <w:r w:rsidRPr="005A7848">
        <w:rPr>
          <w:i/>
        </w:rPr>
        <w:t>”</w:t>
      </w:r>
    </w:p>
    <w:p w:rsidR="00C97DDD" w:rsidRPr="005A7848" w:rsidRDefault="00C97DDD" w:rsidP="00C97DDD">
      <w:pPr>
        <w:pStyle w:val="BodyPara"/>
        <w:rPr>
          <w:i/>
        </w:rPr>
      </w:pPr>
      <w:r w:rsidRPr="005A7848">
        <w:rPr>
          <w:i/>
        </w:rPr>
        <w:t>“</w:t>
      </w:r>
      <w:r w:rsidR="0050705A">
        <w:rPr>
          <w:i/>
        </w:rPr>
        <w:t>OPC were particularly helpful during the drafting of this instrument, and were adaptable and provided innovative solutions to policy implementation problems. OPC were very quick to respond to new drafting instructions which was of great assistance close to finalisation deadlines</w:t>
      </w:r>
      <w:r w:rsidRPr="00380AD9">
        <w:rPr>
          <w:i/>
        </w:rPr>
        <w:t>.</w:t>
      </w:r>
      <w:r w:rsidRPr="005A7848">
        <w:rPr>
          <w:i/>
        </w:rPr>
        <w:t>”</w:t>
      </w:r>
    </w:p>
    <w:p w:rsidR="00C97DDD" w:rsidRPr="005A7848" w:rsidRDefault="00C97DDD" w:rsidP="00C97DDD">
      <w:pPr>
        <w:pStyle w:val="BodyPara"/>
        <w:rPr>
          <w:i/>
        </w:rPr>
      </w:pPr>
      <w:r w:rsidRPr="005A7848">
        <w:rPr>
          <w:i/>
        </w:rPr>
        <w:t>“</w:t>
      </w:r>
      <w:r w:rsidR="0050705A">
        <w:rPr>
          <w:i/>
        </w:rPr>
        <w:t>The drafters have excellent work ethics and are very knowledgeable on general legal matters.</w:t>
      </w:r>
      <w:r w:rsidRPr="005A7848">
        <w:rPr>
          <w:i/>
        </w:rPr>
        <w:t>”</w:t>
      </w:r>
    </w:p>
    <w:p w:rsidR="00B37353" w:rsidRDefault="00C97DDD" w:rsidP="002F0009">
      <w:pPr>
        <w:pStyle w:val="BodyPara"/>
        <w:rPr>
          <w:i/>
        </w:rPr>
      </w:pPr>
      <w:r w:rsidRPr="005A7848">
        <w:rPr>
          <w:i/>
        </w:rPr>
        <w:t>“</w:t>
      </w:r>
      <w:r w:rsidR="0050705A">
        <w:rPr>
          <w:i/>
        </w:rPr>
        <w:t>The team were easy to work with, up front about what they thought, quick to find solutions, and great at keeping us abreast of progress. We enjoyed the process.</w:t>
      </w:r>
      <w:r w:rsidRPr="005A7848">
        <w:rPr>
          <w:i/>
        </w:rPr>
        <w:t>”</w:t>
      </w:r>
    </w:p>
    <w:p w:rsidR="004E0CBC" w:rsidRDefault="004E0CBC" w:rsidP="00BE3CFD">
      <w:pPr>
        <w:pStyle w:val="Head4"/>
      </w:pPr>
      <w:r w:rsidRPr="004E0CBC">
        <w:t>Legislative drafting capability</w:t>
      </w:r>
    </w:p>
    <w:p w:rsidR="004E0CBC" w:rsidRPr="00BE3CFD" w:rsidRDefault="004E0CBC" w:rsidP="00BE3CFD">
      <w:pPr>
        <w:pStyle w:val="Head5"/>
      </w:pPr>
      <w:r w:rsidRPr="00BE3CFD">
        <w:t>Building and maintaining drafters’ capability for long-term viability of resources</w:t>
      </w:r>
    </w:p>
    <w:p w:rsidR="004E0CBC" w:rsidRDefault="004E0CBC" w:rsidP="004E0CBC">
      <w:pPr>
        <w:pStyle w:val="BodyNum"/>
      </w:pPr>
      <w:r>
        <w:t>For OPC to achieve its legislative drafting purpose, and meet the related performance criteria, into the future, it is essential that OPC’s drafting capability is maintained.</w:t>
      </w:r>
    </w:p>
    <w:p w:rsidR="004E0CBC" w:rsidRDefault="00EF4A72" w:rsidP="00EF4A72">
      <w:pPr>
        <w:pStyle w:val="BodyNum"/>
      </w:pPr>
      <w:r>
        <w:t>In previous years, OPC’s turnover of drafting staff has been extremely low.</w:t>
      </w:r>
    </w:p>
    <w:p w:rsidR="00FF7AFF" w:rsidRDefault="00EF4A72" w:rsidP="00B27950">
      <w:pPr>
        <w:pStyle w:val="BodyNum"/>
      </w:pPr>
      <w:r>
        <w:t xml:space="preserve">This very low </w:t>
      </w:r>
      <w:r w:rsidRPr="009C1C22">
        <w:t>turnover</w:t>
      </w:r>
      <w:r>
        <w:t xml:space="preserve"> (about 3% per annum for a number of years) enabled OPC to build up a strong group of assistant drafters. It also meant that OPC did not need to recruit to the same extent that it had in previous years.</w:t>
      </w:r>
      <w:bookmarkStart w:id="51" w:name="_Ref81117178"/>
    </w:p>
    <w:p w:rsidR="00B27950" w:rsidRDefault="00B27950" w:rsidP="00B27950">
      <w:pPr>
        <w:pStyle w:val="BodyNum"/>
      </w:pPr>
      <w:r>
        <w:t xml:space="preserve">Since the transfer of the instrument drafting function, there has been an increase in the number of drafters leaving OPC. During the year, a </w:t>
      </w:r>
      <w:r w:rsidRPr="00E42E01">
        <w:t xml:space="preserve">number of drafters left </w:t>
      </w:r>
      <w:r w:rsidR="00CA6A2D">
        <w:t>OPC</w:t>
      </w:r>
      <w:r w:rsidRPr="00E42E01">
        <w:t xml:space="preserve"> through </w:t>
      </w:r>
      <w:r>
        <w:t>retiring</w:t>
      </w:r>
      <w:r w:rsidRPr="00E42E01">
        <w:t xml:space="preserve"> or transferring to other positions.</w:t>
      </w:r>
    </w:p>
    <w:p w:rsidR="0062250B" w:rsidRPr="00E42E01" w:rsidRDefault="0062250B" w:rsidP="00B27950">
      <w:pPr>
        <w:pStyle w:val="BodyNum"/>
      </w:pPr>
      <w:r>
        <w:t>OPC recruited 2 new drafters during the year.</w:t>
      </w:r>
    </w:p>
    <w:p w:rsidR="00B27950" w:rsidRPr="00E42E01" w:rsidRDefault="00B27950" w:rsidP="00B27950">
      <w:pPr>
        <w:pStyle w:val="BodyNum"/>
      </w:pPr>
      <w:bookmarkStart w:id="52" w:name="_Ref79899685"/>
      <w:r w:rsidRPr="00E42E01">
        <w:t>Assistant drafters working on Bills work closely with senior drafters (SES or Statutory Office holder</w:t>
      </w:r>
      <w:r>
        <w:t>s</w:t>
      </w:r>
      <w:r w:rsidRPr="00E42E01">
        <w:t>). The primary purpose of this arrangement is to develop the drafting skills of the assistant drafters, while allowing the assistant drafters to make a significant contrib</w:t>
      </w:r>
      <w:r w:rsidR="00DB5EF4">
        <w:t>ution to OPC’s drafting output.</w:t>
      </w:r>
    </w:p>
    <w:bookmarkEnd w:id="52"/>
    <w:p w:rsidR="00B27950" w:rsidRPr="00E42E01" w:rsidRDefault="00B27950" w:rsidP="00B27950">
      <w:pPr>
        <w:pStyle w:val="BodyNum"/>
      </w:pPr>
      <w:r w:rsidRPr="00E42E01">
        <w:t xml:space="preserve">Drafters working on instruments generally work in a team arrangement with about </w:t>
      </w:r>
      <w:r w:rsidR="0062250B">
        <w:t>2</w:t>
      </w:r>
      <w:r w:rsidRPr="00E42E01">
        <w:t xml:space="preserve"> assistant drafters and one SES drafter. On any particular instrument, there will generally be 2 drafters working together with one doing the principal drafting and the other checking or settling the work.</w:t>
      </w:r>
    </w:p>
    <w:p w:rsidR="00FF501A" w:rsidRPr="004007F5" w:rsidRDefault="00B27950" w:rsidP="00FF501A">
      <w:pPr>
        <w:pStyle w:val="BodyNum"/>
      </w:pPr>
      <w:r>
        <w:t xml:space="preserve">Legislative drafters have maintained and improved their drafting skills and knowledge through working in teams in a range of subject areas and through participating in various OPC professional development activities. See Chapter 4 (Management of human resources) for more details </w:t>
      </w:r>
      <w:r w:rsidRPr="004007F5">
        <w:t>about this.</w:t>
      </w:r>
      <w:bookmarkEnd w:id="51"/>
    </w:p>
    <w:p w:rsidR="00FF501A" w:rsidRDefault="00B27950" w:rsidP="0062250B">
      <w:pPr>
        <w:pStyle w:val="BodyNum"/>
      </w:pPr>
      <w:r w:rsidRPr="004007F5">
        <w:t xml:space="preserve">The Director of Drafter Training coordinates a </w:t>
      </w:r>
      <w:r>
        <w:t>program</w:t>
      </w:r>
      <w:r w:rsidRPr="004007F5">
        <w:t xml:space="preserve"> of formal training activities. A key component of this is the </w:t>
      </w:r>
      <w:r>
        <w:t>program</w:t>
      </w:r>
      <w:r w:rsidRPr="004007F5">
        <w:t xml:space="preserve"> of in-house seminars for drafters. The seminars cover emerging issues that drafters need to be aware of, as well as reminder sessions on topics that continue to be of relevance. The in-house seminars have been running for a number of years now and play an important role in the training and development of drafters.</w:t>
      </w:r>
    </w:p>
    <w:p w:rsidR="0062250B" w:rsidRPr="0062250B" w:rsidRDefault="0062250B" w:rsidP="0062250B">
      <w:pPr>
        <w:pStyle w:val="BodyNum"/>
      </w:pPr>
      <w:r>
        <w:t>A number of seminars were run during the election period when the drafting workload was lighter than normal.</w:t>
      </w:r>
    </w:p>
    <w:p w:rsidR="00B27950" w:rsidRPr="00BE3CFD" w:rsidRDefault="00B27950" w:rsidP="00BE3CFD">
      <w:pPr>
        <w:pStyle w:val="Head5"/>
      </w:pPr>
      <w:r w:rsidRPr="00BE3CFD">
        <w:t xml:space="preserve">Building instructor capability to enable efficient use of drafting resources and quality legislation </w:t>
      </w:r>
    </w:p>
    <w:p w:rsidR="0062250B" w:rsidRDefault="00B27950" w:rsidP="00B27950">
      <w:pPr>
        <w:pStyle w:val="BodyNum"/>
        <w:widowControl w:val="0"/>
        <w:spacing w:before="120"/>
      </w:pPr>
      <w:bookmarkStart w:id="53" w:name="_Ref79899757"/>
      <w:r w:rsidRPr="00E42E01">
        <w:t>In past years, OPC has generally conducted around 10 legislation process c</w:t>
      </w:r>
      <w:r>
        <w:t>ourses each year</w:t>
      </w:r>
      <w:r w:rsidRPr="00E42E01">
        <w:t>, with a</w:t>
      </w:r>
      <w:r>
        <w:t>n average</w:t>
      </w:r>
      <w:r w:rsidRPr="00E42E01">
        <w:t xml:space="preserve"> of 138 participants</w:t>
      </w:r>
      <w:r>
        <w:t xml:space="preserve"> per year</w:t>
      </w:r>
      <w:r w:rsidRPr="00E42E01">
        <w:t xml:space="preserve">. </w:t>
      </w:r>
      <w:bookmarkEnd w:id="53"/>
    </w:p>
    <w:p w:rsidR="0062250B" w:rsidRDefault="0062250B" w:rsidP="00B27950">
      <w:pPr>
        <w:pStyle w:val="BodyNum"/>
        <w:widowControl w:val="0"/>
      </w:pPr>
      <w:r>
        <w:t>The broadening of OPC’s functions as a result of the transfer of functions meant that the materials need</w:t>
      </w:r>
      <w:r w:rsidR="001708ED">
        <w:t>ed</w:t>
      </w:r>
      <w:r>
        <w:t xml:space="preserve"> to be rewritten. This was completed this year and courses recommenced.</w:t>
      </w:r>
    </w:p>
    <w:p w:rsidR="0062250B" w:rsidRDefault="0062250B" w:rsidP="00B27950">
      <w:pPr>
        <w:pStyle w:val="BodyNum"/>
        <w:widowControl w:val="0"/>
      </w:pPr>
      <w:r>
        <w:t xml:space="preserve">During the year, </w:t>
      </w:r>
      <w:r w:rsidR="00E43C1F">
        <w:t xml:space="preserve">13 </w:t>
      </w:r>
      <w:r>
        <w:t xml:space="preserve">Legislation Process Courses were run with a total of </w:t>
      </w:r>
      <w:r w:rsidR="00E43C1F">
        <w:t xml:space="preserve">371 </w:t>
      </w:r>
      <w:r>
        <w:t>participants.</w:t>
      </w:r>
    </w:p>
    <w:p w:rsidR="0062250B" w:rsidRDefault="0062250B" w:rsidP="0062250B">
      <w:pPr>
        <w:pStyle w:val="BodyNum"/>
        <w:widowControl w:val="0"/>
        <w:spacing w:before="120"/>
      </w:pPr>
      <w:r w:rsidRPr="00E42E01">
        <w:t>A total of 2</w:t>
      </w:r>
      <w:r w:rsidR="00E43C1F">
        <w:t>37</w:t>
      </w:r>
      <w:r w:rsidRPr="00E42E01">
        <w:t xml:space="preserve"> legislation process courses have been run since they </w:t>
      </w:r>
      <w:r>
        <w:t>began</w:t>
      </w:r>
      <w:r w:rsidRPr="00E42E01">
        <w:t xml:space="preserve"> in 1994.</w:t>
      </w:r>
    </w:p>
    <w:p w:rsidR="0062250B" w:rsidRDefault="0062250B" w:rsidP="0062250B">
      <w:pPr>
        <w:pStyle w:val="BodyNum"/>
        <w:widowControl w:val="0"/>
        <w:spacing w:before="120"/>
      </w:pPr>
      <w:r>
        <w:t>In addition, the election period was used to develop 3 new courses. These are an Advanced Legislation Process Course, a course on drafting basic instruments and a more adva</w:t>
      </w:r>
      <w:r w:rsidR="00C221DE">
        <w:t>nced instrument drafting course</w:t>
      </w:r>
      <w:r>
        <w:t>. It is envisaged that more courses, possibly in the form of masterclasses on specific topics</w:t>
      </w:r>
      <w:r w:rsidR="00C221DE">
        <w:t>,</w:t>
      </w:r>
      <w:r>
        <w:t xml:space="preserve"> will be developed.</w:t>
      </w:r>
    </w:p>
    <w:p w:rsidR="0062250B" w:rsidRDefault="0062250B" w:rsidP="0062250B">
      <w:pPr>
        <w:pStyle w:val="BodyNum"/>
        <w:widowControl w:val="0"/>
        <w:spacing w:before="120"/>
      </w:pPr>
      <w:r>
        <w:t>OPC considers that running these courses is an important way that OPC can contribute to the improvement in the standard of instructing and instrument drafting.</w:t>
      </w:r>
    </w:p>
    <w:p w:rsidR="004E0CBC" w:rsidRDefault="004E0CBC" w:rsidP="00BE3CFD">
      <w:pPr>
        <w:pStyle w:val="Head4"/>
      </w:pPr>
      <w:r>
        <w:t>Standardisation and quality control of legislation</w:t>
      </w:r>
    </w:p>
    <w:p w:rsidR="00B27950" w:rsidRDefault="00B27950" w:rsidP="00BE3CFD">
      <w:pPr>
        <w:pStyle w:val="Head5"/>
        <w:rPr>
          <w:rStyle w:val="CharSubdText"/>
        </w:rPr>
      </w:pPr>
      <w:r>
        <w:rPr>
          <w:rStyle w:val="CharSubdText"/>
        </w:rPr>
        <w:t>Drafting standards and quality assurance</w:t>
      </w:r>
    </w:p>
    <w:p w:rsidR="00D50B61" w:rsidRDefault="00D50B61" w:rsidP="00B27950">
      <w:pPr>
        <w:pStyle w:val="BodyNum"/>
      </w:pPr>
      <w:r>
        <w:t>An important aspect of ensuring that drafting standards and conventions are applied consistently is the editorial checking and quality assurance processes.</w:t>
      </w:r>
    </w:p>
    <w:p w:rsidR="00B27950" w:rsidRDefault="00B27950" w:rsidP="00B27950">
      <w:pPr>
        <w:pStyle w:val="BodyNum"/>
      </w:pPr>
      <w:r>
        <w:t xml:space="preserve">Editorial checking ensured that drafting standards and conventions and the normal rules of grammar were applied consistently to all </w:t>
      </w:r>
      <w:r w:rsidRPr="005F065A">
        <w:t>Bills</w:t>
      </w:r>
      <w:r>
        <w:t xml:space="preserve"> and ExCo instruments. Editorial checking involves a range of automated checks (including spelling and grammar checking built into our word</w:t>
      </w:r>
      <w:r>
        <w:noBreakHyphen/>
        <w:t xml:space="preserve">processing software, and customised checks to identify such things as departures from OPC’s basic formatting requirements), </w:t>
      </w:r>
      <w:r w:rsidR="00C221DE">
        <w:t>as well as</w:t>
      </w:r>
      <w:r>
        <w:t xml:space="preserve"> manual checks by an editorial team. This manual checking detects errors of various kinds, including:</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words missing from sentences;</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inconsistencies of expression;</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punctuation errors;</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grammatical errors (e.g. inconsistencies of tense or lack of agreement between subject and verb);</w:t>
      </w:r>
    </w:p>
    <w:p w:rsidR="00B27950" w:rsidRDefault="00B27950" w:rsidP="00B27950">
      <w:pPr>
        <w:pStyle w:val="AnnualReportBullet"/>
        <w:tabs>
          <w:tab w:val="left" w:pos="360"/>
        </w:tabs>
        <w:ind w:left="360" w:hanging="360"/>
      </w:pPr>
      <w:r>
        <w:rPr>
          <w:rFonts w:ascii="Symbol" w:hAnsi="Symbol"/>
        </w:rPr>
        <w:t></w:t>
      </w:r>
      <w:r>
        <w:rPr>
          <w:rFonts w:ascii="Symbol" w:hAnsi="Symbol"/>
        </w:rPr>
        <w:tab/>
      </w:r>
      <w:r w:rsidR="00C221DE">
        <w:t>incorrect cross-</w:t>
      </w:r>
      <w:r>
        <w:t>references;</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misdescribed amendments; and</w:t>
      </w:r>
    </w:p>
    <w:p w:rsidR="00B27950" w:rsidRDefault="00B27950" w:rsidP="00B74C78">
      <w:pPr>
        <w:pStyle w:val="AnnualReportBullet"/>
        <w:tabs>
          <w:tab w:val="left" w:pos="360"/>
        </w:tabs>
        <w:ind w:left="360" w:hanging="360"/>
      </w:pPr>
      <w:r>
        <w:rPr>
          <w:rFonts w:ascii="Symbol" w:hAnsi="Symbol"/>
        </w:rPr>
        <w:t></w:t>
      </w:r>
      <w:r>
        <w:rPr>
          <w:rFonts w:ascii="Symbol" w:hAnsi="Symbol"/>
        </w:rPr>
        <w:tab/>
      </w:r>
      <w:r>
        <w:t>clashing amendments.</w:t>
      </w:r>
      <w:bookmarkStart w:id="54" w:name="_Ref79899795"/>
    </w:p>
    <w:p w:rsidR="00B27950" w:rsidRDefault="00B27950" w:rsidP="00B27950">
      <w:pPr>
        <w:pStyle w:val="BodyNum"/>
      </w:pPr>
      <w:r>
        <w:t>It should be noted that apart from such things as basic grammar, formatting requirements and standard amending forms, there are different drafting styles and some will be more or less appropriate than others for particular legislation. This means that while all OPC legislation should (and does) look basically the same, different legislation might make different use of aids such as outlines and notes, and use more or less technical or colloquial language, depending on such things as the subject matter of the legislation and its intended audience.</w:t>
      </w:r>
      <w:bookmarkEnd w:id="54"/>
    </w:p>
    <w:p w:rsidR="00B27950" w:rsidRDefault="00B27950" w:rsidP="00B27950">
      <w:pPr>
        <w:pStyle w:val="BodyNum"/>
      </w:pPr>
      <w:bookmarkStart w:id="55" w:name="_Ref79899609"/>
      <w:r>
        <w:t>OPC has a Drafting Manual that gives an overview of drafting matters and then refers the reader to particular Drafting Directions for greater detail.</w:t>
      </w:r>
    </w:p>
    <w:p w:rsidR="00B27950" w:rsidRDefault="00B27950" w:rsidP="00B27950">
      <w:pPr>
        <w:pStyle w:val="BodyNum"/>
      </w:pPr>
      <w:r>
        <w:t>The Drafting Directions are organised on a subject-matter basis. This arrangement makes the Drafting Directions easy to use.</w:t>
      </w:r>
    </w:p>
    <w:bookmarkEnd w:id="55"/>
    <w:p w:rsidR="00B27950" w:rsidRDefault="00B27950" w:rsidP="00B27950">
      <w:pPr>
        <w:pStyle w:val="BodyNum"/>
      </w:pPr>
      <w:r>
        <w:t>The Drafting Manual and all current Drafting Directions are available from the OPC Documents menu on OPC’s website: www.opc.gov.au.</w:t>
      </w:r>
    </w:p>
    <w:p w:rsidR="00B27950" w:rsidRDefault="00B27950" w:rsidP="00B27950">
      <w:pPr>
        <w:pStyle w:val="BodyNum"/>
      </w:pPr>
      <w:bookmarkStart w:id="56" w:name="_Ref79899848"/>
      <w:r>
        <w:t>Over the past few years, discussions have taken place amongst drafters on the desirability of even greater consistency in the drafting of provisions and ways in which such consistency could be achieved. This has led to a noticeable increase in consultation between drafting teams about the best drafting approach to adopt in particular cases.</w:t>
      </w:r>
      <w:bookmarkEnd w:id="56"/>
    </w:p>
    <w:p w:rsidR="00B27950" w:rsidRDefault="00B27950" w:rsidP="00B27950">
      <w:pPr>
        <w:pStyle w:val="BodyNum"/>
      </w:pPr>
      <w:r>
        <w:t>The compilations team within the Publications group has continued with significant work to move the format of compilations of Commonwealth legislation into a standard style. The compilations team also continues to provide an important quality control function for Commonwealth legislation.</w:t>
      </w:r>
    </w:p>
    <w:p w:rsidR="00B27950" w:rsidRDefault="00B27950" w:rsidP="00B27950">
      <w:pPr>
        <w:pStyle w:val="BodyNum"/>
      </w:pPr>
      <w:r>
        <w:t xml:space="preserve"> OPC has regular meetings of drafters</w:t>
      </w:r>
      <w:r w:rsidR="00CA6A2D">
        <w:t>,</w:t>
      </w:r>
      <w:r>
        <w:t xml:space="preserve"> used to discuss drafting issues of general interest. The meetings have been very productive and have been the subject of positive feedback from drafters. OPC will continue to review the meetings to see how they can be improved.</w:t>
      </w:r>
    </w:p>
    <w:p w:rsidR="004E2734" w:rsidRDefault="004E2734" w:rsidP="004E2734">
      <w:pPr>
        <w:pStyle w:val="Head4"/>
        <w:rPr>
          <w:rStyle w:val="CharSubdText"/>
        </w:rPr>
      </w:pPr>
      <w:r>
        <w:rPr>
          <w:rStyle w:val="CharSubdText"/>
        </w:rPr>
        <w:t>Maintenance of the statute book</w:t>
      </w:r>
    </w:p>
    <w:p w:rsidR="004E2734" w:rsidRDefault="004E2734" w:rsidP="004E2734">
      <w:pPr>
        <w:pStyle w:val="BodyNum"/>
      </w:pPr>
      <w:r w:rsidRPr="0042777C">
        <w:t xml:space="preserve">OPC prepared amendments to correct a number of minor errors in Acts, most of which were identified by the Publications </w:t>
      </w:r>
      <w:r>
        <w:t>g</w:t>
      </w:r>
      <w:r w:rsidRPr="0042777C">
        <w:t>roup in the course of preparing compilations of Acts.</w:t>
      </w:r>
    </w:p>
    <w:p w:rsidR="007E5243" w:rsidRDefault="007E5243" w:rsidP="007E5243">
      <w:pPr>
        <w:pStyle w:val="BodyNum"/>
      </w:pPr>
      <w:r>
        <w:t xml:space="preserve">Two Statute Law Revision Bills were prepared in the financial year. The Statute Law Revision Bill (No. 3) 2015 was introduced in the Spring 2015 sittings and assented to on 11 February 2016 as the </w:t>
      </w:r>
      <w:r w:rsidRPr="007E5243">
        <w:rPr>
          <w:i/>
        </w:rPr>
        <w:t>Statute Law Revision Act (No. 1) 2016</w:t>
      </w:r>
      <w:r>
        <w:t>. That Act included amendments to:</w:t>
      </w:r>
    </w:p>
    <w:p w:rsidR="007E5243" w:rsidRDefault="007E5243" w:rsidP="007E5243">
      <w:pPr>
        <w:pStyle w:val="AnnualReportBullet"/>
        <w:tabs>
          <w:tab w:val="left" w:pos="360"/>
        </w:tabs>
        <w:ind w:left="360" w:hanging="360"/>
      </w:pPr>
      <w:r>
        <w:t>•</w:t>
      </w:r>
      <w:r>
        <w:tab/>
        <w:t>make clear on the face of Acts that the Crown in right of the Australian Capital Territory and of the Northern Territory is bound and modernise the form of provisions about whether the Crown is liable to b</w:t>
      </w:r>
      <w:r w:rsidR="00C221DE">
        <w:t>e prosecuted for an offence;</w:t>
      </w:r>
    </w:p>
    <w:p w:rsidR="007E5243" w:rsidRDefault="007E5243" w:rsidP="007E5243">
      <w:pPr>
        <w:pStyle w:val="AnnualReportBullet"/>
        <w:tabs>
          <w:tab w:val="left" w:pos="360"/>
        </w:tabs>
        <w:ind w:left="360" w:hanging="360"/>
      </w:pPr>
      <w:r>
        <w:t>•</w:t>
      </w:r>
      <w:r>
        <w:tab/>
        <w:t xml:space="preserve">modernise the expression of provisions by referring to people </w:t>
      </w:r>
      <w:r w:rsidR="00C221DE">
        <w:t>“</w:t>
      </w:r>
      <w:r>
        <w:t>committing</w:t>
      </w:r>
      <w:r w:rsidR="00C221DE">
        <w:t>”</w:t>
      </w:r>
      <w:r>
        <w:t xml:space="preserve"> offences rather than</w:t>
      </w:r>
      <w:r w:rsidR="00C221DE">
        <w:t xml:space="preserve"> “being guilty” of offences;</w:t>
      </w:r>
    </w:p>
    <w:p w:rsidR="007E5243" w:rsidRDefault="007E5243" w:rsidP="007E5243">
      <w:pPr>
        <w:pStyle w:val="AnnualReportBullet"/>
        <w:tabs>
          <w:tab w:val="left" w:pos="360"/>
        </w:tabs>
        <w:ind w:left="360" w:hanging="360"/>
      </w:pPr>
      <w:r>
        <w:t>•</w:t>
      </w:r>
      <w:r>
        <w:tab/>
        <w:t>modernise language by replacing references to “reference base” with references to “index reference period” and by removing gender specific language; and</w:t>
      </w:r>
    </w:p>
    <w:p w:rsidR="007E5243" w:rsidRDefault="007E5243" w:rsidP="007E5243">
      <w:pPr>
        <w:pStyle w:val="AnnualReportBullet"/>
        <w:tabs>
          <w:tab w:val="left" w:pos="360"/>
        </w:tabs>
        <w:ind w:left="360" w:hanging="360"/>
      </w:pPr>
      <w:r>
        <w:t>•</w:t>
      </w:r>
      <w:r>
        <w:tab/>
        <w:t>repeal spent and obsolete provisions and Acts, which will result in the repeal of approximately 37 pages of spent and obsolete provisions.</w:t>
      </w:r>
    </w:p>
    <w:p w:rsidR="007E5243" w:rsidRDefault="007E5243" w:rsidP="00873ADA">
      <w:pPr>
        <w:pStyle w:val="BodyNum"/>
      </w:pPr>
      <w:r>
        <w:t>The Statute Law Revision Bill (No. 2) 2016 was introduced in the Autumn 2016 sittings. That Bill includes amendments to:</w:t>
      </w:r>
    </w:p>
    <w:p w:rsidR="007E5243" w:rsidRDefault="007E5243" w:rsidP="007E5243">
      <w:pPr>
        <w:pStyle w:val="AnnualReportBullet"/>
        <w:tabs>
          <w:tab w:val="left" w:pos="360"/>
        </w:tabs>
        <w:ind w:left="360" w:hanging="360"/>
      </w:pPr>
      <w:r>
        <w:t>•</w:t>
      </w:r>
      <w:r>
        <w:tab/>
        <w:t xml:space="preserve">reduce the need for reliance on substituted reference orders under sections 19B and 19BA of the </w:t>
      </w:r>
      <w:r w:rsidRPr="0034379D">
        <w:rPr>
          <w:i/>
        </w:rPr>
        <w:t>Acts Interpretation Act 1901</w:t>
      </w:r>
      <w:r>
        <w:t>, and the need for such orders to be made in the future by inserting generic references to Ministers and Departments in Commonwealth Acts; and</w:t>
      </w:r>
    </w:p>
    <w:p w:rsidR="007E5243" w:rsidRDefault="007E5243" w:rsidP="007E5243">
      <w:pPr>
        <w:pStyle w:val="AnnualReportBullet"/>
        <w:tabs>
          <w:tab w:val="left" w:pos="360"/>
        </w:tabs>
        <w:ind w:left="360" w:hanging="360"/>
      </w:pPr>
      <w:r>
        <w:t>•</w:t>
      </w:r>
      <w:r>
        <w:tab/>
        <w:t>repeal spent and obsolete provisions and Acts, which will result in the repeal of approximately 27 pages of spent and obsolete provisions, including one Act.</w:t>
      </w:r>
    </w:p>
    <w:p w:rsidR="007E5243" w:rsidRDefault="007E5243" w:rsidP="007E5243">
      <w:pPr>
        <w:pStyle w:val="BodyNum"/>
      </w:pPr>
      <w:r>
        <w:t xml:space="preserve">The </w:t>
      </w:r>
      <w:r w:rsidRPr="0034379D">
        <w:rPr>
          <w:i/>
        </w:rPr>
        <w:t>Amending Acts 1990 to 1999 Repeal Act 2016</w:t>
      </w:r>
      <w:r>
        <w:t xml:space="preserve"> repealed 877 spent Acts. This Act was introduced in the 2015 Spring sittings and assented to on 11 February 2016.</w:t>
      </w:r>
    </w:p>
    <w:p w:rsidR="007E5243" w:rsidRDefault="007E5243" w:rsidP="007E5243">
      <w:pPr>
        <w:pStyle w:val="BodyNum"/>
      </w:pPr>
      <w:r>
        <w:t>The Statute Update Bill 2016 was introduced in the Autumn 2016 sittings. That Bill includes amendments to:</w:t>
      </w:r>
    </w:p>
    <w:p w:rsidR="007E5243" w:rsidRDefault="007E5243" w:rsidP="007E5243">
      <w:pPr>
        <w:pStyle w:val="AnnualReportBullet"/>
        <w:tabs>
          <w:tab w:val="left" w:pos="360"/>
        </w:tabs>
        <w:ind w:left="360" w:hanging="360"/>
      </w:pPr>
      <w:r>
        <w:t>•</w:t>
      </w:r>
      <w:r>
        <w:tab/>
        <w:t>update references to penalties expressed as a number of dollars with penalties expressed a</w:t>
      </w:r>
      <w:r w:rsidR="00C221DE">
        <w:t>s a number of penalty units;</w:t>
      </w:r>
    </w:p>
    <w:p w:rsidR="007E5243" w:rsidRDefault="007E5243" w:rsidP="007E5243">
      <w:pPr>
        <w:pStyle w:val="AnnualReportBullet"/>
        <w:tabs>
          <w:tab w:val="left" w:pos="360"/>
        </w:tabs>
        <w:ind w:left="360" w:hanging="360"/>
      </w:pPr>
      <w:r>
        <w:t>•</w:t>
      </w:r>
      <w:r>
        <w:tab/>
        <w:t>replace references to “maxi</w:t>
      </w:r>
      <w:r w:rsidR="00C221DE">
        <w:t>mum penalty” with “penalty”;</w:t>
      </w:r>
    </w:p>
    <w:p w:rsidR="007E5243" w:rsidRDefault="007E5243" w:rsidP="007E5243">
      <w:pPr>
        <w:pStyle w:val="AnnualReportBullet"/>
        <w:tabs>
          <w:tab w:val="left" w:pos="360"/>
        </w:tabs>
        <w:ind w:left="360" w:hanging="360"/>
      </w:pPr>
      <w:r>
        <w:t>•</w:t>
      </w:r>
      <w:r>
        <w:tab/>
        <w:t>amend provisions that deal with the evidentiary status of a certificate or other instrument, or of a register, to provide that it is prima facie evidence of the matters stated in it; and</w:t>
      </w:r>
    </w:p>
    <w:p w:rsidR="007E5243" w:rsidRDefault="007E5243" w:rsidP="007E5243">
      <w:pPr>
        <w:pStyle w:val="AnnualReportBullet"/>
        <w:tabs>
          <w:tab w:val="left" w:pos="360"/>
        </w:tabs>
        <w:ind w:left="360" w:hanging="360"/>
      </w:pPr>
      <w:r>
        <w:t>•</w:t>
      </w:r>
      <w:r>
        <w:tab/>
        <w:t xml:space="preserve">update references to aircraft registered in accordance with the </w:t>
      </w:r>
      <w:r w:rsidRPr="007E5243">
        <w:rPr>
          <w:i/>
        </w:rPr>
        <w:t>Civil Aviation Regulations 1988</w:t>
      </w:r>
      <w:r>
        <w:t>.</w:t>
      </w:r>
    </w:p>
    <w:p w:rsidR="004E2734" w:rsidRPr="008B7F83" w:rsidRDefault="00C221DE" w:rsidP="008B7F83">
      <w:pPr>
        <w:pStyle w:val="BodyNum"/>
        <w:rPr>
          <w:rFonts w:eastAsiaTheme="minorHAnsi"/>
        </w:rPr>
      </w:pPr>
      <w:r>
        <w:rPr>
          <w:rFonts w:eastAsiaTheme="minorHAnsi"/>
        </w:rPr>
        <w:t>Over 2015-</w:t>
      </w:r>
      <w:r w:rsidR="004E2734">
        <w:rPr>
          <w:rFonts w:eastAsiaTheme="minorHAnsi"/>
        </w:rPr>
        <w:t>2016</w:t>
      </w:r>
      <w:r w:rsidR="004E2734" w:rsidRPr="0042777C">
        <w:rPr>
          <w:rFonts w:eastAsiaTheme="minorHAnsi"/>
        </w:rPr>
        <w:t>, OPC continu</w:t>
      </w:r>
      <w:r w:rsidR="004E2734">
        <w:rPr>
          <w:rFonts w:eastAsiaTheme="minorHAnsi"/>
        </w:rPr>
        <w:t xml:space="preserve">ed to </w:t>
      </w:r>
      <w:r w:rsidR="004E2734" w:rsidRPr="0042777C">
        <w:rPr>
          <w:rFonts w:eastAsiaTheme="minorHAnsi"/>
        </w:rPr>
        <w:t xml:space="preserve">work </w:t>
      </w:r>
      <w:r w:rsidR="004E2734">
        <w:rPr>
          <w:rFonts w:eastAsiaTheme="minorHAnsi"/>
        </w:rPr>
        <w:t xml:space="preserve">with the Attorney-General’s Department </w:t>
      </w:r>
      <w:r w:rsidR="004E2734" w:rsidRPr="007457C4">
        <w:rPr>
          <w:rFonts w:eastAsiaTheme="minorHAnsi"/>
        </w:rPr>
        <w:t xml:space="preserve">to identify redundant legislative instruments and </w:t>
      </w:r>
      <w:r w:rsidR="004E2734">
        <w:rPr>
          <w:rFonts w:eastAsiaTheme="minorHAnsi"/>
        </w:rPr>
        <w:t xml:space="preserve">provide for their </w:t>
      </w:r>
      <w:r w:rsidR="004E2734" w:rsidRPr="007457C4">
        <w:rPr>
          <w:rFonts w:eastAsiaTheme="minorHAnsi"/>
        </w:rPr>
        <w:t xml:space="preserve">repeal in bulk. This work has enabled the repeal of </w:t>
      </w:r>
      <w:r w:rsidR="004E2734">
        <w:rPr>
          <w:rFonts w:eastAsiaTheme="minorHAnsi"/>
        </w:rPr>
        <w:t>approximately</w:t>
      </w:r>
      <w:r w:rsidR="004E2734" w:rsidRPr="007457C4">
        <w:rPr>
          <w:rFonts w:eastAsiaTheme="minorHAnsi"/>
        </w:rPr>
        <w:t xml:space="preserve"> </w:t>
      </w:r>
      <w:r w:rsidR="004E2734">
        <w:rPr>
          <w:rFonts w:eastAsiaTheme="minorHAnsi"/>
        </w:rPr>
        <w:t>18,000</w:t>
      </w:r>
      <w:r w:rsidR="004E2734" w:rsidRPr="00A23580">
        <w:rPr>
          <w:rFonts w:eastAsiaTheme="minorHAnsi"/>
          <w:color w:val="4F81BD" w:themeColor="accent1"/>
        </w:rPr>
        <w:t xml:space="preserve"> </w:t>
      </w:r>
      <w:r w:rsidR="004E2734" w:rsidRPr="007457C4">
        <w:rPr>
          <w:rFonts w:eastAsiaTheme="minorHAnsi"/>
        </w:rPr>
        <w:t xml:space="preserve">instruments since legislation to enable bulk repeals was enacted </w:t>
      </w:r>
      <w:r w:rsidR="004E2734">
        <w:rPr>
          <w:rFonts w:eastAsiaTheme="minorHAnsi"/>
        </w:rPr>
        <w:t xml:space="preserve">in the </w:t>
      </w:r>
      <w:r>
        <w:rPr>
          <w:rFonts w:eastAsiaTheme="minorHAnsi"/>
        </w:rPr>
        <w:t>Legislation Act</w:t>
      </w:r>
      <w:r w:rsidR="004E2734" w:rsidRPr="007457C4">
        <w:rPr>
          <w:rFonts w:eastAsiaTheme="minorHAnsi"/>
        </w:rPr>
        <w:t xml:space="preserve"> in </w:t>
      </w:r>
      <w:r w:rsidR="004E2734">
        <w:rPr>
          <w:rFonts w:eastAsiaTheme="minorHAnsi"/>
        </w:rPr>
        <w:t>late 2012.</w:t>
      </w:r>
    </w:p>
    <w:p w:rsidR="004E2734" w:rsidRPr="00E93E46" w:rsidRDefault="004E2734" w:rsidP="004E2734">
      <w:pPr>
        <w:pStyle w:val="BodyNum"/>
        <w:rPr>
          <w:rFonts w:eastAsiaTheme="minorHAnsi"/>
        </w:rPr>
      </w:pPr>
      <w:r w:rsidRPr="00E93E46">
        <w:rPr>
          <w:rFonts w:eastAsiaTheme="minorHAnsi"/>
        </w:rPr>
        <w:t>Amendments to the Legislation Act commenced on 5 March 2016 to allow minor editorial changes.</w:t>
      </w:r>
      <w:r>
        <w:rPr>
          <w:rFonts w:eastAsiaTheme="minorHAnsi"/>
        </w:rPr>
        <w:t xml:space="preserve"> </w:t>
      </w:r>
      <w:r w:rsidRPr="00E93E46">
        <w:rPr>
          <w:rFonts w:eastAsiaTheme="minorHAnsi"/>
        </w:rPr>
        <w:t xml:space="preserve">Under Division 3 (Editorial changes and other changes) </w:t>
      </w:r>
      <w:r w:rsidR="00872462">
        <w:rPr>
          <w:rFonts w:eastAsiaTheme="minorHAnsi"/>
        </w:rPr>
        <w:t>of Part 2 of Chapter 2</w:t>
      </w:r>
      <w:r w:rsidRPr="00E93E46">
        <w:rPr>
          <w:rFonts w:eastAsiaTheme="minorHAnsi"/>
        </w:rPr>
        <w:t xml:space="preserve"> of the</w:t>
      </w:r>
      <w:r w:rsidR="00872462">
        <w:rPr>
          <w:rFonts w:eastAsiaTheme="minorHAnsi"/>
        </w:rPr>
        <w:t xml:space="preserve"> Legislation Act</w:t>
      </w:r>
      <w:r w:rsidRPr="00E93E46">
        <w:rPr>
          <w:rFonts w:eastAsiaTheme="minorHAnsi"/>
        </w:rPr>
        <w:t>, F</w:t>
      </w:r>
      <w:r w:rsidR="000C61BE">
        <w:rPr>
          <w:rFonts w:eastAsiaTheme="minorHAnsi"/>
        </w:rPr>
        <w:t xml:space="preserve">irst </w:t>
      </w:r>
      <w:r w:rsidRPr="00E93E46">
        <w:rPr>
          <w:rFonts w:eastAsiaTheme="minorHAnsi"/>
        </w:rPr>
        <w:t>P</w:t>
      </w:r>
      <w:r w:rsidR="000C61BE">
        <w:rPr>
          <w:rFonts w:eastAsiaTheme="minorHAnsi"/>
        </w:rPr>
        <w:t xml:space="preserve">arliamentary </w:t>
      </w:r>
      <w:r w:rsidRPr="00E93E46">
        <w:rPr>
          <w:rFonts w:eastAsiaTheme="minorHAnsi"/>
        </w:rPr>
        <w:t>C</w:t>
      </w:r>
      <w:r w:rsidR="000C61BE">
        <w:rPr>
          <w:rFonts w:eastAsiaTheme="minorHAnsi"/>
        </w:rPr>
        <w:t>ounsel</w:t>
      </w:r>
      <w:r w:rsidRPr="00E93E46">
        <w:rPr>
          <w:rFonts w:eastAsiaTheme="minorHAnsi"/>
        </w:rPr>
        <w:t xml:space="preserve"> may make minor editorial changes to an Act or instrument, to correct an error, give effect to a misdescribed amendment, or bring the Act or instrument into line with legislative drafting practice. These changes must not alter the effect of the legislation.</w:t>
      </w:r>
    </w:p>
    <w:p w:rsidR="004E2734" w:rsidRDefault="004E2734" w:rsidP="004E2734">
      <w:pPr>
        <w:pStyle w:val="BodyNum"/>
        <w:rPr>
          <w:rFonts w:eastAsiaTheme="minorHAnsi"/>
        </w:rPr>
      </w:pPr>
      <w:r>
        <w:rPr>
          <w:rFonts w:eastAsiaTheme="minorHAnsi"/>
        </w:rPr>
        <w:t>These changes are intended to reduce the time needed for parliamentary consideration of these matters and ensure that readers of legislation can better access the law as in effect in the Act or instrument.</w:t>
      </w:r>
    </w:p>
    <w:p w:rsidR="00873ADA" w:rsidRPr="00111AD7" w:rsidRDefault="004E2734" w:rsidP="00873ADA">
      <w:pPr>
        <w:pStyle w:val="BodyNum"/>
      </w:pPr>
      <w:r>
        <w:rPr>
          <w:rFonts w:eastAsiaTheme="minorHAnsi"/>
        </w:rPr>
        <w:t>From March 2016 to 30 June 2016, F</w:t>
      </w:r>
      <w:r w:rsidR="000C61BE">
        <w:rPr>
          <w:rFonts w:eastAsiaTheme="minorHAnsi"/>
        </w:rPr>
        <w:t xml:space="preserve">irst </w:t>
      </w:r>
      <w:r>
        <w:rPr>
          <w:rFonts w:eastAsiaTheme="minorHAnsi"/>
        </w:rPr>
        <w:t>P</w:t>
      </w:r>
      <w:r w:rsidR="000C61BE">
        <w:rPr>
          <w:rFonts w:eastAsiaTheme="minorHAnsi"/>
        </w:rPr>
        <w:t xml:space="preserve">arliamentary </w:t>
      </w:r>
      <w:r>
        <w:rPr>
          <w:rFonts w:eastAsiaTheme="minorHAnsi"/>
        </w:rPr>
        <w:t>C</w:t>
      </w:r>
      <w:r w:rsidR="000C61BE">
        <w:rPr>
          <w:rFonts w:eastAsiaTheme="minorHAnsi"/>
        </w:rPr>
        <w:t>ounsel</w:t>
      </w:r>
      <w:r>
        <w:rPr>
          <w:rFonts w:eastAsiaTheme="minorHAnsi"/>
        </w:rPr>
        <w:t xml:space="preserve"> exercised this power in 21 compilations. </w:t>
      </w:r>
      <w:r w:rsidR="00873ADA">
        <w:rPr>
          <w:rFonts w:eastAsiaTheme="minorHAnsi"/>
        </w:rPr>
        <w:t>A summary of the kinds of editorial changes made for the 21 compilations is as follows</w:t>
      </w:r>
      <w:r w:rsidR="00873ADA" w:rsidRPr="00111AD7">
        <w:t>:</w:t>
      </w:r>
    </w:p>
    <w:p w:rsidR="00873ADA" w:rsidRPr="001F4B60" w:rsidRDefault="00873ADA" w:rsidP="00873ADA">
      <w:pPr>
        <w:pStyle w:val="Tabletext"/>
        <w:spacing w:before="0" w:line="240" w:lineRule="auto"/>
      </w:pPr>
    </w:p>
    <w:tbl>
      <w:tblPr>
        <w:tblW w:w="0" w:type="auto"/>
        <w:tblInd w:w="108" w:type="dxa"/>
        <w:tblLayout w:type="fixed"/>
        <w:tblLook w:val="0000" w:firstRow="0" w:lastRow="0" w:firstColumn="0" w:lastColumn="0" w:noHBand="0" w:noVBand="0"/>
      </w:tblPr>
      <w:tblGrid>
        <w:gridCol w:w="545"/>
        <w:gridCol w:w="1931"/>
        <w:gridCol w:w="821"/>
      </w:tblGrid>
      <w:tr w:rsidR="00873ADA" w:rsidRPr="00D247EE" w:rsidTr="00294E26">
        <w:trPr>
          <w:trHeight w:val="693"/>
          <w:tblHeader/>
        </w:trPr>
        <w:tc>
          <w:tcPr>
            <w:tcW w:w="545" w:type="dxa"/>
            <w:tcBorders>
              <w:top w:val="single" w:sz="12" w:space="0" w:color="auto"/>
            </w:tcBorders>
            <w:shd w:val="clear" w:color="auto" w:fill="auto"/>
            <w:vAlign w:val="center"/>
          </w:tcPr>
          <w:p w:rsidR="00873ADA" w:rsidRPr="00D247EE" w:rsidRDefault="000E6E29" w:rsidP="00294E26">
            <w:pPr>
              <w:pStyle w:val="Tabletext"/>
              <w:keepNext/>
              <w:spacing w:line="120" w:lineRule="atLeast"/>
              <w:rPr>
                <w:b/>
                <w:sz w:val="16"/>
                <w:szCs w:val="16"/>
              </w:rPr>
            </w:pPr>
            <w:r>
              <w:rPr>
                <w:b/>
                <w:sz w:val="16"/>
                <w:szCs w:val="16"/>
              </w:rPr>
              <w:t>Item</w:t>
            </w:r>
          </w:p>
        </w:tc>
        <w:tc>
          <w:tcPr>
            <w:tcW w:w="1931" w:type="dxa"/>
            <w:tcBorders>
              <w:top w:val="single" w:sz="12" w:space="0" w:color="auto"/>
            </w:tcBorders>
            <w:shd w:val="clear" w:color="auto" w:fill="auto"/>
          </w:tcPr>
          <w:p w:rsidR="00873ADA" w:rsidRPr="00D247EE" w:rsidRDefault="00873ADA" w:rsidP="000C61BE">
            <w:pPr>
              <w:pStyle w:val="Tabletext"/>
              <w:keepNext/>
              <w:rPr>
                <w:b/>
                <w:sz w:val="16"/>
                <w:szCs w:val="16"/>
              </w:rPr>
            </w:pPr>
            <w:r>
              <w:rPr>
                <w:b/>
                <w:sz w:val="16"/>
                <w:szCs w:val="16"/>
              </w:rPr>
              <w:t>Kind of editorial change</w:t>
            </w:r>
          </w:p>
        </w:tc>
        <w:tc>
          <w:tcPr>
            <w:tcW w:w="821" w:type="dxa"/>
            <w:tcBorders>
              <w:top w:val="single" w:sz="12" w:space="0" w:color="auto"/>
            </w:tcBorders>
            <w:shd w:val="clear" w:color="auto" w:fill="auto"/>
            <w:vAlign w:val="center"/>
          </w:tcPr>
          <w:p w:rsidR="00873ADA" w:rsidRPr="00D247EE" w:rsidRDefault="000E6E29" w:rsidP="00294E26">
            <w:pPr>
              <w:pStyle w:val="Tabletext"/>
              <w:keepNext/>
              <w:rPr>
                <w:b/>
                <w:sz w:val="16"/>
                <w:szCs w:val="16"/>
              </w:rPr>
            </w:pPr>
            <w:r>
              <w:rPr>
                <w:b/>
                <w:sz w:val="16"/>
                <w:szCs w:val="16"/>
              </w:rPr>
              <w:t>Number</w:t>
            </w:r>
          </w:p>
        </w:tc>
      </w:tr>
      <w:tr w:rsidR="00873ADA" w:rsidRPr="00D247EE" w:rsidTr="00662267">
        <w:trPr>
          <w:trHeight w:val="363"/>
        </w:trPr>
        <w:tc>
          <w:tcPr>
            <w:tcW w:w="545" w:type="dxa"/>
            <w:tcBorders>
              <w:top w:val="single" w:sz="12" w:space="0" w:color="auto"/>
              <w:bottom w:val="single" w:sz="2" w:space="0" w:color="auto"/>
            </w:tcBorders>
            <w:shd w:val="clear" w:color="auto" w:fill="auto"/>
          </w:tcPr>
          <w:p w:rsidR="00873ADA" w:rsidRPr="00D247EE" w:rsidRDefault="00873ADA" w:rsidP="00727098">
            <w:pPr>
              <w:pStyle w:val="Tabletext"/>
              <w:rPr>
                <w:sz w:val="16"/>
                <w:szCs w:val="16"/>
              </w:rPr>
            </w:pPr>
            <w:r w:rsidRPr="00D247EE">
              <w:rPr>
                <w:sz w:val="16"/>
                <w:szCs w:val="16"/>
              </w:rPr>
              <w:t>1</w:t>
            </w:r>
          </w:p>
        </w:tc>
        <w:tc>
          <w:tcPr>
            <w:tcW w:w="1931" w:type="dxa"/>
            <w:tcBorders>
              <w:top w:val="single" w:sz="12" w:space="0" w:color="auto"/>
              <w:bottom w:val="single" w:sz="2" w:space="0" w:color="auto"/>
            </w:tcBorders>
            <w:shd w:val="clear" w:color="auto" w:fill="auto"/>
          </w:tcPr>
          <w:p w:rsidR="00873ADA" w:rsidRPr="00D247EE" w:rsidRDefault="000E6E29" w:rsidP="00727098">
            <w:pPr>
              <w:pStyle w:val="Tabletext"/>
              <w:rPr>
                <w:sz w:val="16"/>
                <w:szCs w:val="16"/>
              </w:rPr>
            </w:pPr>
            <w:r>
              <w:rPr>
                <w:sz w:val="16"/>
                <w:szCs w:val="16"/>
              </w:rPr>
              <w:t>Change to typeface</w:t>
            </w:r>
          </w:p>
        </w:tc>
        <w:tc>
          <w:tcPr>
            <w:tcW w:w="821" w:type="dxa"/>
            <w:tcBorders>
              <w:top w:val="single" w:sz="12" w:space="0" w:color="auto"/>
              <w:bottom w:val="single" w:sz="2" w:space="0" w:color="auto"/>
            </w:tcBorders>
            <w:shd w:val="clear" w:color="auto" w:fill="auto"/>
          </w:tcPr>
          <w:p w:rsidR="00873ADA" w:rsidRPr="000E6E29" w:rsidRDefault="000E6E29" w:rsidP="000E6E29">
            <w:pPr>
              <w:pStyle w:val="Tabletext"/>
              <w:jc w:val="center"/>
              <w:rPr>
                <w:sz w:val="16"/>
                <w:szCs w:val="16"/>
              </w:rPr>
            </w:pPr>
            <w:r w:rsidRPr="000E6E29">
              <w:rPr>
                <w:sz w:val="16"/>
                <w:szCs w:val="16"/>
              </w:rPr>
              <w:t>1</w:t>
            </w:r>
          </w:p>
        </w:tc>
      </w:tr>
      <w:tr w:rsidR="000E6E29" w:rsidRPr="00D247EE" w:rsidTr="00662267">
        <w:tc>
          <w:tcPr>
            <w:tcW w:w="545"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sidRPr="00D247EE">
              <w:rPr>
                <w:sz w:val="16"/>
                <w:szCs w:val="16"/>
              </w:rPr>
              <w:t>2</w:t>
            </w:r>
          </w:p>
        </w:tc>
        <w:tc>
          <w:tcPr>
            <w:tcW w:w="1931"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Pr>
                <w:sz w:val="16"/>
                <w:szCs w:val="16"/>
              </w:rPr>
              <w:t>Removal of second occurrence of text</w:t>
            </w:r>
          </w:p>
        </w:tc>
        <w:tc>
          <w:tcPr>
            <w:tcW w:w="821" w:type="dxa"/>
            <w:tcBorders>
              <w:top w:val="single" w:sz="2" w:space="0" w:color="auto"/>
              <w:bottom w:val="single" w:sz="2" w:space="0" w:color="auto"/>
            </w:tcBorders>
            <w:shd w:val="clear" w:color="auto" w:fill="auto"/>
          </w:tcPr>
          <w:p w:rsidR="000E6E29" w:rsidRPr="000E6E29" w:rsidRDefault="000E6E29" w:rsidP="000E6E29">
            <w:pPr>
              <w:pStyle w:val="Tabletext"/>
              <w:jc w:val="center"/>
              <w:rPr>
                <w:sz w:val="16"/>
                <w:szCs w:val="16"/>
              </w:rPr>
            </w:pPr>
            <w:r>
              <w:rPr>
                <w:sz w:val="16"/>
                <w:szCs w:val="16"/>
              </w:rPr>
              <w:t>1</w:t>
            </w:r>
          </w:p>
        </w:tc>
      </w:tr>
      <w:tr w:rsidR="000E6E29" w:rsidRPr="00D247EE" w:rsidTr="00662267">
        <w:tc>
          <w:tcPr>
            <w:tcW w:w="545"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sidRPr="00D247EE">
              <w:rPr>
                <w:sz w:val="16"/>
                <w:szCs w:val="16"/>
              </w:rPr>
              <w:t>3</w:t>
            </w:r>
          </w:p>
        </w:tc>
        <w:tc>
          <w:tcPr>
            <w:tcW w:w="1931"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Pr>
                <w:sz w:val="16"/>
                <w:szCs w:val="16"/>
              </w:rPr>
              <w:t>Change to punctuation</w:t>
            </w:r>
          </w:p>
        </w:tc>
        <w:tc>
          <w:tcPr>
            <w:tcW w:w="821" w:type="dxa"/>
            <w:tcBorders>
              <w:top w:val="single" w:sz="2" w:space="0" w:color="auto"/>
              <w:bottom w:val="single" w:sz="2" w:space="0" w:color="auto"/>
            </w:tcBorders>
            <w:shd w:val="clear" w:color="auto" w:fill="auto"/>
          </w:tcPr>
          <w:p w:rsidR="000E6E29" w:rsidRPr="000E6E29" w:rsidRDefault="000E6E29" w:rsidP="000E6E29">
            <w:pPr>
              <w:pStyle w:val="Tabletext"/>
              <w:jc w:val="center"/>
              <w:rPr>
                <w:sz w:val="16"/>
                <w:szCs w:val="16"/>
              </w:rPr>
            </w:pPr>
            <w:r>
              <w:rPr>
                <w:sz w:val="16"/>
                <w:szCs w:val="16"/>
              </w:rPr>
              <w:t>7</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sidRPr="00D247EE">
              <w:rPr>
                <w:sz w:val="16"/>
                <w:szCs w:val="16"/>
              </w:rPr>
              <w:t>4</w:t>
            </w:r>
          </w:p>
        </w:tc>
        <w:tc>
          <w:tcPr>
            <w:tcW w:w="1931"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Pr>
                <w:sz w:val="16"/>
                <w:szCs w:val="16"/>
              </w:rPr>
              <w:t>Give effect to the misdescribed amendment as intended</w:t>
            </w:r>
          </w:p>
        </w:tc>
        <w:tc>
          <w:tcPr>
            <w:tcW w:w="821" w:type="dxa"/>
            <w:tcBorders>
              <w:top w:val="single" w:sz="2" w:space="0" w:color="auto"/>
              <w:bottom w:val="single" w:sz="2" w:space="0" w:color="auto"/>
            </w:tcBorders>
            <w:shd w:val="clear" w:color="auto" w:fill="auto"/>
          </w:tcPr>
          <w:p w:rsidR="000E6E29" w:rsidRPr="000E6E29" w:rsidRDefault="000E6E29" w:rsidP="000E6E29">
            <w:pPr>
              <w:pStyle w:val="Tabletext"/>
              <w:jc w:val="center"/>
              <w:rPr>
                <w:sz w:val="16"/>
                <w:szCs w:val="16"/>
              </w:rPr>
            </w:pPr>
            <w:r>
              <w:rPr>
                <w:sz w:val="16"/>
                <w:szCs w:val="16"/>
              </w:rPr>
              <w:t>9</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Pr>
                <w:sz w:val="16"/>
                <w:szCs w:val="16"/>
              </w:rPr>
              <w:t>5</w:t>
            </w:r>
          </w:p>
        </w:tc>
        <w:tc>
          <w:tcPr>
            <w:tcW w:w="1931"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Correct an error in cross-referencing</w:t>
            </w:r>
          </w:p>
        </w:tc>
        <w:tc>
          <w:tcPr>
            <w:tcW w:w="821" w:type="dxa"/>
            <w:tcBorders>
              <w:top w:val="single" w:sz="2" w:space="0" w:color="auto"/>
              <w:bottom w:val="single" w:sz="2" w:space="0" w:color="auto"/>
            </w:tcBorders>
            <w:shd w:val="clear" w:color="auto" w:fill="auto"/>
          </w:tcPr>
          <w:p w:rsidR="000E6E29" w:rsidRDefault="000E6E29" w:rsidP="000E6E29">
            <w:pPr>
              <w:pStyle w:val="Tabletext"/>
              <w:jc w:val="center"/>
              <w:rPr>
                <w:sz w:val="16"/>
                <w:szCs w:val="16"/>
              </w:rPr>
            </w:pPr>
            <w:r>
              <w:rPr>
                <w:sz w:val="16"/>
                <w:szCs w:val="16"/>
              </w:rPr>
              <w:t>1</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6</w:t>
            </w:r>
          </w:p>
        </w:tc>
        <w:tc>
          <w:tcPr>
            <w:tcW w:w="1931"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Renumbering of provisions</w:t>
            </w:r>
          </w:p>
        </w:tc>
        <w:tc>
          <w:tcPr>
            <w:tcW w:w="821" w:type="dxa"/>
            <w:tcBorders>
              <w:top w:val="single" w:sz="2" w:space="0" w:color="auto"/>
              <w:bottom w:val="single" w:sz="2" w:space="0" w:color="auto"/>
            </w:tcBorders>
            <w:shd w:val="clear" w:color="auto" w:fill="auto"/>
          </w:tcPr>
          <w:p w:rsidR="000E6E29" w:rsidRDefault="000E6E29" w:rsidP="000E6E29">
            <w:pPr>
              <w:pStyle w:val="Tabletext"/>
              <w:jc w:val="center"/>
              <w:rPr>
                <w:sz w:val="16"/>
                <w:szCs w:val="16"/>
              </w:rPr>
            </w:pPr>
            <w:r>
              <w:rPr>
                <w:sz w:val="16"/>
                <w:szCs w:val="16"/>
              </w:rPr>
              <w:t>7</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7</w:t>
            </w:r>
          </w:p>
        </w:tc>
        <w:tc>
          <w:tcPr>
            <w:tcW w:w="1931"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Removal of redundant text</w:t>
            </w:r>
          </w:p>
        </w:tc>
        <w:tc>
          <w:tcPr>
            <w:tcW w:w="821" w:type="dxa"/>
            <w:tcBorders>
              <w:top w:val="single" w:sz="2" w:space="0" w:color="auto"/>
              <w:bottom w:val="single" w:sz="2" w:space="0" w:color="auto"/>
            </w:tcBorders>
            <w:shd w:val="clear" w:color="auto" w:fill="auto"/>
          </w:tcPr>
          <w:p w:rsidR="000E6E29" w:rsidRDefault="000E6E29" w:rsidP="000E6E29">
            <w:pPr>
              <w:pStyle w:val="Tabletext"/>
              <w:jc w:val="center"/>
              <w:rPr>
                <w:sz w:val="16"/>
                <w:szCs w:val="16"/>
              </w:rPr>
            </w:pPr>
            <w:r>
              <w:rPr>
                <w:sz w:val="16"/>
                <w:szCs w:val="16"/>
              </w:rPr>
              <w:t>3</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8</w:t>
            </w:r>
          </w:p>
        </w:tc>
        <w:tc>
          <w:tcPr>
            <w:tcW w:w="1931"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Correct a typographical error</w:t>
            </w:r>
          </w:p>
        </w:tc>
        <w:tc>
          <w:tcPr>
            <w:tcW w:w="821" w:type="dxa"/>
            <w:tcBorders>
              <w:top w:val="single" w:sz="2" w:space="0" w:color="auto"/>
              <w:bottom w:val="single" w:sz="2" w:space="0" w:color="auto"/>
            </w:tcBorders>
            <w:shd w:val="clear" w:color="auto" w:fill="auto"/>
          </w:tcPr>
          <w:p w:rsidR="000E6E29" w:rsidRDefault="000E6E29" w:rsidP="000E6E29">
            <w:pPr>
              <w:pStyle w:val="Tabletext"/>
              <w:jc w:val="center"/>
              <w:rPr>
                <w:sz w:val="16"/>
                <w:szCs w:val="16"/>
              </w:rPr>
            </w:pPr>
            <w:r>
              <w:rPr>
                <w:sz w:val="16"/>
                <w:szCs w:val="16"/>
              </w:rPr>
              <w:t>6</w:t>
            </w:r>
          </w:p>
        </w:tc>
      </w:tr>
      <w:tr w:rsidR="000E6E29" w:rsidRPr="008138AB" w:rsidTr="00662267">
        <w:tc>
          <w:tcPr>
            <w:tcW w:w="545" w:type="dxa"/>
            <w:tcBorders>
              <w:top w:val="single" w:sz="2" w:space="0" w:color="auto"/>
              <w:bottom w:val="single" w:sz="12" w:space="0" w:color="auto"/>
            </w:tcBorders>
            <w:shd w:val="clear" w:color="auto" w:fill="auto"/>
          </w:tcPr>
          <w:p w:rsidR="000E6E29" w:rsidRPr="00D247EE" w:rsidRDefault="000E6E29" w:rsidP="00727098">
            <w:pPr>
              <w:pStyle w:val="Tabletext"/>
              <w:rPr>
                <w:sz w:val="16"/>
                <w:szCs w:val="16"/>
              </w:rPr>
            </w:pPr>
            <w:r>
              <w:rPr>
                <w:sz w:val="16"/>
                <w:szCs w:val="16"/>
              </w:rPr>
              <w:t>9</w:t>
            </w:r>
          </w:p>
        </w:tc>
        <w:tc>
          <w:tcPr>
            <w:tcW w:w="1931" w:type="dxa"/>
            <w:tcBorders>
              <w:top w:val="single" w:sz="2" w:space="0" w:color="auto"/>
              <w:bottom w:val="single" w:sz="12" w:space="0" w:color="auto"/>
            </w:tcBorders>
            <w:shd w:val="clear" w:color="auto" w:fill="auto"/>
          </w:tcPr>
          <w:p w:rsidR="000E6E29" w:rsidRPr="00D247EE" w:rsidRDefault="000E6E29" w:rsidP="00727098">
            <w:pPr>
              <w:pStyle w:val="Tabletext"/>
              <w:rPr>
                <w:sz w:val="16"/>
                <w:szCs w:val="16"/>
              </w:rPr>
            </w:pPr>
            <w:r>
              <w:rPr>
                <w:sz w:val="16"/>
                <w:szCs w:val="16"/>
              </w:rPr>
              <w:t>Change to spelling</w:t>
            </w:r>
          </w:p>
        </w:tc>
        <w:tc>
          <w:tcPr>
            <w:tcW w:w="821" w:type="dxa"/>
            <w:tcBorders>
              <w:top w:val="single" w:sz="2" w:space="0" w:color="auto"/>
              <w:bottom w:val="single" w:sz="12" w:space="0" w:color="auto"/>
            </w:tcBorders>
            <w:shd w:val="clear" w:color="auto" w:fill="auto"/>
          </w:tcPr>
          <w:p w:rsidR="000E6E29" w:rsidRPr="000E6E29" w:rsidRDefault="000E6E29" w:rsidP="000E6E29">
            <w:pPr>
              <w:pStyle w:val="Tabletext"/>
              <w:jc w:val="center"/>
              <w:rPr>
                <w:sz w:val="16"/>
                <w:szCs w:val="16"/>
              </w:rPr>
            </w:pPr>
            <w:r>
              <w:rPr>
                <w:sz w:val="16"/>
                <w:szCs w:val="16"/>
              </w:rPr>
              <w:t>3</w:t>
            </w:r>
          </w:p>
        </w:tc>
      </w:tr>
    </w:tbl>
    <w:p w:rsidR="00873ADA" w:rsidRDefault="00873ADA" w:rsidP="00873ADA">
      <w:pPr>
        <w:pStyle w:val="FootnoteText"/>
        <w:rPr>
          <w:rFonts w:ascii="Arial" w:hAnsi="Arial" w:cs="Arial"/>
          <w:sz w:val="16"/>
          <w:szCs w:val="16"/>
        </w:rPr>
      </w:pPr>
    </w:p>
    <w:p w:rsidR="004E2734" w:rsidRPr="003A5A2B" w:rsidRDefault="004E2734" w:rsidP="004E2734">
      <w:pPr>
        <w:pStyle w:val="BodyNum"/>
        <w:rPr>
          <w:rFonts w:eastAsiaTheme="minorHAnsi"/>
        </w:rPr>
      </w:pPr>
      <w:r>
        <w:rPr>
          <w:rFonts w:eastAsiaTheme="minorHAnsi"/>
        </w:rPr>
        <w:t>A report with details of all editorial changes made in 2015-</w:t>
      </w:r>
      <w:r w:rsidR="0034379D">
        <w:rPr>
          <w:rFonts w:eastAsiaTheme="minorHAnsi"/>
        </w:rPr>
        <w:t>20</w:t>
      </w:r>
      <w:r>
        <w:rPr>
          <w:rFonts w:eastAsiaTheme="minorHAnsi"/>
        </w:rPr>
        <w:t xml:space="preserve">16 can be found on the Legislation Register </w:t>
      </w:r>
      <w:r w:rsidR="00872462">
        <w:rPr>
          <w:rFonts w:eastAsiaTheme="minorHAnsi"/>
        </w:rPr>
        <w:t xml:space="preserve">at </w:t>
      </w:r>
      <w:r w:rsidR="00662267">
        <w:rPr>
          <w:rFonts w:eastAsiaTheme="minorHAnsi"/>
        </w:rPr>
        <w:t>www.legislation.gov.au/Content/EditorialChanges</w:t>
      </w:r>
      <w:r w:rsidR="008B7F83">
        <w:rPr>
          <w:rFonts w:eastAsiaTheme="minorHAnsi"/>
        </w:rPr>
        <w:t>.</w:t>
      </w:r>
    </w:p>
    <w:p w:rsidR="00D50B61" w:rsidRPr="0046444C" w:rsidRDefault="00D50B61" w:rsidP="00D50B61">
      <w:pPr>
        <w:pStyle w:val="Head5"/>
        <w:rPr>
          <w:rFonts w:eastAsiaTheme="minorHAnsi"/>
        </w:rPr>
      </w:pPr>
      <w:r>
        <w:rPr>
          <w:rFonts w:eastAsiaTheme="minorHAnsi"/>
        </w:rPr>
        <w:t>Sunsetting and review of legislative instruments</w:t>
      </w:r>
    </w:p>
    <w:p w:rsidR="0075278F" w:rsidRPr="0075278F" w:rsidRDefault="0075278F" w:rsidP="0075278F">
      <w:pPr>
        <w:pStyle w:val="BodyNum"/>
      </w:pPr>
      <w:r w:rsidRPr="00D41D88">
        <w:rPr>
          <w:rFonts w:eastAsiaTheme="minorHAnsi"/>
          <w:spacing w:val="-2"/>
        </w:rPr>
        <w:t>Under the</w:t>
      </w:r>
      <w:r w:rsidR="00872462">
        <w:rPr>
          <w:rFonts w:eastAsiaTheme="minorHAnsi"/>
          <w:spacing w:val="-2"/>
        </w:rPr>
        <w:t xml:space="preserve"> Legislation Act</w:t>
      </w:r>
      <w:r w:rsidRPr="00D41D88">
        <w:rPr>
          <w:rFonts w:eastAsiaTheme="minorHAnsi"/>
          <w:spacing w:val="-2"/>
        </w:rPr>
        <w:t>, all legislative instruments sunset automatically after 10 years unless action is taken to preserve them.</w:t>
      </w:r>
    </w:p>
    <w:p w:rsidR="0075278F" w:rsidRPr="0075278F" w:rsidRDefault="0075278F" w:rsidP="0075278F">
      <w:pPr>
        <w:pStyle w:val="BodyNum"/>
      </w:pPr>
      <w:r w:rsidRPr="00D41D88">
        <w:rPr>
          <w:rFonts w:eastAsiaTheme="minorHAnsi"/>
          <w:spacing w:val="-2"/>
        </w:rPr>
        <w:t>The purpose of sunsetting is to ensure that legi</w:t>
      </w:r>
      <w:r w:rsidR="00872462">
        <w:rPr>
          <w:rFonts w:eastAsiaTheme="minorHAnsi"/>
          <w:spacing w:val="-2"/>
        </w:rPr>
        <w:t>slative instruments are kept up-</w:t>
      </w:r>
      <w:r w:rsidRPr="00D41D88">
        <w:rPr>
          <w:rFonts w:eastAsiaTheme="minorHAnsi"/>
          <w:spacing w:val="-2"/>
        </w:rPr>
        <w:t>to</w:t>
      </w:r>
      <w:r w:rsidR="00872462">
        <w:rPr>
          <w:rFonts w:eastAsiaTheme="minorHAnsi"/>
          <w:spacing w:val="-2"/>
        </w:rPr>
        <w:t>-</w:t>
      </w:r>
      <w:r w:rsidRPr="00D41D88">
        <w:rPr>
          <w:rFonts w:eastAsiaTheme="minorHAnsi"/>
          <w:spacing w:val="-2"/>
        </w:rPr>
        <w:t>date, and only remain in force as long as they are required. Sunsetting is also an important mechanism to pursue clearer laws and reduce red tape.</w:t>
      </w:r>
    </w:p>
    <w:p w:rsidR="00D50B61" w:rsidRDefault="00D50B61" w:rsidP="00D50B61">
      <w:pPr>
        <w:pStyle w:val="BodyNum"/>
        <w:rPr>
          <w:rFonts w:eastAsiaTheme="minorHAnsi"/>
        </w:rPr>
      </w:pPr>
      <w:r w:rsidRPr="0042777C">
        <w:rPr>
          <w:rFonts w:eastAsiaTheme="minorHAnsi"/>
        </w:rPr>
        <w:t xml:space="preserve">OPC </w:t>
      </w:r>
      <w:r>
        <w:rPr>
          <w:rFonts w:eastAsiaTheme="minorHAnsi"/>
        </w:rPr>
        <w:t>continued to work closely with agencies to manage the sunsetting of legislative instruments. This included working with</w:t>
      </w:r>
      <w:r w:rsidRPr="0042777C">
        <w:rPr>
          <w:rFonts w:eastAsiaTheme="minorHAnsi"/>
        </w:rPr>
        <w:t xml:space="preserve"> sunsetting coordinators in all portfolios to encourage early action on sunsetting</w:t>
      </w:r>
      <w:r>
        <w:rPr>
          <w:rFonts w:eastAsiaTheme="minorHAnsi"/>
        </w:rPr>
        <w:t xml:space="preserve"> through</w:t>
      </w:r>
      <w:r w:rsidRPr="0042777C">
        <w:rPr>
          <w:rFonts w:eastAsiaTheme="minorHAnsi"/>
        </w:rPr>
        <w:t xml:space="preserve"> the preparation of sunset lists for tabling in Parliament.</w:t>
      </w:r>
    </w:p>
    <w:p w:rsidR="0075278F" w:rsidRPr="004A6790" w:rsidRDefault="0075278F" w:rsidP="0075278F">
      <w:pPr>
        <w:pStyle w:val="BodyNum"/>
      </w:pPr>
      <w:r w:rsidRPr="00860BE0">
        <w:rPr>
          <w:rFonts w:eastAsiaTheme="minorHAnsi"/>
          <w:spacing w:val="-2"/>
        </w:rPr>
        <w:t>In 2015</w:t>
      </w:r>
      <w:r w:rsidRPr="00E4548F">
        <w:rPr>
          <w:rFonts w:eastAsiaTheme="minorHAnsi"/>
          <w:spacing w:val="-2"/>
        </w:rPr>
        <w:t>-</w:t>
      </w:r>
      <w:r w:rsidRPr="00860BE0">
        <w:rPr>
          <w:rFonts w:eastAsiaTheme="minorHAnsi"/>
          <w:spacing w:val="-2"/>
        </w:rPr>
        <w:t>2016</w:t>
      </w:r>
      <w:r w:rsidRPr="00E4548F">
        <w:rPr>
          <w:rFonts w:eastAsiaTheme="minorHAnsi"/>
          <w:spacing w:val="-2"/>
        </w:rPr>
        <w:t xml:space="preserve">, </w:t>
      </w:r>
      <w:r w:rsidR="00872462">
        <w:rPr>
          <w:rFonts w:eastAsiaTheme="minorHAnsi"/>
          <w:spacing w:val="-2"/>
        </w:rPr>
        <w:t>2</w:t>
      </w:r>
      <w:r w:rsidRPr="00E4548F">
        <w:rPr>
          <w:rFonts w:eastAsiaTheme="minorHAnsi"/>
          <w:spacing w:val="-2"/>
        </w:rPr>
        <w:t xml:space="preserve"> lists of instruments due to sunset</w:t>
      </w:r>
      <w:r w:rsidRPr="00860BE0">
        <w:rPr>
          <w:spacing w:val="-2"/>
        </w:rPr>
        <w:t xml:space="preserve"> soon were prepared for the Attorney-General to table in Parliament in accordance with the L</w:t>
      </w:r>
      <w:r>
        <w:rPr>
          <w:spacing w:val="-2"/>
        </w:rPr>
        <w:t xml:space="preserve">egislation </w:t>
      </w:r>
      <w:r w:rsidRPr="00860BE0">
        <w:rPr>
          <w:spacing w:val="-2"/>
        </w:rPr>
        <w:t>A</w:t>
      </w:r>
      <w:r>
        <w:rPr>
          <w:spacing w:val="-2"/>
        </w:rPr>
        <w:t>ct</w:t>
      </w:r>
      <w:r w:rsidRPr="00860BE0">
        <w:rPr>
          <w:spacing w:val="-2"/>
        </w:rPr>
        <w:t>.</w:t>
      </w:r>
    </w:p>
    <w:p w:rsidR="00D50B61" w:rsidRDefault="00D50B61" w:rsidP="00D50B61">
      <w:pPr>
        <w:pStyle w:val="BodyNum"/>
        <w:rPr>
          <w:rFonts w:eastAsiaTheme="minorHAnsi"/>
        </w:rPr>
      </w:pPr>
      <w:r w:rsidRPr="008E4CD0">
        <w:rPr>
          <w:rFonts w:eastAsiaTheme="minorHAnsi"/>
        </w:rPr>
        <w:t>OPC also assisted in the management of the sunsetting of legislative instruments by drafting instruments for the Attorney-General under the Legislation Act to allow for the deferral of sunsetting and to align the suns</w:t>
      </w:r>
      <w:r>
        <w:rPr>
          <w:rFonts w:eastAsiaTheme="minorHAnsi"/>
        </w:rPr>
        <w:t>e</w:t>
      </w:r>
      <w:r w:rsidRPr="008E4CD0">
        <w:rPr>
          <w:rFonts w:eastAsiaTheme="minorHAnsi"/>
        </w:rPr>
        <w:t>tting of instruments to facilitate the thematic review of instruments.</w:t>
      </w:r>
    </w:p>
    <w:p w:rsidR="00D50B61" w:rsidRPr="00662267" w:rsidRDefault="00D50B61" w:rsidP="00662267">
      <w:pPr>
        <w:pStyle w:val="BodyNum"/>
        <w:rPr>
          <w:rFonts w:eastAsiaTheme="minorHAnsi"/>
        </w:rPr>
      </w:pPr>
      <w:r w:rsidRPr="004F7853">
        <w:t xml:space="preserve">Key legislative instruments that were reviewed by </w:t>
      </w:r>
      <w:r>
        <w:t xml:space="preserve">agencies </w:t>
      </w:r>
      <w:r w:rsidRPr="004F7853">
        <w:t xml:space="preserve">and redrafted by OPC before the instruments were due to sunset </w:t>
      </w:r>
      <w:r>
        <w:t>included the</w:t>
      </w:r>
      <w:r w:rsidRPr="00B84374">
        <w:t xml:space="preserve"> </w:t>
      </w:r>
      <w:r w:rsidRPr="00662267">
        <w:rPr>
          <w:i/>
        </w:rPr>
        <w:t>Income Tax Assessment (1936 Act) Regulation 2015</w:t>
      </w:r>
      <w:r>
        <w:t xml:space="preserve">, the </w:t>
      </w:r>
      <w:r w:rsidRPr="00662267">
        <w:rPr>
          <w:i/>
        </w:rPr>
        <w:t xml:space="preserve">Legislation (Exemptions and Other Matters) Regulation 2015, </w:t>
      </w:r>
      <w:r>
        <w:t xml:space="preserve">the </w:t>
      </w:r>
      <w:r w:rsidRPr="00662267">
        <w:rPr>
          <w:i/>
        </w:rPr>
        <w:t xml:space="preserve">Electoral and Referendum Regulations 2016, </w:t>
      </w:r>
      <w:r>
        <w:t xml:space="preserve">the </w:t>
      </w:r>
      <w:r w:rsidRPr="00662267">
        <w:rPr>
          <w:i/>
        </w:rPr>
        <w:t xml:space="preserve">Seas and Submerged Lands (Territorial Sea Baseline) Proclamation 2016 </w:t>
      </w:r>
      <w:r w:rsidRPr="003D7FAD">
        <w:t>a</w:t>
      </w:r>
      <w:r>
        <w:t>n</w:t>
      </w:r>
      <w:r w:rsidRPr="003D7FAD">
        <w:t>d the</w:t>
      </w:r>
      <w:r w:rsidRPr="00662267">
        <w:rPr>
          <w:i/>
        </w:rPr>
        <w:t xml:space="preserve"> Seas and Submerged Lands (Historic Bays) Proclamation 2016, </w:t>
      </w:r>
      <w:r w:rsidRPr="00C11108">
        <w:t>the</w:t>
      </w:r>
      <w:r w:rsidRPr="00662267">
        <w:rPr>
          <w:i/>
        </w:rPr>
        <w:t xml:space="preserve"> Census and Statistics Regulations 2016</w:t>
      </w:r>
      <w:r>
        <w:t xml:space="preserve"> and the </w:t>
      </w:r>
      <w:r w:rsidRPr="00662267">
        <w:rPr>
          <w:i/>
        </w:rPr>
        <w:t>Reserve Bank Regulation 2016</w:t>
      </w:r>
      <w:r>
        <w:t>.</w:t>
      </w:r>
    </w:p>
    <w:p w:rsidR="00D50B61" w:rsidRDefault="00D50B61" w:rsidP="00D50B61">
      <w:pPr>
        <w:pStyle w:val="BodyNum"/>
      </w:pPr>
      <w:r>
        <w:t>The rewritten instruments greatly improved the quality and readability of these instruments and generally decreased the number of pages on the statute book.</w:t>
      </w:r>
    </w:p>
    <w:p w:rsidR="00D50B61" w:rsidRDefault="00D50B61" w:rsidP="00D50B61">
      <w:pPr>
        <w:pStyle w:val="BodyNum"/>
      </w:pPr>
      <w:r w:rsidRPr="00D64E1C">
        <w:rPr>
          <w:rFonts w:eastAsiaTheme="minorHAnsi"/>
        </w:rPr>
        <w:t>OPC will continue to play an important role in updating and modernising legislative instruments due to sunset, repealing spent and redundant legislation and ensuring that the Commonwealth statute book is as coherent, readable and readily accessible as possible</w:t>
      </w:r>
      <w:r w:rsidR="00872462">
        <w:rPr>
          <w:rFonts w:eastAsiaTheme="minorHAnsi"/>
        </w:rPr>
        <w:t>.</w:t>
      </w:r>
    </w:p>
    <w:p w:rsidR="00D50B61" w:rsidRPr="00C575CA" w:rsidRDefault="00D50B61" w:rsidP="00D50B61">
      <w:pPr>
        <w:pStyle w:val="Head4"/>
        <w:rPr>
          <w:rStyle w:val="CharSubdText"/>
        </w:rPr>
      </w:pPr>
      <w:r w:rsidRPr="00C575CA">
        <w:rPr>
          <w:rStyle w:val="CharSubdText"/>
        </w:rPr>
        <w:t>Encouraging high standards in the drafting of legislative</w:t>
      </w:r>
      <w:r>
        <w:rPr>
          <w:rStyle w:val="CharSubdText"/>
        </w:rPr>
        <w:t xml:space="preserve"> and notifiable</w:t>
      </w:r>
      <w:r w:rsidRPr="00C575CA">
        <w:rPr>
          <w:rStyle w:val="CharSubdText"/>
        </w:rPr>
        <w:t xml:space="preserve"> instruments</w:t>
      </w:r>
    </w:p>
    <w:p w:rsidR="00D50B61" w:rsidRDefault="00D50B61" w:rsidP="00D50B61">
      <w:pPr>
        <w:pStyle w:val="BodyNum"/>
      </w:pPr>
      <w:r>
        <w:t>In addition to the above deliverables for the standardisation and quality control of legislation, OPC also undertakes a broad range of measures to encourage high standards in the drafting of Commonwealth legislative and notifiable instruments.</w:t>
      </w:r>
    </w:p>
    <w:p w:rsidR="00D50B61" w:rsidRDefault="00872462" w:rsidP="00D50B61">
      <w:pPr>
        <w:pStyle w:val="BodyNum"/>
      </w:pPr>
      <w:r>
        <w:t>F</w:t>
      </w:r>
      <w:r w:rsidR="00D50B61">
        <w:t>irst Parliamentary Counsel</w:t>
      </w:r>
      <w:r w:rsidR="005B0CF0">
        <w:t xml:space="preserve"> (</w:t>
      </w:r>
      <w:r w:rsidR="005B0CF0" w:rsidRPr="005B0CF0">
        <w:rPr>
          <w:b/>
          <w:i/>
        </w:rPr>
        <w:t>FPC</w:t>
      </w:r>
      <w:r w:rsidR="005B0CF0">
        <w:t>)</w:t>
      </w:r>
      <w:r w:rsidR="00D50B61">
        <w:t xml:space="preserve"> causes these measures to be undertaken to fulfil his</w:t>
      </w:r>
      <w:bookmarkStart w:id="57" w:name="BK_S28P38L33C28"/>
      <w:bookmarkEnd w:id="57"/>
      <w:r w:rsidR="00D50B61">
        <w:t xml:space="preserve"> obligation under section 16 of the Legislation Act to promote the legal effectiveness, clarity, and intelligibility to</w:t>
      </w:r>
      <w:r>
        <w:t xml:space="preserve"> anticipated users</w:t>
      </w:r>
      <w:r w:rsidR="00D50B61">
        <w:t xml:space="preserve"> of legislative and notifiable instruments.</w:t>
      </w:r>
    </w:p>
    <w:p w:rsidR="00D50B61" w:rsidRDefault="00D50B61" w:rsidP="00D50B61">
      <w:pPr>
        <w:pStyle w:val="BodyNum"/>
      </w:pPr>
      <w:r>
        <w:t xml:space="preserve">Since this obligation transferred from the Secretary of the Attorney-General’s Department to </w:t>
      </w:r>
      <w:r w:rsidR="005B0CF0">
        <w:t>FPC</w:t>
      </w:r>
      <w:r>
        <w:t xml:space="preserve"> in 2012, a number of measures have been taken to encourage high standards and enhance the quality of all legislative and notifiable instruments and the Commonwealth statute book generally. These measures include:</w:t>
      </w:r>
    </w:p>
    <w:p w:rsidR="00D50B61" w:rsidRDefault="00D50B61" w:rsidP="00D50B61">
      <w:pPr>
        <w:pStyle w:val="BodyNum"/>
        <w:numPr>
          <w:ilvl w:val="0"/>
          <w:numId w:val="32"/>
        </w:numPr>
      </w:pPr>
      <w:r>
        <w:t>harmonising drafting standards and the presentation of Commonwealth Bills and OPC drafted instruments to enable a more cohesive Commonwealth statute book and set a precedent for other drafters of untied legislative or notifiable instruments;</w:t>
      </w:r>
    </w:p>
    <w:p w:rsidR="00D50B61" w:rsidRDefault="00D50B61" w:rsidP="00D50B61">
      <w:pPr>
        <w:pStyle w:val="BodyNum"/>
        <w:numPr>
          <w:ilvl w:val="0"/>
          <w:numId w:val="32"/>
        </w:numPr>
      </w:pPr>
      <w:r>
        <w:t>developing a prioritisation system for ExCo legislative instruments to better manage the government’s program and enhance the quality of instruments;</w:t>
      </w:r>
    </w:p>
    <w:p w:rsidR="00D50B61" w:rsidRDefault="00D50B61" w:rsidP="00D50B61">
      <w:pPr>
        <w:pStyle w:val="BodyNum"/>
        <w:numPr>
          <w:ilvl w:val="0"/>
          <w:numId w:val="32"/>
        </w:numPr>
      </w:pPr>
      <w:r>
        <w:t>developing broader instruments drafting expertise within OPC to enable more highly experienced drafters to be available to assist with untied drafting work;</w:t>
      </w:r>
    </w:p>
    <w:p w:rsidR="00D50B61" w:rsidRDefault="00D50B61" w:rsidP="00D50B61">
      <w:pPr>
        <w:pStyle w:val="BodyNum"/>
        <w:numPr>
          <w:ilvl w:val="0"/>
          <w:numId w:val="32"/>
        </w:numPr>
      </w:pPr>
      <w:r>
        <w:t xml:space="preserve">actively engaging with agencies in relation to untied instruments through OPC </w:t>
      </w:r>
      <w:r w:rsidR="004E3E71">
        <w:t>C</w:t>
      </w:r>
      <w:r>
        <w:t xml:space="preserve">lient </w:t>
      </w:r>
      <w:r w:rsidR="004E3E71">
        <w:t>A</w:t>
      </w:r>
      <w:r>
        <w:t>dvisers from whom agencies can also obtain quick, informal advice about legislative or notifiable instrument drafting;</w:t>
      </w:r>
    </w:p>
    <w:p w:rsidR="00D50B61" w:rsidRDefault="00D50B61" w:rsidP="00D50B61">
      <w:pPr>
        <w:pStyle w:val="BodyNum"/>
        <w:numPr>
          <w:ilvl w:val="0"/>
          <w:numId w:val="32"/>
        </w:numPr>
      </w:pPr>
      <w:r>
        <w:t>developing further guidance to agencies in relation to managing and drafting legislative or notifiable instruments through drafting standards and the reissue of the Instruments Handbook;</w:t>
      </w:r>
    </w:p>
    <w:p w:rsidR="00D50B61" w:rsidRDefault="00D50B61" w:rsidP="00D50B61">
      <w:pPr>
        <w:pStyle w:val="BodyNum"/>
        <w:numPr>
          <w:ilvl w:val="0"/>
          <w:numId w:val="32"/>
        </w:numPr>
      </w:pPr>
      <w:r>
        <w:t>rationalising instrument-making powers to ensure instruments that have the most significant impacts on the community are professionally drafted by OPC;</w:t>
      </w:r>
    </w:p>
    <w:p w:rsidR="00D50B61" w:rsidRDefault="00D50B61" w:rsidP="00D50B61">
      <w:pPr>
        <w:pStyle w:val="BodyNum"/>
        <w:numPr>
          <w:ilvl w:val="0"/>
          <w:numId w:val="32"/>
        </w:numPr>
      </w:pPr>
      <w:r>
        <w:t>limiting the proliferation of the number and types of instruments in enabling legislation to enable greater consistency in legislative and notifiable instruments;</w:t>
      </w:r>
    </w:p>
    <w:p w:rsidR="00D50B61" w:rsidRDefault="00D50B61" w:rsidP="00D50B61">
      <w:pPr>
        <w:pStyle w:val="BodyNum"/>
        <w:numPr>
          <w:ilvl w:val="0"/>
          <w:numId w:val="32"/>
        </w:numPr>
      </w:pPr>
      <w:r>
        <w:t>rationalising the number of legislative instruments that will need to be considered for sunsetting through automatic repeal and bulk repeal instruments and working with agencies to manage sunsetting; and</w:t>
      </w:r>
    </w:p>
    <w:p w:rsidR="00D50B61" w:rsidRDefault="00D50B61" w:rsidP="00D50B61">
      <w:pPr>
        <w:pStyle w:val="BodyNum"/>
        <w:numPr>
          <w:ilvl w:val="0"/>
          <w:numId w:val="32"/>
        </w:numPr>
      </w:pPr>
      <w:r>
        <w:t xml:space="preserve">developing and implementing further measures to efficiently manage the Commonwealth statute book through changes included in the </w:t>
      </w:r>
      <w:r w:rsidRPr="00EA0571">
        <w:rPr>
          <w:i/>
        </w:rPr>
        <w:t>Acts and Instrument (Framework Reform) Act 2015</w:t>
      </w:r>
      <w:r w:rsidR="006E79E6">
        <w:rPr>
          <w:i/>
        </w:rPr>
        <w:t>.</w:t>
      </w:r>
    </w:p>
    <w:p w:rsidR="00D50B61" w:rsidRDefault="00D50B61" w:rsidP="00D50B61">
      <w:pPr>
        <w:pStyle w:val="BodyNum"/>
      </w:pPr>
      <w:r>
        <w:t>In addition to continued work on the ab</w:t>
      </w:r>
      <w:r w:rsidR="0055279D">
        <w:t xml:space="preserve">ove measures, in 2015-2016, </w:t>
      </w:r>
      <w:r>
        <w:t>FPC fulfilled his</w:t>
      </w:r>
      <w:bookmarkStart w:id="58" w:name="BK_S28P39L69C22"/>
      <w:bookmarkEnd w:id="58"/>
      <w:r>
        <w:t xml:space="preserve"> obligation under section 16 of the Legislation Act by causing steps to be taken for OPC to undertake and supervise the drafting of legislative and notifiable instruments, providing advice and training in drafting and related matters to agencies</w:t>
      </w:r>
      <w:r w:rsidR="005B0CF0">
        <w:t>,</w:t>
      </w:r>
      <w:r>
        <w:t xml:space="preserve"> and providing drafting precedents to guide agencies in drafting instruments in the future.</w:t>
      </w:r>
    </w:p>
    <w:p w:rsidR="00D50B61" w:rsidRDefault="00D50B61" w:rsidP="00D50B61">
      <w:pPr>
        <w:pStyle w:val="BodyNum"/>
      </w:pPr>
      <w:r>
        <w:t>In 2015-2016, OPC increased the number of untied legislative instruments it drafted for agencies at the same time as increasing the number of instruments drafted for consideration by ExCo.</w:t>
      </w:r>
    </w:p>
    <w:p w:rsidR="00D50B61" w:rsidRPr="00C50FD0" w:rsidRDefault="00D50B61" w:rsidP="00D50B61">
      <w:pPr>
        <w:pStyle w:val="BodyNum"/>
        <w:rPr>
          <w:i/>
        </w:rPr>
      </w:pPr>
      <w:r>
        <w:t>OPC will seek to continue to build capacity to further assist agencies to draft their untied legislative instruments and take further steps to encourage high standards in the drafting of legislative and notifiable instruments.</w:t>
      </w:r>
    </w:p>
    <w:p w:rsidR="00D50B61" w:rsidRPr="006C6997" w:rsidRDefault="00D50B61" w:rsidP="00D50B61">
      <w:pPr>
        <w:pStyle w:val="BodyNum"/>
      </w:pPr>
      <w:r>
        <w:t xml:space="preserve">In 2015-2016, OPC </w:t>
      </w:r>
      <w:r w:rsidRPr="006C6997">
        <w:t>provided</w:t>
      </w:r>
      <w:r>
        <w:t xml:space="preserve"> drafting services to settle or check legislative instruments drafted by a number of agencies</w:t>
      </w:r>
      <w:r w:rsidRPr="006C6997">
        <w:t>, including:</w:t>
      </w:r>
    </w:p>
    <w:p w:rsidR="00D50B61" w:rsidRPr="006C6997" w:rsidRDefault="00D50B61" w:rsidP="00D50B61">
      <w:pPr>
        <w:pStyle w:val="AnnualReportBullet"/>
        <w:tabs>
          <w:tab w:val="left" w:pos="360"/>
        </w:tabs>
        <w:ind w:left="360" w:hanging="360"/>
        <w:rPr>
          <w:rFonts w:cs="Arial"/>
        </w:rPr>
      </w:pPr>
      <w:r w:rsidRPr="006C6997">
        <w:rPr>
          <w:rFonts w:ascii="Symbol" w:hAnsi="Symbol"/>
        </w:rPr>
        <w:t></w:t>
      </w:r>
      <w:r w:rsidRPr="006C6997">
        <w:rPr>
          <w:rFonts w:ascii="Symbol" w:hAnsi="Symbol"/>
        </w:rPr>
        <w:tab/>
      </w:r>
      <w:r w:rsidRPr="006C6997">
        <w:rPr>
          <w:rFonts w:cs="Arial"/>
        </w:rPr>
        <w:t>t</w:t>
      </w:r>
      <w:r>
        <w:rPr>
          <w:rFonts w:cs="Arial"/>
        </w:rPr>
        <w:t xml:space="preserve">he </w:t>
      </w:r>
      <w:r w:rsidRPr="006C6997">
        <w:rPr>
          <w:rFonts w:cs="Arial"/>
        </w:rPr>
        <w:t>Attorney-General’s Department;</w:t>
      </w:r>
    </w:p>
    <w:p w:rsidR="00D50B61" w:rsidRPr="006C6997" w:rsidRDefault="00D50B61" w:rsidP="00D50B61">
      <w:pPr>
        <w:pStyle w:val="AnnualReportBullet"/>
        <w:tabs>
          <w:tab w:val="left" w:pos="360"/>
        </w:tabs>
        <w:ind w:left="360" w:hanging="360"/>
        <w:rPr>
          <w:rFonts w:cs="Arial"/>
        </w:rPr>
      </w:pPr>
      <w:r w:rsidRPr="006C6997">
        <w:rPr>
          <w:rFonts w:ascii="Symbol" w:hAnsi="Symbol"/>
        </w:rPr>
        <w:t></w:t>
      </w:r>
      <w:r w:rsidRPr="006C6997">
        <w:rPr>
          <w:rFonts w:ascii="Symbol" w:hAnsi="Symbol"/>
        </w:rPr>
        <w:tab/>
      </w:r>
      <w:r w:rsidRPr="006C6997">
        <w:rPr>
          <w:rFonts w:cs="Arial"/>
        </w:rPr>
        <w:t>the Department of Agriculture</w:t>
      </w:r>
      <w:r>
        <w:rPr>
          <w:rFonts w:cs="Arial"/>
        </w:rPr>
        <w:t xml:space="preserve"> and Water Resources</w:t>
      </w:r>
      <w:r w:rsidRPr="006C6997">
        <w:rPr>
          <w:rFonts w:cs="Arial"/>
        </w:rPr>
        <w:t>;</w:t>
      </w:r>
    </w:p>
    <w:p w:rsidR="00D50B61" w:rsidRDefault="00D50B61" w:rsidP="00D50B61">
      <w:pPr>
        <w:pStyle w:val="AnnualReportBullet"/>
        <w:tabs>
          <w:tab w:val="left" w:pos="360"/>
        </w:tabs>
        <w:ind w:left="360" w:hanging="360"/>
        <w:rPr>
          <w:rFonts w:cs="Arial"/>
        </w:rPr>
      </w:pPr>
      <w:r w:rsidRPr="006C6997">
        <w:rPr>
          <w:rFonts w:ascii="Symbol" w:hAnsi="Symbol"/>
        </w:rPr>
        <w:t></w:t>
      </w:r>
      <w:r w:rsidRPr="006C6997">
        <w:rPr>
          <w:rFonts w:ascii="Symbol" w:hAnsi="Symbol"/>
        </w:rPr>
        <w:tab/>
      </w:r>
      <w:r>
        <w:rPr>
          <w:rFonts w:cs="Arial"/>
        </w:rPr>
        <w:t>the Department of Health</w:t>
      </w:r>
      <w:r w:rsidRPr="006C6997">
        <w:rPr>
          <w:rFonts w:cs="Arial"/>
        </w:rPr>
        <w:t>;</w:t>
      </w:r>
    </w:p>
    <w:p w:rsidR="00D50B61" w:rsidRDefault="00D50B61" w:rsidP="00D50B61">
      <w:pPr>
        <w:pStyle w:val="AnnualReportBullet"/>
        <w:tabs>
          <w:tab w:val="left" w:pos="360"/>
        </w:tabs>
        <w:ind w:left="360" w:hanging="360"/>
        <w:rPr>
          <w:rFonts w:cs="Arial"/>
        </w:rPr>
      </w:pPr>
      <w:r w:rsidRPr="006C6997">
        <w:rPr>
          <w:rFonts w:ascii="Symbol" w:hAnsi="Symbol"/>
        </w:rPr>
        <w:t></w:t>
      </w:r>
      <w:r w:rsidRPr="006C6997">
        <w:rPr>
          <w:rFonts w:ascii="Symbol" w:hAnsi="Symbol"/>
        </w:rPr>
        <w:tab/>
      </w:r>
      <w:r>
        <w:rPr>
          <w:rFonts w:cs="Arial"/>
        </w:rPr>
        <w:t>the Department of Infrastructure and Regional Development</w:t>
      </w:r>
      <w:r w:rsidRPr="006C6997">
        <w:rPr>
          <w:rFonts w:cs="Arial"/>
        </w:rPr>
        <w:t>;</w:t>
      </w:r>
    </w:p>
    <w:p w:rsidR="00D50B61" w:rsidRDefault="00D50B61" w:rsidP="00D50B61">
      <w:pPr>
        <w:pStyle w:val="AnnualReportBullet"/>
        <w:tabs>
          <w:tab w:val="left" w:pos="360"/>
        </w:tabs>
        <w:ind w:left="360" w:hanging="360"/>
        <w:rPr>
          <w:rFonts w:cs="Arial"/>
        </w:rPr>
      </w:pPr>
      <w:r w:rsidRPr="006C6997">
        <w:rPr>
          <w:rFonts w:ascii="Symbol" w:hAnsi="Symbol"/>
        </w:rPr>
        <w:t></w:t>
      </w:r>
      <w:r w:rsidRPr="006C6997">
        <w:rPr>
          <w:rFonts w:ascii="Symbol" w:hAnsi="Symbol"/>
        </w:rPr>
        <w:tab/>
      </w:r>
      <w:r>
        <w:rPr>
          <w:rFonts w:cs="Arial"/>
        </w:rPr>
        <w:t>the Department of Finance;</w:t>
      </w:r>
    </w:p>
    <w:p w:rsidR="00D50B61" w:rsidRPr="006C6997" w:rsidRDefault="00D50B61" w:rsidP="00D50B61">
      <w:pPr>
        <w:pStyle w:val="AnnualReportBullet"/>
        <w:tabs>
          <w:tab w:val="left" w:pos="360"/>
        </w:tabs>
        <w:ind w:left="360" w:hanging="360"/>
        <w:rPr>
          <w:rFonts w:cs="Arial"/>
        </w:rPr>
      </w:pPr>
      <w:r w:rsidRPr="006C6997">
        <w:rPr>
          <w:rFonts w:ascii="Symbol" w:hAnsi="Symbol"/>
        </w:rPr>
        <w:t></w:t>
      </w:r>
      <w:r w:rsidRPr="006C6997">
        <w:rPr>
          <w:rFonts w:ascii="Symbol" w:hAnsi="Symbol"/>
        </w:rPr>
        <w:tab/>
      </w:r>
      <w:r>
        <w:rPr>
          <w:rFonts w:cs="Arial"/>
        </w:rPr>
        <w:t>the Department of the Prime Minister and Cabinet</w:t>
      </w:r>
      <w:r w:rsidRPr="006C6997">
        <w:rPr>
          <w:rFonts w:cs="Arial"/>
        </w:rPr>
        <w:t>;</w:t>
      </w:r>
      <w:r>
        <w:rPr>
          <w:rFonts w:cs="Arial"/>
        </w:rPr>
        <w:t xml:space="preserve"> and</w:t>
      </w:r>
    </w:p>
    <w:p w:rsidR="00D50B61" w:rsidRPr="006C6997" w:rsidRDefault="00D50B61" w:rsidP="00D50B61">
      <w:pPr>
        <w:pStyle w:val="AnnualReportBullet"/>
        <w:tabs>
          <w:tab w:val="left" w:pos="360"/>
        </w:tabs>
        <w:ind w:left="360" w:hanging="360"/>
        <w:rPr>
          <w:rFonts w:cs="Arial"/>
        </w:rPr>
      </w:pPr>
      <w:r w:rsidRPr="006C6997">
        <w:rPr>
          <w:rFonts w:ascii="Symbol" w:hAnsi="Symbol"/>
        </w:rPr>
        <w:t></w:t>
      </w:r>
      <w:r w:rsidRPr="006C6997">
        <w:rPr>
          <w:rFonts w:ascii="Symbol" w:hAnsi="Symbol"/>
        </w:rPr>
        <w:tab/>
      </w:r>
      <w:r w:rsidRPr="006C6997">
        <w:rPr>
          <w:rFonts w:cs="Arial"/>
        </w:rPr>
        <w:t>the Depa</w:t>
      </w:r>
      <w:r>
        <w:rPr>
          <w:rFonts w:cs="Arial"/>
        </w:rPr>
        <w:t>rtment of Veterans’ Affairs.</w:t>
      </w:r>
    </w:p>
    <w:p w:rsidR="00D50B61" w:rsidRPr="00F70655" w:rsidRDefault="00D50B61" w:rsidP="00D50B61">
      <w:pPr>
        <w:pStyle w:val="BodyNum"/>
      </w:pPr>
      <w:r>
        <w:t>OPC also sought to increase our services to agencies in the drafting of precedents to guide agencies in preparing instruments in 201</w:t>
      </w:r>
      <w:r w:rsidRPr="00F70655">
        <w:t>5-</w:t>
      </w:r>
      <w:r w:rsidR="00294E26">
        <w:t>20</w:t>
      </w:r>
      <w:r w:rsidRPr="00F70655">
        <w:t>16. This included preparing templates for Department of Agriculture and Water Resources, the Department of Defence</w:t>
      </w:r>
      <w:r>
        <w:t>,</w:t>
      </w:r>
      <w:r w:rsidRPr="00F70655">
        <w:t xml:space="preserve"> </w:t>
      </w:r>
      <w:r>
        <w:t xml:space="preserve">the Department of the Environment </w:t>
      </w:r>
      <w:r w:rsidRPr="00F70655">
        <w:t>and the Department of Health.</w:t>
      </w:r>
    </w:p>
    <w:p w:rsidR="00D50B61" w:rsidRDefault="00D50B61" w:rsidP="00D50B61">
      <w:pPr>
        <w:pStyle w:val="BodyNum"/>
      </w:pPr>
      <w:r>
        <w:t>OPC has also continued to provide advice concerning the drafting of legislative instruments through making OPC Client Advisers available to a number of agencies. In 2015-</w:t>
      </w:r>
      <w:r w:rsidR="00662267">
        <w:t>20</w:t>
      </w:r>
      <w:r>
        <w:t xml:space="preserve">16, OPC also provided further assistance to the Department of the Environment in the drafting of the </w:t>
      </w:r>
      <w:r>
        <w:rPr>
          <w:i/>
        </w:rPr>
        <w:t>List of Exempt Native Specimens Instrument 2001</w:t>
      </w:r>
      <w:r>
        <w:t xml:space="preserve"> and the Australian Accounting Standards Board in relation to accounting standards.</w:t>
      </w:r>
    </w:p>
    <w:p w:rsidR="00D50B61" w:rsidRDefault="00D50B61" w:rsidP="00D50B61">
      <w:pPr>
        <w:pStyle w:val="BodyNum"/>
      </w:pPr>
      <w:r>
        <w:t>To improve the readability and standard of non-self-governing Territory instruments and promote greater consistency in the drafting of these instruments across Territories, OPC also worked in consultation with the Department of Infrastructure and Regional Development to further develop drafting policy in relation to these instruments.</w:t>
      </w:r>
    </w:p>
    <w:p w:rsidR="00D50B61" w:rsidRPr="00F70655" w:rsidRDefault="00D50B61" w:rsidP="00D50B61">
      <w:pPr>
        <w:pStyle w:val="BodyNum"/>
      </w:pPr>
      <w:r>
        <w:t>In 2015-</w:t>
      </w:r>
      <w:r w:rsidR="0034379D">
        <w:t>20</w:t>
      </w:r>
      <w:r>
        <w:t xml:space="preserve">16, after excellent feedback on training programs provided to particular agencies in previous financial years, OPC developed a Drafting Simple Instruments Course. The course covers the essential requirements for drafting simple instruments and will be available to all Commonwealth agency staff who have previously attended </w:t>
      </w:r>
      <w:r w:rsidR="006E79E6">
        <w:t xml:space="preserve">a Legislation Process Course. It is </w:t>
      </w:r>
      <w:r>
        <w:t>envisage</w:t>
      </w:r>
      <w:r w:rsidR="006E79E6">
        <w:t>d</w:t>
      </w:r>
      <w:r>
        <w:t xml:space="preserve"> that this training will have a significant impact in encouraging </w:t>
      </w:r>
      <w:r w:rsidRPr="00C575CA">
        <w:rPr>
          <w:rStyle w:val="CharSubdText"/>
        </w:rPr>
        <w:t>high standards in the drafting of legislative</w:t>
      </w:r>
      <w:r>
        <w:rPr>
          <w:rStyle w:val="CharSubdText"/>
        </w:rPr>
        <w:t xml:space="preserve"> and notifiable</w:t>
      </w:r>
      <w:r w:rsidRPr="00C575CA">
        <w:rPr>
          <w:rStyle w:val="CharSubdText"/>
        </w:rPr>
        <w:t xml:space="preserve"> instruments</w:t>
      </w:r>
      <w:r>
        <w:rPr>
          <w:rStyle w:val="CharSubdText"/>
        </w:rPr>
        <w:t xml:space="preserve"> across the Commonwealth.</w:t>
      </w:r>
    </w:p>
    <w:p w:rsidR="00D50B61" w:rsidRDefault="0055279D" w:rsidP="00D50B61">
      <w:pPr>
        <w:pStyle w:val="BodyNum"/>
      </w:pPr>
      <w:r>
        <w:t xml:space="preserve">Finally, </w:t>
      </w:r>
      <w:r w:rsidR="00D50B61">
        <w:t>FPC also continued to assist in preventing the inappropriate use of gender-specific language in legislative instruments through guidance provided to agencies in the Instruments Handbook and monitoring of the use of gender-specific language through reporting by agencies at the time of registration.</w:t>
      </w:r>
    </w:p>
    <w:p w:rsidR="00D50B61" w:rsidRDefault="00D50B61" w:rsidP="00D50B61">
      <w:pPr>
        <w:pStyle w:val="BodyNum"/>
      </w:pPr>
      <w:r>
        <w:t>No inappropriate use of gender-specific language was identified in instruments that had already been made and therefore no notification was required under subsection 16(3) of the Legislation Act.</w:t>
      </w:r>
    </w:p>
    <w:p w:rsidR="00D50B61" w:rsidRPr="004321DD" w:rsidRDefault="00D50B61" w:rsidP="00D50B61">
      <w:pPr>
        <w:pStyle w:val="notedraft"/>
      </w:pPr>
    </w:p>
    <w:p w:rsidR="00D50B61" w:rsidRPr="0042777C" w:rsidRDefault="00D50B61" w:rsidP="00D50B61">
      <w:pPr>
        <w:pStyle w:val="BodyNum"/>
        <w:rPr>
          <w:rFonts w:eastAsiaTheme="minorHAnsi"/>
        </w:rPr>
        <w:sectPr w:rsidR="00D50B61" w:rsidRPr="0042777C">
          <w:headerReference w:type="default" r:id="rId41"/>
          <w:type w:val="continuous"/>
          <w:pgSz w:w="11907" w:h="16839" w:code="9"/>
          <w:pgMar w:top="1134" w:right="2410" w:bottom="4253" w:left="2410" w:header="510" w:footer="3402" w:gutter="0"/>
          <w:cols w:num="2" w:space="709"/>
          <w:docGrid w:linePitch="326"/>
        </w:sectPr>
      </w:pPr>
    </w:p>
    <w:p w:rsidR="008B7F83" w:rsidRDefault="008B7F83" w:rsidP="008B7F83">
      <w:pPr>
        <w:pStyle w:val="Head3"/>
      </w:pPr>
      <w:bookmarkStart w:id="59" w:name="_Toc463613736"/>
      <w:r>
        <w:t>Analysis of performance against Purpose 2: Publi</w:t>
      </w:r>
      <w:r w:rsidR="00AC6992">
        <w:t>cation</w:t>
      </w:r>
      <w:bookmarkEnd w:id="59"/>
    </w:p>
    <w:p w:rsidR="004A43A7" w:rsidRPr="004A43A7" w:rsidRDefault="004A43A7" w:rsidP="004A43A7">
      <w:pPr>
        <w:pStyle w:val="BodyNum"/>
        <w:numPr>
          <w:ilvl w:val="0"/>
          <w:numId w:val="0"/>
        </w:numPr>
        <w:sectPr w:rsidR="004A43A7" w:rsidRPr="004A43A7" w:rsidSect="008B7F83">
          <w:headerReference w:type="default" r:id="rId42"/>
          <w:type w:val="continuous"/>
          <w:pgSz w:w="11907" w:h="16839" w:code="9"/>
          <w:pgMar w:top="1134" w:right="2410" w:bottom="4253" w:left="2410" w:header="510" w:footer="3402" w:gutter="0"/>
          <w:cols w:space="709"/>
          <w:docGrid w:linePitch="326"/>
        </w:sectPr>
      </w:pPr>
    </w:p>
    <w:p w:rsidR="003F34A4" w:rsidRDefault="003F34A4" w:rsidP="003F34A4">
      <w:pPr>
        <w:pStyle w:val="Head4"/>
        <w:spacing w:before="0"/>
        <w:rPr>
          <w:rStyle w:val="CharSubdText"/>
        </w:rPr>
      </w:pPr>
      <w:r>
        <w:rPr>
          <w:rStyle w:val="CharSubdText"/>
        </w:rPr>
        <w:t>Overview</w:t>
      </w:r>
    </w:p>
    <w:p w:rsidR="003F34A4" w:rsidRDefault="003F34A4" w:rsidP="003F34A4">
      <w:pPr>
        <w:pStyle w:val="BodyNum"/>
      </w:pPr>
      <w:r>
        <w:t xml:space="preserve">OPC’s second purpose is </w:t>
      </w:r>
      <w:r w:rsidR="00011CD1">
        <w:t>“</w:t>
      </w:r>
      <w:r>
        <w:t>to ensure Commonwealth laws and instruments</w:t>
      </w:r>
      <w:r w:rsidR="00011CD1">
        <w:t xml:space="preserve"> are freely available and accessible to everyone by publishing those laws and instruments on the </w:t>
      </w:r>
      <w:r w:rsidR="005645B7" w:rsidRPr="00885363">
        <w:t>Federal Register of Legislation website</w:t>
      </w:r>
      <w:r w:rsidR="005645B7">
        <w:t>”</w:t>
      </w:r>
      <w:r w:rsidR="00011CD1">
        <w:t>.</w:t>
      </w:r>
    </w:p>
    <w:p w:rsidR="00B7009E" w:rsidRPr="00F26B37" w:rsidRDefault="00011CD1" w:rsidP="00011CD1">
      <w:pPr>
        <w:pStyle w:val="BodyNum"/>
      </w:pPr>
      <w:r>
        <w:t>The Publications group meets this purpose by:</w:t>
      </w:r>
    </w:p>
    <w:p w:rsidR="00B7009E" w:rsidRPr="00F26B37" w:rsidRDefault="00B7009E" w:rsidP="00B7009E">
      <w:pPr>
        <w:pStyle w:val="AnnualReportBullet"/>
        <w:ind w:left="360" w:hanging="360"/>
      </w:pPr>
      <w:r w:rsidRPr="00F26B37">
        <w:rPr>
          <w:rFonts w:ascii="Symbol" w:hAnsi="Symbol"/>
        </w:rPr>
        <w:t></w:t>
      </w:r>
      <w:r w:rsidRPr="00F26B37">
        <w:rPr>
          <w:rFonts w:ascii="Symbol" w:hAnsi="Symbol"/>
        </w:rPr>
        <w:tab/>
      </w:r>
      <w:r w:rsidRPr="00F26B37">
        <w:t>managing the</w:t>
      </w:r>
      <w:r w:rsidR="001401C1">
        <w:t xml:space="preserve"> </w:t>
      </w:r>
      <w:r w:rsidR="004E3E71">
        <w:t>Legislation</w:t>
      </w:r>
      <w:r w:rsidR="00594BD9">
        <w:t xml:space="preserve"> Register</w:t>
      </w:r>
      <w:r w:rsidRPr="00F26B37">
        <w:t>, including registering legislative instruments and lodging them for tabling in the Parliament;</w:t>
      </w:r>
    </w:p>
    <w:p w:rsidR="00B7009E" w:rsidRPr="00F26B37" w:rsidRDefault="00B7009E" w:rsidP="00B7009E">
      <w:pPr>
        <w:pStyle w:val="AnnualReportBullet"/>
        <w:ind w:left="360" w:hanging="360"/>
      </w:pPr>
      <w:r w:rsidRPr="00F26B37">
        <w:rPr>
          <w:rFonts w:ascii="Symbol" w:hAnsi="Symbol"/>
        </w:rPr>
        <w:t></w:t>
      </w:r>
      <w:r w:rsidRPr="00F26B37">
        <w:rPr>
          <w:rFonts w:ascii="Symbol" w:hAnsi="Symbol"/>
        </w:rPr>
        <w:tab/>
      </w:r>
      <w:r w:rsidRPr="00F26B37">
        <w:t>preparing compilations and reprints of, and information relating to, Commonwealth laws;</w:t>
      </w:r>
    </w:p>
    <w:p w:rsidR="00B7009E" w:rsidRPr="00F26B37" w:rsidRDefault="00B7009E" w:rsidP="00B7009E">
      <w:pPr>
        <w:pStyle w:val="AnnualReportBullet"/>
        <w:ind w:left="360" w:hanging="360"/>
      </w:pPr>
      <w:r w:rsidRPr="00F26B37">
        <w:rPr>
          <w:rFonts w:ascii="Symbol" w:hAnsi="Symbol"/>
        </w:rPr>
        <w:t></w:t>
      </w:r>
      <w:r w:rsidRPr="00F26B37">
        <w:rPr>
          <w:rFonts w:ascii="Symbol" w:hAnsi="Symbol"/>
        </w:rPr>
        <w:tab/>
      </w:r>
      <w:r w:rsidRPr="00F26B37">
        <w:t>publishing Commonwealth legislation and legislative information;</w:t>
      </w:r>
    </w:p>
    <w:p w:rsidR="00B7009E" w:rsidRPr="007D538F" w:rsidRDefault="00B7009E" w:rsidP="00B7009E">
      <w:pPr>
        <w:pStyle w:val="AnnualReportBullet"/>
        <w:ind w:left="360" w:hanging="360"/>
      </w:pPr>
      <w:r w:rsidRPr="00F26B37">
        <w:rPr>
          <w:rFonts w:ascii="Symbol" w:hAnsi="Symbol"/>
        </w:rPr>
        <w:t></w:t>
      </w:r>
      <w:r w:rsidRPr="00F26B37">
        <w:rPr>
          <w:rFonts w:ascii="Symbol" w:hAnsi="Symbol"/>
        </w:rPr>
        <w:tab/>
      </w:r>
      <w:r w:rsidRPr="00F26B37">
        <w:t>publishing the Government Notices Gazette;</w:t>
      </w:r>
    </w:p>
    <w:p w:rsidR="00B7009E" w:rsidRPr="00F26B37" w:rsidRDefault="00B7009E" w:rsidP="00B7009E">
      <w:pPr>
        <w:pStyle w:val="AnnualReportBullet"/>
        <w:ind w:left="360" w:hanging="360"/>
      </w:pPr>
      <w:r w:rsidRPr="00F26B37">
        <w:t xml:space="preserve"> </w:t>
      </w:r>
      <w:r w:rsidRPr="007D538F">
        <w:rPr>
          <w:rFonts w:ascii="Symbol" w:hAnsi="Symbol"/>
        </w:rPr>
        <w:t></w:t>
      </w:r>
      <w:r w:rsidRPr="007D538F">
        <w:rPr>
          <w:rFonts w:ascii="Symbol" w:hAnsi="Symbol"/>
        </w:rPr>
        <w:tab/>
      </w:r>
      <w:r w:rsidRPr="00F26B37">
        <w:t>proo</w:t>
      </w:r>
      <w:r w:rsidRPr="007D538F">
        <w:t>freading and editorial checking of OPC drafted legislation</w:t>
      </w:r>
      <w:r>
        <w:t xml:space="preserve">; </w:t>
      </w:r>
      <w:r w:rsidRPr="00F26B37">
        <w:t>and</w:t>
      </w:r>
    </w:p>
    <w:p w:rsidR="00B7009E" w:rsidRPr="00F26B37" w:rsidRDefault="00B7009E" w:rsidP="00B7009E">
      <w:pPr>
        <w:pStyle w:val="AnnualReportBullet"/>
        <w:ind w:left="360" w:hanging="360"/>
      </w:pPr>
      <w:r w:rsidRPr="00F26B37">
        <w:rPr>
          <w:rFonts w:ascii="Symbol" w:hAnsi="Symbol"/>
        </w:rPr>
        <w:t></w:t>
      </w:r>
      <w:r w:rsidRPr="00F26B37">
        <w:rPr>
          <w:rFonts w:ascii="Symbol" w:hAnsi="Symbol"/>
        </w:rPr>
        <w:tab/>
      </w:r>
      <w:r w:rsidRPr="00F26B37">
        <w:t xml:space="preserve">developing and operating the whole-of-government </w:t>
      </w:r>
      <w:r w:rsidR="00594BD9">
        <w:t>Legislation Register</w:t>
      </w:r>
      <w:r w:rsidRPr="00F26B37">
        <w:t xml:space="preserve"> website (www.legislation.gov.au).</w:t>
      </w:r>
    </w:p>
    <w:p w:rsidR="00011CD1" w:rsidRDefault="00011CD1" w:rsidP="00B7009E">
      <w:pPr>
        <w:pStyle w:val="BodyNum"/>
      </w:pPr>
      <w:r>
        <w:t xml:space="preserve">OPC has met </w:t>
      </w:r>
      <w:r w:rsidR="00F83050">
        <w:t>all but one performance target</w:t>
      </w:r>
      <w:r>
        <w:t xml:space="preserve"> for this purpose in the 2015-2016 year.</w:t>
      </w:r>
    </w:p>
    <w:p w:rsidR="00011CD1" w:rsidRDefault="00592670" w:rsidP="00B7009E">
      <w:pPr>
        <w:pStyle w:val="BodyNum"/>
      </w:pPr>
      <w:r>
        <w:t>100% of</w:t>
      </w:r>
      <w:r w:rsidR="00011CD1">
        <w:t xml:space="preserve"> new legislative instruments and gazette notices were registered </w:t>
      </w:r>
      <w:r>
        <w:t>promptly, and within timeframes set by client agencies, in accordance with statutory requirements.</w:t>
      </w:r>
    </w:p>
    <w:p w:rsidR="00592670" w:rsidRDefault="00592670" w:rsidP="00B7009E">
      <w:pPr>
        <w:pStyle w:val="BodyNum"/>
      </w:pPr>
      <w:r>
        <w:t>This met the performance target for legislative instruments and gazette notices that were to be registered on a specific date as required by lodging entities, and exceeded the target of 98% for other legislative instrument and gazette notices that were to be registered no later than 2 business days after lodgement.</w:t>
      </w:r>
    </w:p>
    <w:p w:rsidR="00592670" w:rsidRDefault="00FB3E00" w:rsidP="00B7009E">
      <w:pPr>
        <w:pStyle w:val="BodyNum"/>
      </w:pPr>
      <w:r>
        <w:t xml:space="preserve">100% of Acts were published on the </w:t>
      </w:r>
      <w:r w:rsidR="001401C1">
        <w:t xml:space="preserve">Legislation Register </w:t>
      </w:r>
      <w:r>
        <w:t>no later than 2 working days after receipt of notification of Royal Assent exceeding the performance target of 98%.</w:t>
      </w:r>
    </w:p>
    <w:p w:rsidR="00FB3E00" w:rsidRDefault="00FB3E00" w:rsidP="00B7009E">
      <w:pPr>
        <w:pStyle w:val="BodyNum"/>
      </w:pPr>
      <w:r>
        <w:t xml:space="preserve">Act compilations were accurate and generally published promptly on the </w:t>
      </w:r>
      <w:r w:rsidR="00594BD9">
        <w:t>Legislation Register</w:t>
      </w:r>
      <w:r>
        <w:t xml:space="preserve"> in accordance with statutory requirements.</w:t>
      </w:r>
    </w:p>
    <w:p w:rsidR="00FB3E00" w:rsidRDefault="00FB3E00" w:rsidP="00B7009E">
      <w:pPr>
        <w:pStyle w:val="BodyNum"/>
      </w:pPr>
      <w:r>
        <w:t xml:space="preserve">82% of Act and legislative instrument compilations required to be prepared by OPC were registered on the </w:t>
      </w:r>
      <w:r w:rsidR="00594BD9">
        <w:t>Legislation Register</w:t>
      </w:r>
      <w:r>
        <w:t xml:space="preserve"> by the later of 90 days after Royal Assent or making date, or 28 days after commencement of the prospective amendments. This was lower than the performance target of 100%.</w:t>
      </w:r>
    </w:p>
    <w:p w:rsidR="00FB3E00" w:rsidRDefault="00E75961" w:rsidP="00E75961">
      <w:pPr>
        <w:pStyle w:val="BodyNum"/>
      </w:pPr>
      <w:r>
        <w:t>Analysis shows there was a significant increase in the number of Act and legislative instrument compilation pages published this year</w:t>
      </w:r>
      <w:r w:rsidR="00FB3E00">
        <w:t>.</w:t>
      </w:r>
      <w:r>
        <w:t xml:space="preserve"> In total there were </w:t>
      </w:r>
      <w:r w:rsidRPr="00E75961">
        <w:t>527</w:t>
      </w:r>
      <w:r>
        <w:t>,</w:t>
      </w:r>
      <w:r w:rsidRPr="00E75961">
        <w:t>190</w:t>
      </w:r>
      <w:r>
        <w:t xml:space="preserve"> pages published in 2015-</w:t>
      </w:r>
      <w:r w:rsidR="006576F4">
        <w:t>20</w:t>
      </w:r>
      <w:r>
        <w:t>16. This was an increase from 2014-</w:t>
      </w:r>
      <w:r w:rsidR="006576F4">
        <w:t>20</w:t>
      </w:r>
      <w:r>
        <w:t>15 when a total of 429,474 pages were published.</w:t>
      </w:r>
    </w:p>
    <w:p w:rsidR="006576F4" w:rsidRDefault="00FB3E00" w:rsidP="000431EF">
      <w:pPr>
        <w:pStyle w:val="BodyNum"/>
      </w:pPr>
      <w:r>
        <w:t xml:space="preserve">Publications is working on </w:t>
      </w:r>
      <w:r w:rsidR="00E75961">
        <w:t xml:space="preserve">mitigating </w:t>
      </w:r>
      <w:r>
        <w:t xml:space="preserve">strategies to better manage </w:t>
      </w:r>
      <w:r w:rsidR="00E75961">
        <w:t xml:space="preserve">larger than expected volumes and </w:t>
      </w:r>
      <w:r>
        <w:t>peak times where large numbers of amen</w:t>
      </w:r>
      <w:r w:rsidR="00E75961">
        <w:t>dments commence on the same day</w:t>
      </w:r>
      <w:r>
        <w:t xml:space="preserve">. As a result, a revised performance indicator has been </w:t>
      </w:r>
      <w:r w:rsidR="00662267">
        <w:t>set</w:t>
      </w:r>
      <w:r w:rsidR="004F69FC">
        <w:t xml:space="preserve"> for 2016-2017.</w:t>
      </w:r>
    </w:p>
    <w:p w:rsidR="00CC45CF" w:rsidRPr="00C575CA" w:rsidRDefault="00CC45CF" w:rsidP="00CC45CF">
      <w:pPr>
        <w:pStyle w:val="Head4"/>
        <w:rPr>
          <w:rStyle w:val="CharSubdText"/>
        </w:rPr>
      </w:pPr>
      <w:r>
        <w:rPr>
          <w:rStyle w:val="CharSubdText"/>
        </w:rPr>
        <w:t>Staffing</w:t>
      </w:r>
    </w:p>
    <w:p w:rsidR="00B7009E" w:rsidRPr="00CC45CF" w:rsidRDefault="00B7009E" w:rsidP="00CC45CF">
      <w:pPr>
        <w:pStyle w:val="BodyNum"/>
      </w:pPr>
      <w:r w:rsidRPr="00CC45CF">
        <w:t xml:space="preserve">Staff have continued to be trained in all the areas of responsibilities within the </w:t>
      </w:r>
      <w:r w:rsidR="00F83050" w:rsidRPr="00CC45CF">
        <w:t>Publications g</w:t>
      </w:r>
      <w:r w:rsidRPr="00CC45CF">
        <w:t>roup to allow resources to be better utilised</w:t>
      </w:r>
      <w:r w:rsidRPr="004764FC">
        <w:t xml:space="preserve"> </w:t>
      </w:r>
      <w:r w:rsidRPr="00CC45CF">
        <w:t>and directed during peak periods.</w:t>
      </w:r>
    </w:p>
    <w:p w:rsidR="00B7009E" w:rsidRDefault="00B7009E" w:rsidP="00B7009E">
      <w:pPr>
        <w:pStyle w:val="BodyNum"/>
      </w:pPr>
      <w:r w:rsidRPr="007D538F">
        <w:t xml:space="preserve">Editorial staff and functions previously located in </w:t>
      </w:r>
      <w:r>
        <w:t>Corporate Services</w:t>
      </w:r>
      <w:r w:rsidRPr="007D538F">
        <w:t xml:space="preserve"> have been </w:t>
      </w:r>
      <w:r>
        <w:t xml:space="preserve">moved </w:t>
      </w:r>
      <w:r w:rsidRPr="007D538F">
        <w:t>to the Publications group.</w:t>
      </w:r>
      <w:r w:rsidR="00F83050">
        <w:t xml:space="preserve"> Editorial and P</w:t>
      </w:r>
      <w:r>
        <w:t>ublications staff have a similar skill and knowledge set. Being part of the same group has provided better opportunities for staff development and more flexibility for staff resourcing across all functions of the group.</w:t>
      </w:r>
    </w:p>
    <w:p w:rsidR="004A6790" w:rsidRPr="00C575CA" w:rsidRDefault="004A6790" w:rsidP="004A6790">
      <w:pPr>
        <w:pStyle w:val="Head4"/>
        <w:rPr>
          <w:rStyle w:val="CharSubdText"/>
        </w:rPr>
      </w:pPr>
      <w:r>
        <w:rPr>
          <w:rStyle w:val="CharSubdText"/>
        </w:rPr>
        <w:t>The Legislation Act and Legislation Register</w:t>
      </w:r>
    </w:p>
    <w:p w:rsidR="00B7009E" w:rsidRPr="00D41D88" w:rsidRDefault="00B7009E" w:rsidP="00B7009E">
      <w:pPr>
        <w:pStyle w:val="BodyNum"/>
      </w:pPr>
      <w:r w:rsidRPr="00D41D88">
        <w:t xml:space="preserve">In July 2014, OPC introduced a new annual fee model for standard </w:t>
      </w:r>
      <w:r w:rsidR="00594BD9">
        <w:t>Legislation Register</w:t>
      </w:r>
      <w:r w:rsidRPr="00D41D88">
        <w:t xml:space="preserve"> services to assist clients. </w:t>
      </w:r>
      <w:r w:rsidRPr="007D538F">
        <w:t xml:space="preserve">Fees for some agencies have substantially declined over the last </w:t>
      </w:r>
      <w:r w:rsidR="0065385A">
        <w:t>2</w:t>
      </w:r>
      <w:r w:rsidRPr="007D538F">
        <w:t xml:space="preserve"> years as they change their registration practices. The </w:t>
      </w:r>
      <w:r w:rsidR="00594BD9">
        <w:t>Legislation Register</w:t>
      </w:r>
      <w:r w:rsidRPr="00D41D88">
        <w:t xml:space="preserve"> fees continue to be consistent with the Australian Government Cost Recovery Guidelines and attribute costs that recognise the whole-of-life cost (including IT infrastructure costs) in publishing legislati</w:t>
      </w:r>
      <w:r w:rsidRPr="007D538F">
        <w:t>on</w:t>
      </w:r>
      <w:r w:rsidRPr="00D41D88">
        <w:t>.</w:t>
      </w:r>
    </w:p>
    <w:p w:rsidR="00B7009E" w:rsidRPr="00860BE0" w:rsidRDefault="00B7009E" w:rsidP="00B7009E">
      <w:pPr>
        <w:pStyle w:val="BodyNum"/>
      </w:pPr>
      <w:r w:rsidRPr="00860BE0">
        <w:t xml:space="preserve">The demand for current versions of legislation continues to be met by free online public access provided by </w:t>
      </w:r>
      <w:r w:rsidR="00594BD9">
        <w:t>the Legislation Register</w:t>
      </w:r>
      <w:r w:rsidRPr="00860BE0">
        <w:t xml:space="preserve">. </w:t>
      </w:r>
      <w:r w:rsidRPr="007D538F">
        <w:t>Commercially p</w:t>
      </w:r>
      <w:r w:rsidRPr="00E4548F">
        <w:t xml:space="preserve">rinted </w:t>
      </w:r>
      <w:r w:rsidRPr="007D538F">
        <w:t xml:space="preserve">copies of </w:t>
      </w:r>
      <w:r w:rsidRPr="00E4548F">
        <w:t>version</w:t>
      </w:r>
      <w:r w:rsidRPr="007D538F">
        <w:t>s,</w:t>
      </w:r>
      <w:r w:rsidRPr="00E4548F">
        <w:t xml:space="preserve"> </w:t>
      </w:r>
      <w:r w:rsidRPr="00860BE0">
        <w:t>if</w:t>
      </w:r>
      <w:r w:rsidRPr="00E4548F">
        <w:t xml:space="preserve"> </w:t>
      </w:r>
      <w:r w:rsidRPr="00860BE0">
        <w:t xml:space="preserve">required, </w:t>
      </w:r>
      <w:r w:rsidRPr="007D538F">
        <w:t>can be ordered online using</w:t>
      </w:r>
      <w:r w:rsidRPr="00E4548F">
        <w:t xml:space="preserve"> the</w:t>
      </w:r>
      <w:r w:rsidRPr="00860BE0">
        <w:t xml:space="preserve"> print-on-demand function on </w:t>
      </w:r>
      <w:r w:rsidRPr="007D538F">
        <w:t xml:space="preserve">the </w:t>
      </w:r>
      <w:r w:rsidR="00594BD9">
        <w:t>Legislation Register</w:t>
      </w:r>
      <w:r w:rsidRPr="00860BE0">
        <w:t xml:space="preserve">. </w:t>
      </w:r>
    </w:p>
    <w:p w:rsidR="00B7009E" w:rsidRDefault="00B7009E" w:rsidP="00B7009E">
      <w:pPr>
        <w:pStyle w:val="BodyNum"/>
      </w:pPr>
      <w:r w:rsidRPr="007D538F">
        <w:t xml:space="preserve">The </w:t>
      </w:r>
      <w:r w:rsidRPr="00E4548F">
        <w:t>Select Legislative Instrument (</w:t>
      </w:r>
      <w:r w:rsidRPr="003F0368">
        <w:rPr>
          <w:b/>
          <w:i/>
        </w:rPr>
        <w:t>SLI</w:t>
      </w:r>
      <w:r w:rsidRPr="00E4548F">
        <w:t>)</w:t>
      </w:r>
      <w:r w:rsidRPr="007D538F">
        <w:t xml:space="preserve"> numbering series </w:t>
      </w:r>
      <w:r w:rsidRPr="00E4548F">
        <w:t>w</w:t>
      </w:r>
      <w:r w:rsidRPr="00860BE0">
        <w:t>as discontinued</w:t>
      </w:r>
      <w:r w:rsidRPr="007D538F">
        <w:t xml:space="preserve"> on 1 January 2016</w:t>
      </w:r>
      <w:r w:rsidRPr="00E4548F">
        <w:t>. H</w:t>
      </w:r>
      <w:r w:rsidRPr="007D538F">
        <w:t xml:space="preserve">istoric </w:t>
      </w:r>
      <w:r w:rsidRPr="00E4548F">
        <w:t xml:space="preserve">SLIs are </w:t>
      </w:r>
      <w:r w:rsidRPr="007D538F">
        <w:t>still</w:t>
      </w:r>
      <w:r w:rsidRPr="00E4548F">
        <w:t xml:space="preserve"> </w:t>
      </w:r>
      <w:r w:rsidRPr="00860BE0">
        <w:t xml:space="preserve">available on </w:t>
      </w:r>
      <w:r w:rsidR="003F0368">
        <w:t xml:space="preserve">the </w:t>
      </w:r>
      <w:r w:rsidR="00594BD9">
        <w:t>Legislation Register</w:t>
      </w:r>
      <w:r w:rsidRPr="00860BE0">
        <w:t xml:space="preserve"> </w:t>
      </w:r>
      <w:r w:rsidRPr="007D538F">
        <w:t>for reference.</w:t>
      </w:r>
    </w:p>
    <w:p w:rsidR="00B7009E" w:rsidRPr="007D538F" w:rsidRDefault="00B7009E" w:rsidP="00B7009E">
      <w:pPr>
        <w:pStyle w:val="BodyNum"/>
      </w:pPr>
      <w:r w:rsidRPr="007D538F">
        <w:t xml:space="preserve">The </w:t>
      </w:r>
      <w:r w:rsidRPr="007D538F">
        <w:rPr>
          <w:i/>
        </w:rPr>
        <w:t xml:space="preserve">Acts and Instruments (Framework Reform) Act 2015 </w:t>
      </w:r>
      <w:r w:rsidRPr="007D538F">
        <w:t xml:space="preserve">made substantial amendments to the </w:t>
      </w:r>
      <w:r w:rsidRPr="007D538F">
        <w:rPr>
          <w:i/>
        </w:rPr>
        <w:t xml:space="preserve">Legislative </w:t>
      </w:r>
      <w:r w:rsidR="003F0368">
        <w:rPr>
          <w:i/>
        </w:rPr>
        <w:t>I</w:t>
      </w:r>
      <w:r w:rsidRPr="007D538F">
        <w:rPr>
          <w:i/>
        </w:rPr>
        <w:t>nstruments Act 2003</w:t>
      </w:r>
      <w:r w:rsidRPr="007D538F">
        <w:t xml:space="preserve"> (</w:t>
      </w:r>
      <w:r w:rsidRPr="003F0368">
        <w:rPr>
          <w:b/>
          <w:i/>
        </w:rPr>
        <w:t>LIA</w:t>
      </w:r>
      <w:r w:rsidRPr="007D538F">
        <w:t>) on 5 March 2</w:t>
      </w:r>
      <w:r w:rsidR="0065385A">
        <w:t>0</w:t>
      </w:r>
      <w:r w:rsidRPr="007D538F">
        <w:t xml:space="preserve">16 to provide a single framework covering registration, publishing and management of all Commonwealth Acts and instruments. It repealed the </w:t>
      </w:r>
      <w:r w:rsidRPr="007D538F">
        <w:rPr>
          <w:i/>
          <w:iCs/>
        </w:rPr>
        <w:t>Acts Publication Act 1905</w:t>
      </w:r>
      <w:r w:rsidRPr="007D538F">
        <w:t xml:space="preserve"> and incorporated the requirement for publishing Commonwealth Acts into the</w:t>
      </w:r>
      <w:r w:rsidR="0065385A">
        <w:t xml:space="preserve"> LIA</w:t>
      </w:r>
      <w:r w:rsidRPr="007D538F">
        <w:t>.</w:t>
      </w:r>
    </w:p>
    <w:p w:rsidR="00B7009E" w:rsidRPr="007D538F" w:rsidRDefault="00B7009E" w:rsidP="00B7009E">
      <w:pPr>
        <w:pStyle w:val="BodyNum"/>
      </w:pPr>
      <w:r w:rsidRPr="007D538F">
        <w:t>Key changes were:</w:t>
      </w:r>
    </w:p>
    <w:p w:rsidR="00B7009E" w:rsidRPr="007D538F" w:rsidRDefault="00B7009E" w:rsidP="00B7009E">
      <w:pPr>
        <w:pStyle w:val="AnnualReportBullet"/>
        <w:ind w:left="360" w:hanging="360"/>
      </w:pPr>
      <w:r w:rsidRPr="007D538F">
        <w:rPr>
          <w:rFonts w:ascii="Symbol" w:hAnsi="Symbol"/>
        </w:rPr>
        <w:t></w:t>
      </w:r>
      <w:r w:rsidRPr="007D538F">
        <w:rPr>
          <w:rFonts w:ascii="Symbol" w:hAnsi="Symbol"/>
        </w:rPr>
        <w:tab/>
      </w:r>
      <w:r w:rsidRPr="007D538F">
        <w:t xml:space="preserve">the LIA was renamed </w:t>
      </w:r>
      <w:r w:rsidR="00A06CB9">
        <w:t xml:space="preserve">to </w:t>
      </w:r>
      <w:r w:rsidRPr="007D538F">
        <w:t>the</w:t>
      </w:r>
      <w:r w:rsidR="0065385A">
        <w:t xml:space="preserve"> </w:t>
      </w:r>
      <w:r w:rsidRPr="007D538F">
        <w:rPr>
          <w:i/>
          <w:iCs/>
        </w:rPr>
        <w:t>Legislation Act 2003</w:t>
      </w:r>
      <w:r w:rsidR="002C5148">
        <w:t>.</w:t>
      </w:r>
    </w:p>
    <w:p w:rsidR="00B7009E" w:rsidRPr="007D538F" w:rsidRDefault="00B7009E" w:rsidP="00B7009E">
      <w:pPr>
        <w:pStyle w:val="AnnualReportBullet"/>
        <w:ind w:left="360" w:hanging="360"/>
      </w:pPr>
      <w:r w:rsidRPr="007D538F">
        <w:rPr>
          <w:rFonts w:ascii="Symbol" w:hAnsi="Symbol"/>
        </w:rPr>
        <w:t></w:t>
      </w:r>
      <w:r w:rsidRPr="007D538F">
        <w:rPr>
          <w:rFonts w:ascii="Symbol" w:hAnsi="Symbol"/>
        </w:rPr>
        <w:tab/>
      </w:r>
      <w:r w:rsidRPr="007D538F">
        <w:t xml:space="preserve">the Federal Register of Legislative Instruments and the Acts database established under the </w:t>
      </w:r>
      <w:r w:rsidRPr="007D538F">
        <w:rPr>
          <w:i/>
          <w:iCs/>
        </w:rPr>
        <w:t>Acts Publication Act 1905</w:t>
      </w:r>
      <w:r w:rsidRPr="007D538F">
        <w:t xml:space="preserve"> (accessible via ComLaw) was replaced with the</w:t>
      </w:r>
      <w:r w:rsidR="003F0368">
        <w:t xml:space="preserve"> </w:t>
      </w:r>
      <w:r w:rsidR="00594BD9">
        <w:t>Legislation Register</w:t>
      </w:r>
      <w:r w:rsidR="002C5148">
        <w:t xml:space="preserve"> website.</w:t>
      </w:r>
    </w:p>
    <w:p w:rsidR="00B7009E" w:rsidRPr="007D538F" w:rsidRDefault="00B7009E" w:rsidP="00B7009E">
      <w:pPr>
        <w:pStyle w:val="AnnualReportBullet"/>
        <w:ind w:left="360" w:hanging="360"/>
      </w:pPr>
      <w:r w:rsidRPr="007D538F">
        <w:rPr>
          <w:rFonts w:ascii="Symbol" w:hAnsi="Symbol"/>
        </w:rPr>
        <w:t></w:t>
      </w:r>
      <w:r w:rsidRPr="007D538F">
        <w:rPr>
          <w:rFonts w:ascii="Symbol" w:hAnsi="Symbol"/>
        </w:rPr>
        <w:tab/>
      </w:r>
      <w:r w:rsidRPr="007D538F">
        <w:t>a new instrument type</w:t>
      </w:r>
      <w:r>
        <w:t>, the notifiable instrument, w</w:t>
      </w:r>
      <w:r w:rsidRPr="007D538F">
        <w:t>as created</w:t>
      </w:r>
      <w:r>
        <w:t>. This category of instrument will</w:t>
      </w:r>
      <w:r w:rsidRPr="007D538F">
        <w:t xml:space="preserve"> include instruments that are not of a legislative character, but for which public accessibility and centralis</w:t>
      </w:r>
      <w:r w:rsidR="002C5148">
        <w:t>ed management remains desirable.</w:t>
      </w:r>
    </w:p>
    <w:p w:rsidR="00B7009E" w:rsidRPr="007D538F" w:rsidRDefault="00B7009E" w:rsidP="00B7009E">
      <w:pPr>
        <w:spacing w:before="60" w:line="300" w:lineRule="exact"/>
        <w:ind w:left="360" w:hanging="360"/>
        <w:rPr>
          <w:rFonts w:ascii="Arial" w:hAnsi="Arial"/>
          <w:sz w:val="20"/>
        </w:rPr>
      </w:pPr>
      <w:r w:rsidRPr="007D538F">
        <w:rPr>
          <w:rFonts w:ascii="Symbol" w:hAnsi="Symbol"/>
          <w:sz w:val="20"/>
        </w:rPr>
        <w:t></w:t>
      </w:r>
      <w:r w:rsidRPr="007D538F">
        <w:rPr>
          <w:rFonts w:ascii="Symbol" w:hAnsi="Symbol"/>
          <w:sz w:val="20"/>
        </w:rPr>
        <w:tab/>
      </w:r>
      <w:r w:rsidRPr="007D538F">
        <w:rPr>
          <w:rFonts w:ascii="Arial" w:hAnsi="Arial"/>
          <w:sz w:val="20"/>
        </w:rPr>
        <w:t>exemptions provided by the LIA and</w:t>
      </w:r>
      <w:r w:rsidR="0065385A">
        <w:rPr>
          <w:rFonts w:ascii="Arial" w:hAnsi="Arial"/>
          <w:sz w:val="20"/>
        </w:rPr>
        <w:t xml:space="preserve"> the</w:t>
      </w:r>
      <w:r w:rsidRPr="007D538F">
        <w:rPr>
          <w:rFonts w:ascii="Arial" w:hAnsi="Arial"/>
          <w:sz w:val="20"/>
        </w:rPr>
        <w:t xml:space="preserve"> </w:t>
      </w:r>
      <w:r w:rsidRPr="007D538F">
        <w:rPr>
          <w:rFonts w:ascii="Arial" w:hAnsi="Arial"/>
          <w:i/>
          <w:sz w:val="20"/>
        </w:rPr>
        <w:t>Legislative Instruments Regulation 2004</w:t>
      </w:r>
      <w:r w:rsidRPr="007D538F">
        <w:rPr>
          <w:rFonts w:ascii="Arial" w:hAnsi="Arial"/>
          <w:sz w:val="20"/>
        </w:rPr>
        <w:t xml:space="preserve"> were consolidated into the</w:t>
      </w:r>
      <w:r w:rsidRPr="007D538F">
        <w:rPr>
          <w:rFonts w:ascii="Arial" w:hAnsi="Arial"/>
          <w:i/>
          <w:iCs/>
          <w:sz w:val="20"/>
        </w:rPr>
        <w:t xml:space="preserve"> </w:t>
      </w:r>
      <w:r w:rsidRPr="007D538F">
        <w:rPr>
          <w:rFonts w:ascii="Arial" w:hAnsi="Arial"/>
          <w:i/>
          <w:sz w:val="20"/>
        </w:rPr>
        <w:t>Legislation (Exemptions and Other Matters) Regulation 2015</w:t>
      </w:r>
      <w:r w:rsidRPr="007D538F">
        <w:rPr>
          <w:rFonts w:ascii="Arial" w:hAnsi="Arial"/>
          <w:sz w:val="20"/>
        </w:rPr>
        <w:t xml:space="preserve"> and the</w:t>
      </w:r>
      <w:r w:rsidRPr="007D538F">
        <w:rPr>
          <w:rFonts w:ascii="Arial" w:hAnsi="Arial"/>
          <w:i/>
          <w:iCs/>
          <w:sz w:val="20"/>
        </w:rPr>
        <w:t xml:space="preserve"> </w:t>
      </w:r>
      <w:r w:rsidRPr="007D538F">
        <w:rPr>
          <w:rFonts w:ascii="Arial" w:hAnsi="Arial"/>
          <w:i/>
          <w:sz w:val="20"/>
        </w:rPr>
        <w:t>Legislation (General) Regulation 2015</w:t>
      </w:r>
      <w:r w:rsidR="002C5148">
        <w:rPr>
          <w:rFonts w:ascii="Arial" w:hAnsi="Arial"/>
          <w:sz w:val="20"/>
        </w:rPr>
        <w:t>.</w:t>
      </w:r>
    </w:p>
    <w:p w:rsidR="00B7009E" w:rsidRPr="00A06CB9" w:rsidRDefault="002C5148" w:rsidP="00A06CB9">
      <w:pPr>
        <w:pStyle w:val="ListParagraph"/>
        <w:numPr>
          <w:ilvl w:val="0"/>
          <w:numId w:val="42"/>
        </w:numPr>
        <w:spacing w:before="60" w:line="300" w:lineRule="exact"/>
        <w:rPr>
          <w:rFonts w:ascii="Arial" w:hAnsi="Arial"/>
          <w:sz w:val="20"/>
        </w:rPr>
      </w:pPr>
      <w:r>
        <w:rPr>
          <w:rFonts w:ascii="Arial" w:hAnsi="Arial"/>
          <w:sz w:val="20"/>
        </w:rPr>
        <w:t>s</w:t>
      </w:r>
      <w:r w:rsidR="00B7009E" w:rsidRPr="007D538F">
        <w:rPr>
          <w:rFonts w:ascii="Arial" w:hAnsi="Arial"/>
          <w:sz w:val="20"/>
        </w:rPr>
        <w:t>unsetting exemptions data for all instruments was reviewed and in many cases updated as needed to reflect t</w:t>
      </w:r>
      <w:r w:rsidR="00A06CB9">
        <w:rPr>
          <w:rFonts w:ascii="Arial" w:hAnsi="Arial"/>
          <w:sz w:val="20"/>
        </w:rPr>
        <w:t>he new location of exemption.</w:t>
      </w:r>
    </w:p>
    <w:p w:rsidR="00A06CB9" w:rsidRDefault="00A06CB9" w:rsidP="00B7009E">
      <w:pPr>
        <w:pStyle w:val="BodyNum"/>
      </w:pPr>
      <w:r>
        <w:t xml:space="preserve">System development and enhancements were completed to integrate the ComLaw website into the </w:t>
      </w:r>
      <w:r w:rsidR="00594BD9">
        <w:t>Legislation Register</w:t>
      </w:r>
      <w:r>
        <w:t xml:space="preserve"> system to meet new requirements as a result of amendments to the </w:t>
      </w:r>
      <w:r w:rsidRPr="00F83050">
        <w:t>Legislation Act</w:t>
      </w:r>
      <w:r>
        <w:t>.</w:t>
      </w:r>
    </w:p>
    <w:p w:rsidR="004F69FC" w:rsidRDefault="00B7009E" w:rsidP="004F69FC">
      <w:pPr>
        <w:pStyle w:val="BodyNum"/>
      </w:pPr>
      <w:r w:rsidRPr="007D538F">
        <w:t xml:space="preserve">The new </w:t>
      </w:r>
      <w:r w:rsidR="00594BD9">
        <w:t>Legislation Register</w:t>
      </w:r>
      <w:r w:rsidRPr="007D538F">
        <w:t xml:space="preserve"> incorporates all the material and essential functionality of the old </w:t>
      </w:r>
      <w:r w:rsidR="0065385A">
        <w:t xml:space="preserve">ComLaw website but was given a </w:t>
      </w:r>
      <w:r w:rsidRPr="007D538F">
        <w:t>more modern look and feel. Key improvements have been made to how material is viewed</w:t>
      </w:r>
      <w:r w:rsidR="0065385A">
        <w:t xml:space="preserve">, as well as the </w:t>
      </w:r>
      <w:r w:rsidRPr="007D538F">
        <w:t xml:space="preserve">accessibility of key information, </w:t>
      </w:r>
      <w:r w:rsidR="004F69FC">
        <w:t>help material and menus.</w:t>
      </w:r>
    </w:p>
    <w:p w:rsidR="00B7009E" w:rsidRDefault="00B7009E" w:rsidP="004F69FC">
      <w:pPr>
        <w:pStyle w:val="BodyNum"/>
      </w:pPr>
      <w:r>
        <w:t xml:space="preserve">OPC received many positive comments about the new </w:t>
      </w:r>
      <w:r w:rsidR="00594BD9">
        <w:t>Legislation Register</w:t>
      </w:r>
      <w:r>
        <w:t xml:space="preserve"> as well as suggestions for future development. Some of the positive comments received were: </w:t>
      </w:r>
    </w:p>
    <w:p w:rsidR="00B7009E" w:rsidRDefault="00B7009E" w:rsidP="00B7009E">
      <w:pPr>
        <w:pStyle w:val="BodyNum"/>
        <w:numPr>
          <w:ilvl w:val="0"/>
          <w:numId w:val="0"/>
        </w:numPr>
        <w:rPr>
          <w:i/>
          <w:iCs/>
        </w:rPr>
      </w:pPr>
      <w:r>
        <w:rPr>
          <w:i/>
          <w:iCs/>
        </w:rPr>
        <w:t>“</w:t>
      </w:r>
      <w:r w:rsidRPr="0010771A">
        <w:rPr>
          <w:i/>
          <w:iCs/>
        </w:rPr>
        <w:t xml:space="preserve">Well done on the new website! More intuitive and seems a lot faster too. Thanks to all involved in the project for </w:t>
      </w:r>
      <w:r>
        <w:rPr>
          <w:i/>
          <w:iCs/>
        </w:rPr>
        <w:t>your hard work. A job well done.”</w:t>
      </w:r>
    </w:p>
    <w:p w:rsidR="00B7009E" w:rsidRPr="0010771A" w:rsidRDefault="00B7009E" w:rsidP="00B7009E">
      <w:pPr>
        <w:pStyle w:val="BodyNum"/>
        <w:numPr>
          <w:ilvl w:val="0"/>
          <w:numId w:val="0"/>
        </w:numPr>
        <w:rPr>
          <w:i/>
          <w:iCs/>
        </w:rPr>
      </w:pPr>
      <w:r>
        <w:rPr>
          <w:i/>
          <w:iCs/>
        </w:rPr>
        <w:t>“S</w:t>
      </w:r>
      <w:r w:rsidRPr="0010771A">
        <w:rPr>
          <w:i/>
          <w:iCs/>
        </w:rPr>
        <w:t>imple and easy to use. Good w</w:t>
      </w:r>
      <w:r>
        <w:rPr>
          <w:i/>
          <w:iCs/>
        </w:rPr>
        <w:t>ork on the seamless changeover.”</w:t>
      </w:r>
    </w:p>
    <w:p w:rsidR="00C86FD2" w:rsidRPr="00D13C13" w:rsidRDefault="00B7009E" w:rsidP="00D13C13">
      <w:pPr>
        <w:pStyle w:val="BodyNum"/>
        <w:numPr>
          <w:ilvl w:val="0"/>
          <w:numId w:val="0"/>
        </w:numPr>
        <w:rPr>
          <w:i/>
          <w:iCs/>
        </w:rPr>
        <w:sectPr w:rsidR="00C86FD2" w:rsidRPr="00D13C13" w:rsidSect="00B37353">
          <w:headerReference w:type="even" r:id="rId43"/>
          <w:headerReference w:type="default" r:id="rId44"/>
          <w:type w:val="continuous"/>
          <w:pgSz w:w="11907" w:h="16839" w:code="9"/>
          <w:pgMar w:top="1134" w:right="2410" w:bottom="4253" w:left="2410" w:header="510" w:footer="3402" w:gutter="0"/>
          <w:cols w:num="2" w:space="709"/>
          <w:docGrid w:linePitch="326"/>
        </w:sectPr>
      </w:pPr>
      <w:r>
        <w:rPr>
          <w:i/>
          <w:iCs/>
        </w:rPr>
        <w:t>“</w:t>
      </w:r>
      <w:r w:rsidR="0065385A">
        <w:rPr>
          <w:i/>
          <w:iCs/>
        </w:rPr>
        <w:t>Love the new-look website</w:t>
      </w:r>
      <w:r w:rsidRPr="0010771A">
        <w:rPr>
          <w:i/>
          <w:iCs/>
        </w:rPr>
        <w:t>. It's great to navigate. Well done.</w:t>
      </w:r>
      <w:r>
        <w:rPr>
          <w:i/>
          <w:iCs/>
        </w:rPr>
        <w:t>”</w:t>
      </w:r>
    </w:p>
    <w:p w:rsidR="004F0018" w:rsidRDefault="004F0018">
      <w:pPr>
        <w:rPr>
          <w:rFonts w:ascii="Arial" w:hAnsi="Arial" w:cs="Arial"/>
          <w:b/>
          <w:i/>
          <w:color w:val="0000FF"/>
          <w:kern w:val="28"/>
          <w:sz w:val="22"/>
          <w:szCs w:val="36"/>
        </w:rPr>
      </w:pPr>
      <w:r>
        <w:rPr>
          <w:rFonts w:ascii="Arial" w:hAnsi="Arial" w:cs="Arial"/>
          <w:b/>
          <w:i/>
          <w:color w:val="0000FF"/>
          <w:kern w:val="28"/>
          <w:sz w:val="22"/>
          <w:szCs w:val="36"/>
        </w:rPr>
        <w:br w:type="page"/>
      </w:r>
    </w:p>
    <w:p w:rsidR="00B27950" w:rsidRPr="00704134" w:rsidRDefault="00B27950" w:rsidP="00B27950">
      <w:pPr>
        <w:pStyle w:val="Head5"/>
      </w:pPr>
      <w:r w:rsidRPr="00704134">
        <w:t>Statistics—Publishing</w:t>
      </w:r>
    </w:p>
    <w:tbl>
      <w:tblPr>
        <w:tblW w:w="0" w:type="auto"/>
        <w:tblBorders>
          <w:top w:val="single" w:sz="12" w:space="0" w:color="008000"/>
          <w:bottom w:val="single" w:sz="12" w:space="0" w:color="008000"/>
        </w:tblBorders>
        <w:tblLook w:val="0020" w:firstRow="1" w:lastRow="0" w:firstColumn="0" w:lastColumn="0" w:noHBand="0" w:noVBand="0"/>
      </w:tblPr>
      <w:tblGrid>
        <w:gridCol w:w="2650"/>
        <w:gridCol w:w="1163"/>
        <w:gridCol w:w="1163"/>
        <w:gridCol w:w="1163"/>
        <w:gridCol w:w="1164"/>
      </w:tblGrid>
      <w:tr w:rsidR="0041482C" w:rsidTr="003B5D37">
        <w:trPr>
          <w:trHeight w:val="497"/>
        </w:trPr>
        <w:tc>
          <w:tcPr>
            <w:tcW w:w="2650" w:type="dxa"/>
            <w:tcBorders>
              <w:top w:val="single" w:sz="12" w:space="0" w:color="000000"/>
              <w:bottom w:val="single" w:sz="2" w:space="0" w:color="000000"/>
            </w:tcBorders>
            <w:shd w:val="clear" w:color="auto" w:fill="auto"/>
          </w:tcPr>
          <w:p w:rsidR="0041482C" w:rsidRDefault="0041482C" w:rsidP="00DE340C">
            <w:pPr>
              <w:pStyle w:val="Tabletexthead"/>
            </w:pPr>
            <w:r>
              <w:t>Registration/Publication</w:t>
            </w:r>
          </w:p>
        </w:tc>
        <w:tc>
          <w:tcPr>
            <w:tcW w:w="2326" w:type="dxa"/>
            <w:gridSpan w:val="2"/>
            <w:tcBorders>
              <w:top w:val="single" w:sz="12" w:space="0" w:color="000000"/>
              <w:bottom w:val="single" w:sz="2" w:space="0" w:color="000000"/>
            </w:tcBorders>
          </w:tcPr>
          <w:p w:rsidR="0041482C" w:rsidRDefault="0041482C" w:rsidP="00FE7FAE">
            <w:pPr>
              <w:pStyle w:val="Tabletexthead"/>
              <w:jc w:val="right"/>
            </w:pPr>
            <w:r>
              <w:t>Number of items</w:t>
            </w:r>
          </w:p>
        </w:tc>
        <w:tc>
          <w:tcPr>
            <w:tcW w:w="2327" w:type="dxa"/>
            <w:gridSpan w:val="2"/>
            <w:tcBorders>
              <w:top w:val="single" w:sz="12" w:space="0" w:color="000000"/>
              <w:bottom w:val="single" w:sz="2" w:space="0" w:color="000000"/>
            </w:tcBorders>
            <w:shd w:val="clear" w:color="auto" w:fill="auto"/>
          </w:tcPr>
          <w:p w:rsidR="0041482C" w:rsidRDefault="0041482C" w:rsidP="00FE7FAE">
            <w:pPr>
              <w:pStyle w:val="Tabletexthead"/>
              <w:jc w:val="right"/>
            </w:pPr>
            <w:r>
              <w:t>Number of pages</w:t>
            </w:r>
          </w:p>
        </w:tc>
      </w:tr>
      <w:tr w:rsidR="0041482C" w:rsidTr="003B5D37">
        <w:trPr>
          <w:trHeight w:val="497"/>
        </w:trPr>
        <w:tc>
          <w:tcPr>
            <w:tcW w:w="2650" w:type="dxa"/>
            <w:tcBorders>
              <w:top w:val="single" w:sz="2" w:space="0" w:color="000000"/>
              <w:bottom w:val="single" w:sz="6" w:space="0" w:color="000000"/>
            </w:tcBorders>
            <w:shd w:val="clear" w:color="auto" w:fill="auto"/>
          </w:tcPr>
          <w:p w:rsidR="0041482C" w:rsidRDefault="0041482C" w:rsidP="00DE340C">
            <w:pPr>
              <w:pStyle w:val="Tabletexthead"/>
            </w:pPr>
          </w:p>
        </w:tc>
        <w:tc>
          <w:tcPr>
            <w:tcW w:w="1163" w:type="dxa"/>
            <w:tcBorders>
              <w:top w:val="single" w:sz="2" w:space="0" w:color="000000"/>
              <w:bottom w:val="single" w:sz="6" w:space="0" w:color="000000"/>
            </w:tcBorders>
          </w:tcPr>
          <w:p w:rsidR="0041482C" w:rsidRPr="004E6E29" w:rsidRDefault="0041482C" w:rsidP="00DE340C">
            <w:pPr>
              <w:pStyle w:val="Tabletexthead"/>
              <w:jc w:val="right"/>
              <w:rPr>
                <w:sz w:val="19"/>
                <w:szCs w:val="19"/>
              </w:rPr>
            </w:pPr>
            <w:r w:rsidRPr="004E6E29">
              <w:rPr>
                <w:sz w:val="19"/>
                <w:szCs w:val="19"/>
              </w:rPr>
              <w:t>201</w:t>
            </w:r>
            <w:r w:rsidR="00B7009E">
              <w:rPr>
                <w:sz w:val="19"/>
                <w:szCs w:val="19"/>
              </w:rPr>
              <w:t>4</w:t>
            </w:r>
            <w:r w:rsidRPr="004E6E29">
              <w:rPr>
                <w:sz w:val="19"/>
                <w:szCs w:val="19"/>
              </w:rPr>
              <w:t>-201</w:t>
            </w:r>
            <w:r w:rsidR="00B7009E">
              <w:rPr>
                <w:sz w:val="19"/>
                <w:szCs w:val="19"/>
              </w:rPr>
              <w:t>5</w:t>
            </w:r>
          </w:p>
        </w:tc>
        <w:tc>
          <w:tcPr>
            <w:tcW w:w="1163" w:type="dxa"/>
            <w:tcBorders>
              <w:top w:val="single" w:sz="2" w:space="0" w:color="000000"/>
              <w:bottom w:val="single" w:sz="6" w:space="0" w:color="000000"/>
            </w:tcBorders>
          </w:tcPr>
          <w:p w:rsidR="0041482C" w:rsidRPr="004E6E29" w:rsidRDefault="0041482C" w:rsidP="00B7009E">
            <w:pPr>
              <w:pStyle w:val="Tabletexthead"/>
              <w:jc w:val="right"/>
              <w:rPr>
                <w:sz w:val="19"/>
                <w:szCs w:val="19"/>
              </w:rPr>
            </w:pPr>
            <w:r w:rsidRPr="004E6E29">
              <w:rPr>
                <w:sz w:val="19"/>
                <w:szCs w:val="19"/>
              </w:rPr>
              <w:t>201</w:t>
            </w:r>
            <w:r w:rsidR="00B7009E">
              <w:rPr>
                <w:sz w:val="19"/>
                <w:szCs w:val="19"/>
              </w:rPr>
              <w:t>5</w:t>
            </w:r>
            <w:r w:rsidRPr="004E6E29">
              <w:rPr>
                <w:sz w:val="19"/>
                <w:szCs w:val="19"/>
              </w:rPr>
              <w:t>-201</w:t>
            </w:r>
            <w:r w:rsidR="00B7009E">
              <w:rPr>
                <w:sz w:val="19"/>
                <w:szCs w:val="19"/>
              </w:rPr>
              <w:t>6</w:t>
            </w:r>
          </w:p>
        </w:tc>
        <w:tc>
          <w:tcPr>
            <w:tcW w:w="1163" w:type="dxa"/>
            <w:tcBorders>
              <w:top w:val="single" w:sz="2" w:space="0" w:color="000000"/>
              <w:bottom w:val="single" w:sz="6" w:space="0" w:color="000000"/>
              <w:right w:val="dotted" w:sz="4" w:space="0" w:color="FFFFFF" w:themeColor="background1"/>
            </w:tcBorders>
          </w:tcPr>
          <w:p w:rsidR="0041482C" w:rsidRPr="004E6E29" w:rsidRDefault="0041482C" w:rsidP="00B7009E">
            <w:pPr>
              <w:pStyle w:val="Tabletexthead"/>
              <w:jc w:val="right"/>
              <w:rPr>
                <w:sz w:val="19"/>
                <w:szCs w:val="19"/>
              </w:rPr>
            </w:pPr>
            <w:r w:rsidRPr="004E6E29">
              <w:rPr>
                <w:sz w:val="19"/>
                <w:szCs w:val="19"/>
              </w:rPr>
              <w:t>201</w:t>
            </w:r>
            <w:r w:rsidR="00B7009E">
              <w:rPr>
                <w:sz w:val="19"/>
                <w:szCs w:val="19"/>
              </w:rPr>
              <w:t>4</w:t>
            </w:r>
            <w:r w:rsidRPr="004E6E29">
              <w:rPr>
                <w:sz w:val="19"/>
                <w:szCs w:val="19"/>
              </w:rPr>
              <w:t>-201</w:t>
            </w:r>
            <w:r w:rsidR="00B7009E">
              <w:rPr>
                <w:sz w:val="19"/>
                <w:szCs w:val="19"/>
              </w:rPr>
              <w:t>5</w:t>
            </w:r>
          </w:p>
        </w:tc>
        <w:tc>
          <w:tcPr>
            <w:tcW w:w="1164" w:type="dxa"/>
            <w:tcBorders>
              <w:top w:val="single" w:sz="2" w:space="0" w:color="000000"/>
              <w:left w:val="dotted" w:sz="4" w:space="0" w:color="FFFFFF" w:themeColor="background1"/>
              <w:bottom w:val="single" w:sz="6" w:space="0" w:color="000000"/>
            </w:tcBorders>
          </w:tcPr>
          <w:p w:rsidR="0041482C" w:rsidRPr="004E6E29" w:rsidRDefault="0041482C" w:rsidP="00B7009E">
            <w:pPr>
              <w:pStyle w:val="Tabletexthead"/>
              <w:jc w:val="right"/>
              <w:rPr>
                <w:sz w:val="19"/>
                <w:szCs w:val="19"/>
              </w:rPr>
            </w:pPr>
            <w:r w:rsidRPr="004E6E29">
              <w:rPr>
                <w:sz w:val="19"/>
                <w:szCs w:val="19"/>
              </w:rPr>
              <w:t>201</w:t>
            </w:r>
            <w:r w:rsidR="00B7009E">
              <w:rPr>
                <w:sz w:val="19"/>
                <w:szCs w:val="19"/>
              </w:rPr>
              <w:t>5</w:t>
            </w:r>
            <w:r w:rsidRPr="004E6E29">
              <w:rPr>
                <w:sz w:val="19"/>
                <w:szCs w:val="19"/>
              </w:rPr>
              <w:t>-201</w:t>
            </w:r>
            <w:r w:rsidR="00B7009E">
              <w:rPr>
                <w:sz w:val="19"/>
                <w:szCs w:val="19"/>
              </w:rPr>
              <w:t>6</w:t>
            </w:r>
          </w:p>
        </w:tc>
      </w:tr>
      <w:tr w:rsidR="0041482C" w:rsidRPr="00496FFE" w:rsidTr="003B5D37">
        <w:trPr>
          <w:cantSplit/>
          <w:trHeight w:val="284"/>
        </w:trPr>
        <w:tc>
          <w:tcPr>
            <w:tcW w:w="2650" w:type="dxa"/>
            <w:tcBorders>
              <w:top w:val="single" w:sz="6" w:space="0" w:color="000000"/>
              <w:bottom w:val="nil"/>
            </w:tcBorders>
            <w:shd w:val="clear" w:color="auto" w:fill="auto"/>
          </w:tcPr>
          <w:p w:rsidR="0041482C" w:rsidRDefault="0041482C" w:rsidP="00DE340C">
            <w:pPr>
              <w:pStyle w:val="Tabletext"/>
            </w:pPr>
            <w:r>
              <w:t>Legislative instruments</w:t>
            </w:r>
            <w:r>
              <w:tab/>
            </w:r>
          </w:p>
        </w:tc>
        <w:tc>
          <w:tcPr>
            <w:tcW w:w="1163" w:type="dxa"/>
            <w:tcBorders>
              <w:top w:val="single" w:sz="6" w:space="0" w:color="000000"/>
              <w:bottom w:val="nil"/>
            </w:tcBorders>
          </w:tcPr>
          <w:p w:rsidR="0041482C" w:rsidRDefault="0041482C" w:rsidP="00B7009E">
            <w:pPr>
              <w:pStyle w:val="Tabletext"/>
              <w:jc w:val="right"/>
            </w:pPr>
            <w:r>
              <w:t>1,</w:t>
            </w:r>
            <w:r w:rsidR="00B7009E">
              <w:t>998</w:t>
            </w:r>
          </w:p>
        </w:tc>
        <w:tc>
          <w:tcPr>
            <w:tcW w:w="1163" w:type="dxa"/>
            <w:tcBorders>
              <w:top w:val="single" w:sz="6" w:space="0" w:color="000000"/>
              <w:bottom w:val="nil"/>
            </w:tcBorders>
          </w:tcPr>
          <w:p w:rsidR="0041482C" w:rsidRDefault="00B7009E" w:rsidP="00B7009E">
            <w:pPr>
              <w:pStyle w:val="Tabletext"/>
              <w:jc w:val="right"/>
            </w:pPr>
            <w:r>
              <w:t>2</w:t>
            </w:r>
            <w:r w:rsidR="00FE7FAE">
              <w:t>,</w:t>
            </w:r>
            <w:r>
              <w:t>204</w:t>
            </w:r>
          </w:p>
        </w:tc>
        <w:tc>
          <w:tcPr>
            <w:tcW w:w="1163" w:type="dxa"/>
            <w:tcBorders>
              <w:top w:val="single" w:sz="6" w:space="0" w:color="000000"/>
              <w:bottom w:val="nil"/>
              <w:right w:val="dotted" w:sz="4" w:space="0" w:color="FFFFFF" w:themeColor="background1"/>
            </w:tcBorders>
            <w:shd w:val="clear" w:color="auto" w:fill="auto"/>
          </w:tcPr>
          <w:p w:rsidR="0041482C" w:rsidRDefault="00B7009E" w:rsidP="00DE340C">
            <w:pPr>
              <w:pStyle w:val="Tabletext"/>
              <w:jc w:val="right"/>
            </w:pPr>
            <w:r>
              <w:t>25,866</w:t>
            </w:r>
          </w:p>
        </w:tc>
        <w:tc>
          <w:tcPr>
            <w:tcW w:w="1164" w:type="dxa"/>
            <w:tcBorders>
              <w:top w:val="single" w:sz="6" w:space="0" w:color="000000"/>
              <w:left w:val="dotted" w:sz="4" w:space="0" w:color="FFFFFF" w:themeColor="background1"/>
              <w:bottom w:val="nil"/>
            </w:tcBorders>
          </w:tcPr>
          <w:p w:rsidR="0041482C" w:rsidRDefault="00B7009E" w:rsidP="00B7009E">
            <w:pPr>
              <w:pStyle w:val="Tabletext"/>
              <w:jc w:val="right"/>
            </w:pPr>
            <w:r>
              <w:t>32</w:t>
            </w:r>
            <w:r w:rsidR="0041482C">
              <w:t>,</w:t>
            </w:r>
            <w:r>
              <w:t>025</w:t>
            </w:r>
          </w:p>
        </w:tc>
      </w:tr>
      <w:tr w:rsidR="00B7009E" w:rsidRPr="00CB554F" w:rsidTr="003B5D37">
        <w:trPr>
          <w:cantSplit/>
          <w:trHeight w:val="284"/>
        </w:trPr>
        <w:tc>
          <w:tcPr>
            <w:tcW w:w="2650" w:type="dxa"/>
            <w:tcBorders>
              <w:top w:val="nil"/>
              <w:bottom w:val="nil"/>
            </w:tcBorders>
            <w:shd w:val="clear" w:color="auto" w:fill="auto"/>
          </w:tcPr>
          <w:p w:rsidR="00B7009E" w:rsidRDefault="00B7009E" w:rsidP="00DE340C">
            <w:pPr>
              <w:pStyle w:val="Tabletext"/>
            </w:pPr>
            <w:r>
              <w:t>Notifiable instruments</w:t>
            </w:r>
          </w:p>
        </w:tc>
        <w:tc>
          <w:tcPr>
            <w:tcW w:w="1163" w:type="dxa"/>
            <w:tcBorders>
              <w:top w:val="nil"/>
              <w:bottom w:val="nil"/>
            </w:tcBorders>
          </w:tcPr>
          <w:p w:rsidR="00B7009E" w:rsidRDefault="00B7009E" w:rsidP="00DE340C">
            <w:pPr>
              <w:pStyle w:val="Tabletext"/>
              <w:jc w:val="right"/>
            </w:pPr>
            <w:r>
              <w:t>N/A</w:t>
            </w:r>
          </w:p>
        </w:tc>
        <w:tc>
          <w:tcPr>
            <w:tcW w:w="1163" w:type="dxa"/>
            <w:tcBorders>
              <w:top w:val="nil"/>
              <w:bottom w:val="nil"/>
            </w:tcBorders>
          </w:tcPr>
          <w:p w:rsidR="00B7009E" w:rsidRDefault="00B7009E" w:rsidP="00DE340C">
            <w:pPr>
              <w:pStyle w:val="Tabletext"/>
              <w:jc w:val="right"/>
            </w:pPr>
            <w:r>
              <w:t>14</w:t>
            </w:r>
          </w:p>
        </w:tc>
        <w:tc>
          <w:tcPr>
            <w:tcW w:w="1163" w:type="dxa"/>
            <w:tcBorders>
              <w:top w:val="nil"/>
              <w:bottom w:val="nil"/>
              <w:right w:val="dotted" w:sz="4" w:space="0" w:color="FFFFFF" w:themeColor="background1"/>
            </w:tcBorders>
            <w:shd w:val="clear" w:color="auto" w:fill="auto"/>
          </w:tcPr>
          <w:p w:rsidR="00B7009E" w:rsidRDefault="00B7009E" w:rsidP="00DE340C">
            <w:pPr>
              <w:pStyle w:val="Tabletext"/>
              <w:jc w:val="right"/>
            </w:pPr>
            <w:r>
              <w:t>N/A</w:t>
            </w:r>
          </w:p>
        </w:tc>
        <w:tc>
          <w:tcPr>
            <w:tcW w:w="1164" w:type="dxa"/>
            <w:tcBorders>
              <w:top w:val="nil"/>
              <w:left w:val="dotted" w:sz="4" w:space="0" w:color="FFFFFF" w:themeColor="background1"/>
              <w:bottom w:val="nil"/>
            </w:tcBorders>
          </w:tcPr>
          <w:p w:rsidR="00B7009E" w:rsidRDefault="00B7009E" w:rsidP="00DE340C">
            <w:pPr>
              <w:pStyle w:val="Tabletext"/>
              <w:jc w:val="right"/>
            </w:pPr>
            <w:r>
              <w:t>35</w:t>
            </w:r>
          </w:p>
        </w:tc>
      </w:tr>
      <w:tr w:rsidR="0041482C" w:rsidRPr="00CB554F" w:rsidTr="003B5D37">
        <w:trPr>
          <w:cantSplit/>
          <w:trHeight w:val="284"/>
        </w:trPr>
        <w:tc>
          <w:tcPr>
            <w:tcW w:w="2650" w:type="dxa"/>
            <w:tcBorders>
              <w:top w:val="nil"/>
              <w:bottom w:val="nil"/>
            </w:tcBorders>
            <w:shd w:val="clear" w:color="auto" w:fill="auto"/>
          </w:tcPr>
          <w:p w:rsidR="0041482C" w:rsidRPr="00CB554F" w:rsidRDefault="0041482C" w:rsidP="00DE340C">
            <w:pPr>
              <w:pStyle w:val="Tabletext"/>
              <w:rPr>
                <w:i/>
              </w:rPr>
            </w:pPr>
            <w:r>
              <w:t>Gazette notices</w:t>
            </w:r>
          </w:p>
        </w:tc>
        <w:tc>
          <w:tcPr>
            <w:tcW w:w="1163" w:type="dxa"/>
            <w:tcBorders>
              <w:top w:val="nil"/>
              <w:bottom w:val="nil"/>
            </w:tcBorders>
          </w:tcPr>
          <w:p w:rsidR="0041482C" w:rsidRDefault="0041482C" w:rsidP="00B7009E">
            <w:pPr>
              <w:pStyle w:val="Tabletext"/>
              <w:jc w:val="right"/>
            </w:pPr>
            <w:r>
              <w:t>2,</w:t>
            </w:r>
            <w:r w:rsidR="00B7009E">
              <w:t>132</w:t>
            </w:r>
          </w:p>
        </w:tc>
        <w:tc>
          <w:tcPr>
            <w:tcW w:w="1163" w:type="dxa"/>
            <w:tcBorders>
              <w:top w:val="nil"/>
              <w:bottom w:val="nil"/>
            </w:tcBorders>
          </w:tcPr>
          <w:p w:rsidR="0041482C" w:rsidRDefault="0041482C" w:rsidP="00B7009E">
            <w:pPr>
              <w:pStyle w:val="Tabletext"/>
              <w:jc w:val="right"/>
            </w:pPr>
            <w:r>
              <w:t>2,</w:t>
            </w:r>
            <w:r w:rsidR="00B7009E">
              <w:t>014</w:t>
            </w:r>
          </w:p>
        </w:tc>
        <w:tc>
          <w:tcPr>
            <w:tcW w:w="1163" w:type="dxa"/>
            <w:tcBorders>
              <w:top w:val="nil"/>
              <w:bottom w:val="nil"/>
              <w:right w:val="dotted" w:sz="4" w:space="0" w:color="FFFFFF" w:themeColor="background1"/>
            </w:tcBorders>
            <w:shd w:val="clear" w:color="auto" w:fill="auto"/>
          </w:tcPr>
          <w:p w:rsidR="0041482C" w:rsidRDefault="00B7009E" w:rsidP="00DE340C">
            <w:pPr>
              <w:pStyle w:val="Tabletext"/>
              <w:jc w:val="right"/>
            </w:pPr>
            <w:r>
              <w:t>4,034</w:t>
            </w:r>
          </w:p>
        </w:tc>
        <w:tc>
          <w:tcPr>
            <w:tcW w:w="1164" w:type="dxa"/>
            <w:tcBorders>
              <w:top w:val="nil"/>
              <w:left w:val="dotted" w:sz="4" w:space="0" w:color="FFFFFF" w:themeColor="background1"/>
              <w:bottom w:val="nil"/>
            </w:tcBorders>
          </w:tcPr>
          <w:p w:rsidR="0041482C" w:rsidRDefault="0041482C" w:rsidP="00B7009E">
            <w:pPr>
              <w:pStyle w:val="Tabletext"/>
              <w:jc w:val="right"/>
            </w:pPr>
            <w:r>
              <w:t>4,</w:t>
            </w:r>
            <w:r w:rsidR="00B7009E">
              <w:t>333</w:t>
            </w:r>
          </w:p>
        </w:tc>
      </w:tr>
      <w:tr w:rsidR="0041482C" w:rsidRPr="00CB554F" w:rsidTr="003B5D37">
        <w:trPr>
          <w:cantSplit/>
          <w:trHeight w:val="284"/>
        </w:trPr>
        <w:tc>
          <w:tcPr>
            <w:tcW w:w="2650" w:type="dxa"/>
            <w:tcBorders>
              <w:top w:val="nil"/>
              <w:bottom w:val="nil"/>
            </w:tcBorders>
            <w:shd w:val="clear" w:color="auto" w:fill="auto"/>
          </w:tcPr>
          <w:p w:rsidR="0041482C" w:rsidRDefault="0041482C" w:rsidP="00DE340C">
            <w:pPr>
              <w:pStyle w:val="Tabletext"/>
            </w:pPr>
            <w:r>
              <w:t>Numbered Acts</w:t>
            </w:r>
          </w:p>
        </w:tc>
        <w:tc>
          <w:tcPr>
            <w:tcW w:w="1163" w:type="dxa"/>
            <w:tcBorders>
              <w:top w:val="nil"/>
              <w:bottom w:val="nil"/>
            </w:tcBorders>
          </w:tcPr>
          <w:p w:rsidR="0041482C" w:rsidRDefault="00B7009E" w:rsidP="00DE340C">
            <w:pPr>
              <w:pStyle w:val="Tabletext"/>
              <w:jc w:val="right"/>
            </w:pPr>
            <w:r>
              <w:t>167</w:t>
            </w:r>
          </w:p>
        </w:tc>
        <w:tc>
          <w:tcPr>
            <w:tcW w:w="1163" w:type="dxa"/>
            <w:tcBorders>
              <w:top w:val="nil"/>
              <w:bottom w:val="nil"/>
            </w:tcBorders>
          </w:tcPr>
          <w:p w:rsidR="0041482C" w:rsidRDefault="0041482C" w:rsidP="00B7009E">
            <w:pPr>
              <w:pStyle w:val="Tabletext"/>
              <w:jc w:val="right"/>
            </w:pPr>
            <w:r>
              <w:t>1</w:t>
            </w:r>
            <w:r w:rsidR="00B7009E">
              <w:t>24</w:t>
            </w:r>
          </w:p>
        </w:tc>
        <w:tc>
          <w:tcPr>
            <w:tcW w:w="1163" w:type="dxa"/>
            <w:tcBorders>
              <w:top w:val="nil"/>
              <w:bottom w:val="nil"/>
            </w:tcBorders>
            <w:shd w:val="clear" w:color="auto" w:fill="auto"/>
          </w:tcPr>
          <w:p w:rsidR="0041482C" w:rsidRDefault="00B7009E" w:rsidP="00DE340C">
            <w:pPr>
              <w:pStyle w:val="Tabletext"/>
              <w:jc w:val="right"/>
            </w:pPr>
            <w:r>
              <w:t>7,559</w:t>
            </w:r>
          </w:p>
        </w:tc>
        <w:tc>
          <w:tcPr>
            <w:tcW w:w="1164" w:type="dxa"/>
            <w:tcBorders>
              <w:top w:val="nil"/>
              <w:bottom w:val="nil"/>
            </w:tcBorders>
          </w:tcPr>
          <w:p w:rsidR="0041482C" w:rsidRDefault="00B7009E" w:rsidP="00B7009E">
            <w:pPr>
              <w:pStyle w:val="Tabletext"/>
              <w:jc w:val="right"/>
            </w:pPr>
            <w:r>
              <w:t>4</w:t>
            </w:r>
            <w:r w:rsidR="0041482C">
              <w:t>,</w:t>
            </w:r>
            <w:r>
              <w:t>741</w:t>
            </w:r>
          </w:p>
        </w:tc>
      </w:tr>
      <w:tr w:rsidR="0041482C" w:rsidRPr="00CB554F" w:rsidTr="003B5D37">
        <w:trPr>
          <w:cantSplit/>
          <w:trHeight w:val="284"/>
        </w:trPr>
        <w:tc>
          <w:tcPr>
            <w:tcW w:w="2650" w:type="dxa"/>
            <w:tcBorders>
              <w:top w:val="nil"/>
              <w:bottom w:val="nil"/>
            </w:tcBorders>
            <w:shd w:val="clear" w:color="auto" w:fill="auto"/>
          </w:tcPr>
          <w:p w:rsidR="0041482C" w:rsidRDefault="0041482C" w:rsidP="00DE340C">
            <w:pPr>
              <w:pStyle w:val="Tabletext"/>
            </w:pPr>
            <w:r>
              <w:t>Act compilations</w:t>
            </w:r>
          </w:p>
        </w:tc>
        <w:tc>
          <w:tcPr>
            <w:tcW w:w="1163" w:type="dxa"/>
            <w:tcBorders>
              <w:top w:val="nil"/>
              <w:bottom w:val="nil"/>
            </w:tcBorders>
          </w:tcPr>
          <w:p w:rsidR="0041482C" w:rsidRDefault="00B7009E" w:rsidP="00DE340C">
            <w:pPr>
              <w:pStyle w:val="Tabletext"/>
              <w:jc w:val="right"/>
            </w:pPr>
            <w:r>
              <w:t>802</w:t>
            </w:r>
          </w:p>
        </w:tc>
        <w:tc>
          <w:tcPr>
            <w:tcW w:w="1163" w:type="dxa"/>
            <w:tcBorders>
              <w:top w:val="nil"/>
              <w:bottom w:val="nil"/>
            </w:tcBorders>
          </w:tcPr>
          <w:p w:rsidR="0041482C" w:rsidRDefault="00B7009E" w:rsidP="00DE340C">
            <w:pPr>
              <w:pStyle w:val="Tabletext"/>
              <w:jc w:val="right"/>
            </w:pPr>
            <w:r>
              <w:t>1,063</w:t>
            </w:r>
          </w:p>
        </w:tc>
        <w:tc>
          <w:tcPr>
            <w:tcW w:w="1163" w:type="dxa"/>
            <w:tcBorders>
              <w:top w:val="nil"/>
              <w:bottom w:val="nil"/>
            </w:tcBorders>
            <w:shd w:val="clear" w:color="auto" w:fill="auto"/>
          </w:tcPr>
          <w:p w:rsidR="0041482C" w:rsidRDefault="00B7009E" w:rsidP="00DE340C">
            <w:pPr>
              <w:pStyle w:val="Tabletext"/>
              <w:jc w:val="right"/>
            </w:pPr>
            <w:r>
              <w:t>358,209</w:t>
            </w:r>
          </w:p>
        </w:tc>
        <w:tc>
          <w:tcPr>
            <w:tcW w:w="1164" w:type="dxa"/>
            <w:tcBorders>
              <w:top w:val="nil"/>
              <w:bottom w:val="nil"/>
            </w:tcBorders>
          </w:tcPr>
          <w:p w:rsidR="0041482C" w:rsidRDefault="00B7009E" w:rsidP="00B7009E">
            <w:pPr>
              <w:pStyle w:val="Tabletext"/>
              <w:jc w:val="right"/>
            </w:pPr>
            <w:r>
              <w:t>429</w:t>
            </w:r>
            <w:r w:rsidR="0041482C">
              <w:t>,</w:t>
            </w:r>
            <w:r>
              <w:t>519</w:t>
            </w:r>
          </w:p>
        </w:tc>
      </w:tr>
      <w:tr w:rsidR="0041482C" w:rsidRPr="00CB554F" w:rsidTr="003B5D37">
        <w:trPr>
          <w:cantSplit/>
          <w:trHeight w:val="284"/>
        </w:trPr>
        <w:tc>
          <w:tcPr>
            <w:tcW w:w="2650" w:type="dxa"/>
            <w:tcBorders>
              <w:top w:val="nil"/>
              <w:bottom w:val="nil"/>
            </w:tcBorders>
            <w:shd w:val="clear" w:color="auto" w:fill="auto"/>
          </w:tcPr>
          <w:p w:rsidR="0041482C" w:rsidRDefault="0041482C" w:rsidP="00DE340C">
            <w:pPr>
              <w:pStyle w:val="Tabletext"/>
            </w:pPr>
            <w:r>
              <w:t>OPC prepared instrument compilations—budget-funded</w:t>
            </w:r>
          </w:p>
        </w:tc>
        <w:tc>
          <w:tcPr>
            <w:tcW w:w="1163" w:type="dxa"/>
            <w:tcBorders>
              <w:top w:val="nil"/>
              <w:bottom w:val="nil"/>
            </w:tcBorders>
            <w:vAlign w:val="bottom"/>
          </w:tcPr>
          <w:p w:rsidR="0041482C" w:rsidRDefault="00B7009E" w:rsidP="00DE340C">
            <w:pPr>
              <w:pStyle w:val="Tabletext"/>
              <w:jc w:val="right"/>
            </w:pPr>
            <w:r>
              <w:t>243</w:t>
            </w:r>
          </w:p>
        </w:tc>
        <w:tc>
          <w:tcPr>
            <w:tcW w:w="1163" w:type="dxa"/>
            <w:tcBorders>
              <w:top w:val="nil"/>
              <w:bottom w:val="nil"/>
            </w:tcBorders>
            <w:vAlign w:val="bottom"/>
          </w:tcPr>
          <w:p w:rsidR="0041482C" w:rsidRDefault="00B7009E" w:rsidP="00DE340C">
            <w:pPr>
              <w:pStyle w:val="Tabletext"/>
              <w:jc w:val="right"/>
            </w:pPr>
            <w:r>
              <w:t>375</w:t>
            </w:r>
          </w:p>
        </w:tc>
        <w:tc>
          <w:tcPr>
            <w:tcW w:w="1163" w:type="dxa"/>
            <w:tcBorders>
              <w:top w:val="nil"/>
              <w:bottom w:val="nil"/>
            </w:tcBorders>
            <w:shd w:val="clear" w:color="auto" w:fill="auto"/>
            <w:vAlign w:val="bottom"/>
          </w:tcPr>
          <w:p w:rsidR="0041482C" w:rsidRDefault="00B7009E" w:rsidP="00DE340C">
            <w:pPr>
              <w:pStyle w:val="Tabletext"/>
              <w:jc w:val="right"/>
            </w:pPr>
            <w:r>
              <w:t>71,265</w:t>
            </w:r>
          </w:p>
        </w:tc>
        <w:tc>
          <w:tcPr>
            <w:tcW w:w="1164" w:type="dxa"/>
            <w:tcBorders>
              <w:top w:val="nil"/>
              <w:bottom w:val="nil"/>
            </w:tcBorders>
            <w:vAlign w:val="bottom"/>
          </w:tcPr>
          <w:p w:rsidR="0041482C" w:rsidRDefault="00B7009E" w:rsidP="00B7009E">
            <w:pPr>
              <w:pStyle w:val="Tabletext"/>
              <w:jc w:val="right"/>
            </w:pPr>
            <w:r>
              <w:t>97</w:t>
            </w:r>
            <w:r w:rsidR="0041482C">
              <w:t>,</w:t>
            </w:r>
            <w:r>
              <w:t>671</w:t>
            </w:r>
          </w:p>
        </w:tc>
      </w:tr>
      <w:tr w:rsidR="0041482C" w:rsidRPr="00CB554F" w:rsidTr="003B5D37">
        <w:trPr>
          <w:cantSplit/>
          <w:trHeight w:val="284"/>
        </w:trPr>
        <w:tc>
          <w:tcPr>
            <w:tcW w:w="2650" w:type="dxa"/>
            <w:tcBorders>
              <w:top w:val="nil"/>
              <w:bottom w:val="nil"/>
            </w:tcBorders>
            <w:shd w:val="clear" w:color="auto" w:fill="auto"/>
          </w:tcPr>
          <w:p w:rsidR="0041482C" w:rsidRDefault="0041482C" w:rsidP="00DE340C">
            <w:pPr>
              <w:pStyle w:val="Tabletext"/>
            </w:pPr>
            <w:r>
              <w:t>OPC prepared instrument compilations—user-pays</w:t>
            </w:r>
          </w:p>
        </w:tc>
        <w:tc>
          <w:tcPr>
            <w:tcW w:w="1163" w:type="dxa"/>
            <w:tcBorders>
              <w:top w:val="nil"/>
              <w:bottom w:val="nil"/>
            </w:tcBorders>
            <w:vAlign w:val="bottom"/>
          </w:tcPr>
          <w:p w:rsidR="0041482C" w:rsidRDefault="00B7009E" w:rsidP="00DE340C">
            <w:pPr>
              <w:pStyle w:val="Tabletext"/>
              <w:jc w:val="right"/>
            </w:pPr>
            <w:r>
              <w:t>244</w:t>
            </w:r>
          </w:p>
        </w:tc>
        <w:tc>
          <w:tcPr>
            <w:tcW w:w="1163" w:type="dxa"/>
            <w:tcBorders>
              <w:top w:val="nil"/>
              <w:bottom w:val="nil"/>
            </w:tcBorders>
            <w:vAlign w:val="bottom"/>
          </w:tcPr>
          <w:p w:rsidR="0041482C" w:rsidRDefault="00B7009E" w:rsidP="00DE340C">
            <w:pPr>
              <w:pStyle w:val="Tabletext"/>
              <w:jc w:val="right"/>
            </w:pPr>
            <w:r>
              <w:t>225</w:t>
            </w:r>
          </w:p>
        </w:tc>
        <w:tc>
          <w:tcPr>
            <w:tcW w:w="1163" w:type="dxa"/>
            <w:tcBorders>
              <w:top w:val="nil"/>
              <w:bottom w:val="nil"/>
            </w:tcBorders>
            <w:shd w:val="clear" w:color="auto" w:fill="auto"/>
            <w:vAlign w:val="bottom"/>
          </w:tcPr>
          <w:p w:rsidR="0041482C" w:rsidRDefault="00B7009E" w:rsidP="00DE340C">
            <w:pPr>
              <w:pStyle w:val="Tabletext"/>
              <w:jc w:val="right"/>
            </w:pPr>
            <w:r>
              <w:t>45,338</w:t>
            </w:r>
          </w:p>
        </w:tc>
        <w:tc>
          <w:tcPr>
            <w:tcW w:w="1164" w:type="dxa"/>
            <w:tcBorders>
              <w:top w:val="nil"/>
              <w:bottom w:val="nil"/>
            </w:tcBorders>
            <w:vAlign w:val="bottom"/>
          </w:tcPr>
          <w:p w:rsidR="0041482C" w:rsidRDefault="00B7009E" w:rsidP="00B7009E">
            <w:pPr>
              <w:pStyle w:val="Tabletext"/>
              <w:jc w:val="right"/>
            </w:pPr>
            <w:r>
              <w:t>34</w:t>
            </w:r>
            <w:r w:rsidR="0041482C">
              <w:t>,</w:t>
            </w:r>
            <w:r>
              <w:t>135</w:t>
            </w:r>
          </w:p>
        </w:tc>
      </w:tr>
      <w:tr w:rsidR="0041482C" w:rsidRPr="00CB554F" w:rsidTr="003B5D37">
        <w:trPr>
          <w:cantSplit/>
          <w:trHeight w:val="284"/>
        </w:trPr>
        <w:tc>
          <w:tcPr>
            <w:tcW w:w="2650" w:type="dxa"/>
            <w:tcBorders>
              <w:top w:val="nil"/>
              <w:bottom w:val="single" w:sz="12" w:space="0" w:color="000000"/>
            </w:tcBorders>
            <w:shd w:val="clear" w:color="auto" w:fill="auto"/>
          </w:tcPr>
          <w:p w:rsidR="0041482C" w:rsidRDefault="0041482C" w:rsidP="00DE340C">
            <w:pPr>
              <w:pStyle w:val="Tabletext"/>
            </w:pPr>
            <w:r>
              <w:t>Agency prepared instrument compilations</w:t>
            </w:r>
          </w:p>
        </w:tc>
        <w:tc>
          <w:tcPr>
            <w:tcW w:w="1163" w:type="dxa"/>
            <w:tcBorders>
              <w:top w:val="nil"/>
              <w:bottom w:val="single" w:sz="12" w:space="0" w:color="000000"/>
            </w:tcBorders>
          </w:tcPr>
          <w:p w:rsidR="0041482C" w:rsidRDefault="00B7009E" w:rsidP="00DE340C">
            <w:pPr>
              <w:pStyle w:val="Tabletext"/>
              <w:jc w:val="right"/>
            </w:pPr>
            <w:r>
              <w:t>573</w:t>
            </w:r>
          </w:p>
        </w:tc>
        <w:tc>
          <w:tcPr>
            <w:tcW w:w="1163" w:type="dxa"/>
            <w:tcBorders>
              <w:top w:val="nil"/>
              <w:bottom w:val="single" w:sz="12" w:space="0" w:color="000000"/>
            </w:tcBorders>
          </w:tcPr>
          <w:p w:rsidR="0041482C" w:rsidRDefault="00B7009E" w:rsidP="00DE340C">
            <w:pPr>
              <w:pStyle w:val="Tabletext"/>
              <w:jc w:val="right"/>
            </w:pPr>
            <w:r>
              <w:t>465</w:t>
            </w:r>
          </w:p>
        </w:tc>
        <w:tc>
          <w:tcPr>
            <w:tcW w:w="1163" w:type="dxa"/>
            <w:tcBorders>
              <w:top w:val="nil"/>
              <w:bottom w:val="single" w:sz="12" w:space="0" w:color="000000"/>
            </w:tcBorders>
            <w:shd w:val="clear" w:color="auto" w:fill="auto"/>
          </w:tcPr>
          <w:p w:rsidR="0041482C" w:rsidRDefault="00B7009E" w:rsidP="00DE340C">
            <w:pPr>
              <w:pStyle w:val="Tabletext"/>
              <w:jc w:val="right"/>
            </w:pPr>
            <w:r>
              <w:t>28,022</w:t>
            </w:r>
          </w:p>
        </w:tc>
        <w:tc>
          <w:tcPr>
            <w:tcW w:w="1164" w:type="dxa"/>
            <w:tcBorders>
              <w:top w:val="nil"/>
              <w:bottom w:val="single" w:sz="12" w:space="0" w:color="000000"/>
            </w:tcBorders>
          </w:tcPr>
          <w:p w:rsidR="0041482C" w:rsidRDefault="0041482C" w:rsidP="00B7009E">
            <w:pPr>
              <w:pStyle w:val="Tabletext"/>
              <w:jc w:val="right"/>
            </w:pPr>
            <w:r>
              <w:t>2</w:t>
            </w:r>
            <w:r w:rsidR="00B7009E">
              <w:t>9</w:t>
            </w:r>
            <w:r>
              <w:t>,</w:t>
            </w:r>
            <w:r w:rsidR="00B7009E">
              <w:t>622</w:t>
            </w:r>
          </w:p>
        </w:tc>
      </w:tr>
    </w:tbl>
    <w:p w:rsidR="00B27950" w:rsidRPr="00704134" w:rsidRDefault="00B27950" w:rsidP="00B27950">
      <w:pPr>
        <w:pStyle w:val="Tabletext"/>
        <w:rPr>
          <w:sz w:val="16"/>
          <w:szCs w:val="16"/>
        </w:rPr>
      </w:pPr>
      <w:r w:rsidRPr="00704134">
        <w:rPr>
          <w:sz w:val="16"/>
          <w:szCs w:val="16"/>
        </w:rPr>
        <w:t>Note:</w:t>
      </w:r>
      <w:r w:rsidRPr="00704134">
        <w:rPr>
          <w:sz w:val="16"/>
          <w:szCs w:val="16"/>
        </w:rPr>
        <w:tab/>
      </w:r>
      <w:r w:rsidR="0041482C" w:rsidRPr="00C26C99">
        <w:rPr>
          <w:sz w:val="16"/>
          <w:szCs w:val="16"/>
        </w:rPr>
        <w:t>The above stat</w:t>
      </w:r>
      <w:r w:rsidR="0041482C">
        <w:rPr>
          <w:sz w:val="16"/>
          <w:szCs w:val="16"/>
        </w:rPr>
        <w:t>istics relate only to new items.</w:t>
      </w:r>
      <w:r w:rsidR="0041482C" w:rsidRPr="00C26C99">
        <w:rPr>
          <w:sz w:val="16"/>
          <w:szCs w:val="16"/>
        </w:rPr>
        <w:t xml:space="preserve"> </w:t>
      </w:r>
      <w:r w:rsidR="0041482C">
        <w:rPr>
          <w:sz w:val="16"/>
          <w:szCs w:val="16"/>
        </w:rPr>
        <w:t>T</w:t>
      </w:r>
      <w:r w:rsidR="0041482C" w:rsidRPr="00C26C99">
        <w:rPr>
          <w:sz w:val="16"/>
          <w:szCs w:val="16"/>
        </w:rPr>
        <w:t xml:space="preserve">hey do not include backcaptured or </w:t>
      </w:r>
      <w:r w:rsidR="0041482C">
        <w:rPr>
          <w:sz w:val="16"/>
          <w:szCs w:val="16"/>
        </w:rPr>
        <w:tab/>
      </w:r>
      <w:r w:rsidR="0041482C" w:rsidRPr="00C26C99">
        <w:rPr>
          <w:sz w:val="16"/>
          <w:szCs w:val="16"/>
        </w:rPr>
        <w:t>republished historical documents.</w:t>
      </w:r>
    </w:p>
    <w:p w:rsidR="00D11534" w:rsidRDefault="00D11534">
      <w:pPr>
        <w:rPr>
          <w:rFonts w:ascii="Arial" w:hAnsi="Arial" w:cs="Arial"/>
          <w:b/>
          <w:i/>
          <w:color w:val="0000FF"/>
          <w:kern w:val="28"/>
          <w:sz w:val="22"/>
          <w:szCs w:val="36"/>
        </w:rPr>
      </w:pPr>
    </w:p>
    <w:p w:rsidR="00B27950" w:rsidRPr="00704134" w:rsidRDefault="00B27950" w:rsidP="00B27950">
      <w:pPr>
        <w:pStyle w:val="Head5"/>
      </w:pPr>
      <w:r w:rsidRPr="00704134">
        <w:t>Statistics—Legislative instruments registered and repealed</w:t>
      </w:r>
    </w:p>
    <w:tbl>
      <w:tblPr>
        <w:tblW w:w="7197" w:type="dxa"/>
        <w:tblBorders>
          <w:top w:val="single" w:sz="12" w:space="0" w:color="008000"/>
          <w:bottom w:val="single" w:sz="12" w:space="0" w:color="008000"/>
        </w:tblBorders>
        <w:tblLook w:val="0020" w:firstRow="1" w:lastRow="0" w:firstColumn="0" w:lastColumn="0" w:noHBand="0" w:noVBand="0"/>
      </w:tblPr>
      <w:tblGrid>
        <w:gridCol w:w="1810"/>
        <w:gridCol w:w="2693"/>
        <w:gridCol w:w="2694"/>
      </w:tblGrid>
      <w:tr w:rsidR="0041482C" w:rsidTr="003B5D37">
        <w:trPr>
          <w:trHeight w:val="497"/>
        </w:trPr>
        <w:tc>
          <w:tcPr>
            <w:tcW w:w="1810" w:type="dxa"/>
            <w:tcBorders>
              <w:top w:val="single" w:sz="12" w:space="0" w:color="000000"/>
              <w:bottom w:val="single" w:sz="6" w:space="0" w:color="000000"/>
            </w:tcBorders>
          </w:tcPr>
          <w:p w:rsidR="0041482C" w:rsidRDefault="0041482C" w:rsidP="00DE340C">
            <w:pPr>
              <w:pStyle w:val="Tabletexthead"/>
              <w:jc w:val="right"/>
            </w:pPr>
            <w:r>
              <w:t>Year</w:t>
            </w:r>
          </w:p>
        </w:tc>
        <w:tc>
          <w:tcPr>
            <w:tcW w:w="2693" w:type="dxa"/>
            <w:tcBorders>
              <w:top w:val="single" w:sz="12" w:space="0" w:color="000000"/>
              <w:bottom w:val="single" w:sz="6" w:space="0" w:color="000000"/>
            </w:tcBorders>
            <w:shd w:val="clear" w:color="auto" w:fill="auto"/>
          </w:tcPr>
          <w:p w:rsidR="0041482C" w:rsidRDefault="0041482C" w:rsidP="00DE340C">
            <w:pPr>
              <w:pStyle w:val="Tabletexthead"/>
              <w:jc w:val="right"/>
            </w:pPr>
            <w:r>
              <w:t>Number registered</w:t>
            </w:r>
          </w:p>
        </w:tc>
        <w:tc>
          <w:tcPr>
            <w:tcW w:w="2694" w:type="dxa"/>
            <w:tcBorders>
              <w:top w:val="single" w:sz="12" w:space="0" w:color="000000"/>
              <w:bottom w:val="single" w:sz="6" w:space="0" w:color="000000"/>
            </w:tcBorders>
            <w:shd w:val="clear" w:color="auto" w:fill="auto"/>
          </w:tcPr>
          <w:p w:rsidR="0041482C" w:rsidRDefault="0041482C" w:rsidP="00DE340C">
            <w:pPr>
              <w:pStyle w:val="Tabletexthead"/>
              <w:jc w:val="right"/>
            </w:pPr>
            <w:r>
              <w:t>Number repealed</w:t>
            </w:r>
          </w:p>
        </w:tc>
      </w:tr>
      <w:tr w:rsidR="0041482C" w:rsidRPr="00CB554F" w:rsidTr="003B5D37">
        <w:trPr>
          <w:trHeight w:val="284"/>
        </w:trPr>
        <w:tc>
          <w:tcPr>
            <w:tcW w:w="1810" w:type="dxa"/>
            <w:tcBorders>
              <w:top w:val="single" w:sz="6" w:space="0" w:color="000000"/>
              <w:bottom w:val="nil"/>
            </w:tcBorders>
          </w:tcPr>
          <w:p w:rsidR="0041482C" w:rsidRPr="008C5EDA" w:rsidRDefault="0041482C" w:rsidP="00B7009E">
            <w:pPr>
              <w:pStyle w:val="Tabletext"/>
              <w:keepNext/>
              <w:jc w:val="right"/>
              <w:rPr>
                <w:b/>
                <w:color w:val="0000FF"/>
                <w:szCs w:val="20"/>
              </w:rPr>
            </w:pPr>
            <w:r>
              <w:rPr>
                <w:b/>
                <w:color w:val="0000FF"/>
                <w:szCs w:val="20"/>
              </w:rPr>
              <w:t>201</w:t>
            </w:r>
            <w:r w:rsidR="00B7009E">
              <w:rPr>
                <w:b/>
                <w:color w:val="0000FF"/>
                <w:szCs w:val="20"/>
              </w:rPr>
              <w:t>5</w:t>
            </w:r>
            <w:r>
              <w:rPr>
                <w:b/>
                <w:color w:val="0000FF"/>
                <w:szCs w:val="20"/>
              </w:rPr>
              <w:t>-201</w:t>
            </w:r>
            <w:r w:rsidR="00B7009E">
              <w:rPr>
                <w:b/>
                <w:color w:val="0000FF"/>
                <w:szCs w:val="20"/>
              </w:rPr>
              <w:t>6</w:t>
            </w:r>
          </w:p>
        </w:tc>
        <w:tc>
          <w:tcPr>
            <w:tcW w:w="2693" w:type="dxa"/>
            <w:tcBorders>
              <w:top w:val="single" w:sz="6" w:space="0" w:color="000000"/>
              <w:bottom w:val="nil"/>
            </w:tcBorders>
            <w:shd w:val="clear" w:color="auto" w:fill="auto"/>
            <w:vAlign w:val="bottom"/>
          </w:tcPr>
          <w:p w:rsidR="0041482C" w:rsidRDefault="00B7009E" w:rsidP="00B7009E">
            <w:pPr>
              <w:pStyle w:val="Tabletext"/>
              <w:keepNext/>
              <w:jc w:val="right"/>
              <w:rPr>
                <w:rFonts w:eastAsiaTheme="minorHAnsi"/>
                <w:lang w:eastAsia="en-US"/>
              </w:rPr>
            </w:pPr>
            <w:r>
              <w:rPr>
                <w:rFonts w:eastAsiaTheme="minorHAnsi"/>
                <w:lang w:eastAsia="en-US"/>
              </w:rPr>
              <w:t>2</w:t>
            </w:r>
            <w:r w:rsidR="0041482C">
              <w:rPr>
                <w:rFonts w:eastAsiaTheme="minorHAnsi"/>
                <w:lang w:eastAsia="en-US"/>
              </w:rPr>
              <w:t>,</w:t>
            </w:r>
            <w:r>
              <w:rPr>
                <w:rFonts w:eastAsiaTheme="minorHAnsi"/>
                <w:lang w:eastAsia="en-US"/>
              </w:rPr>
              <w:t>204</w:t>
            </w:r>
          </w:p>
        </w:tc>
        <w:tc>
          <w:tcPr>
            <w:tcW w:w="2694" w:type="dxa"/>
            <w:tcBorders>
              <w:top w:val="single" w:sz="6" w:space="0" w:color="000000"/>
              <w:bottom w:val="nil"/>
            </w:tcBorders>
            <w:shd w:val="clear" w:color="auto" w:fill="auto"/>
          </w:tcPr>
          <w:p w:rsidR="0041482C" w:rsidRDefault="0041482C" w:rsidP="00B7009E">
            <w:pPr>
              <w:pStyle w:val="Tabletext"/>
              <w:keepNext/>
              <w:jc w:val="right"/>
              <w:rPr>
                <w:rFonts w:eastAsiaTheme="minorHAnsi"/>
                <w:lang w:eastAsia="en-US"/>
              </w:rPr>
            </w:pPr>
            <w:r>
              <w:rPr>
                <w:rFonts w:eastAsiaTheme="minorHAnsi"/>
                <w:lang w:eastAsia="en-US"/>
              </w:rPr>
              <w:t>2,</w:t>
            </w:r>
            <w:r w:rsidR="00B7009E">
              <w:rPr>
                <w:rFonts w:eastAsiaTheme="minorHAnsi"/>
                <w:lang w:eastAsia="en-US"/>
              </w:rPr>
              <w:t>292</w:t>
            </w:r>
          </w:p>
        </w:tc>
      </w:tr>
      <w:tr w:rsidR="0041482C" w:rsidRPr="00CB554F" w:rsidTr="003B5D37">
        <w:trPr>
          <w:trHeight w:val="284"/>
        </w:trPr>
        <w:tc>
          <w:tcPr>
            <w:tcW w:w="1810" w:type="dxa"/>
            <w:tcBorders>
              <w:top w:val="nil"/>
              <w:bottom w:val="single" w:sz="12" w:space="0" w:color="000000"/>
            </w:tcBorders>
          </w:tcPr>
          <w:p w:rsidR="0041482C" w:rsidRDefault="0041482C" w:rsidP="00B7009E">
            <w:pPr>
              <w:pStyle w:val="Tabletext"/>
              <w:keepNext/>
              <w:jc w:val="right"/>
              <w:rPr>
                <w:rFonts w:eastAsiaTheme="minorHAnsi"/>
                <w:lang w:eastAsia="en-US"/>
              </w:rPr>
            </w:pPr>
            <w:r w:rsidRPr="008C5EDA">
              <w:rPr>
                <w:b/>
                <w:color w:val="0000FF"/>
                <w:szCs w:val="20"/>
              </w:rPr>
              <w:t>201</w:t>
            </w:r>
            <w:r w:rsidR="00B7009E">
              <w:rPr>
                <w:b/>
                <w:color w:val="0000FF"/>
                <w:szCs w:val="20"/>
              </w:rPr>
              <w:t>4</w:t>
            </w:r>
            <w:r w:rsidRPr="008C5EDA">
              <w:rPr>
                <w:b/>
                <w:color w:val="0000FF"/>
                <w:szCs w:val="20"/>
              </w:rPr>
              <w:t>-201</w:t>
            </w:r>
            <w:r w:rsidR="00B7009E">
              <w:rPr>
                <w:b/>
                <w:color w:val="0000FF"/>
                <w:szCs w:val="20"/>
              </w:rPr>
              <w:t>5</w:t>
            </w:r>
          </w:p>
        </w:tc>
        <w:tc>
          <w:tcPr>
            <w:tcW w:w="2693" w:type="dxa"/>
            <w:tcBorders>
              <w:top w:val="nil"/>
              <w:bottom w:val="single" w:sz="12" w:space="0" w:color="000000"/>
            </w:tcBorders>
            <w:shd w:val="clear" w:color="auto" w:fill="auto"/>
            <w:vAlign w:val="bottom"/>
          </w:tcPr>
          <w:p w:rsidR="0041482C" w:rsidRDefault="0041482C" w:rsidP="00B7009E">
            <w:pPr>
              <w:pStyle w:val="Tabletext"/>
              <w:keepNext/>
              <w:jc w:val="right"/>
            </w:pPr>
            <w:r>
              <w:rPr>
                <w:rFonts w:eastAsiaTheme="minorHAnsi"/>
                <w:lang w:eastAsia="en-US"/>
              </w:rPr>
              <w:t>1,</w:t>
            </w:r>
            <w:r w:rsidR="00B7009E">
              <w:rPr>
                <w:rFonts w:eastAsiaTheme="minorHAnsi"/>
                <w:lang w:eastAsia="en-US"/>
              </w:rPr>
              <w:t>998</w:t>
            </w:r>
          </w:p>
        </w:tc>
        <w:tc>
          <w:tcPr>
            <w:tcW w:w="2694" w:type="dxa"/>
            <w:tcBorders>
              <w:top w:val="nil"/>
              <w:bottom w:val="single" w:sz="12" w:space="0" w:color="000000"/>
            </w:tcBorders>
            <w:shd w:val="clear" w:color="auto" w:fill="auto"/>
          </w:tcPr>
          <w:p w:rsidR="0041482C" w:rsidRDefault="00B7009E" w:rsidP="00B7009E">
            <w:pPr>
              <w:pStyle w:val="Tabletext"/>
              <w:keepNext/>
              <w:jc w:val="right"/>
            </w:pPr>
            <w:r>
              <w:rPr>
                <w:rFonts w:eastAsiaTheme="minorHAnsi"/>
                <w:lang w:eastAsia="en-US"/>
              </w:rPr>
              <w:t>2</w:t>
            </w:r>
            <w:r w:rsidR="0041482C">
              <w:rPr>
                <w:rFonts w:eastAsiaTheme="minorHAnsi"/>
                <w:lang w:eastAsia="en-US"/>
              </w:rPr>
              <w:t>,</w:t>
            </w:r>
            <w:r>
              <w:rPr>
                <w:rFonts w:eastAsiaTheme="minorHAnsi"/>
                <w:lang w:eastAsia="en-US"/>
              </w:rPr>
              <w:t>418</w:t>
            </w:r>
          </w:p>
        </w:tc>
      </w:tr>
    </w:tbl>
    <w:p w:rsidR="00B27950" w:rsidRPr="00704134" w:rsidRDefault="00D11534" w:rsidP="003B5D37">
      <w:pPr>
        <w:pStyle w:val="Head5"/>
        <w:pageBreakBefore/>
      </w:pPr>
      <w:r>
        <w:t>S</w:t>
      </w:r>
      <w:r w:rsidR="00B27950" w:rsidRPr="00704134">
        <w:t>tatistics—</w:t>
      </w:r>
      <w:r w:rsidR="00A06CB9">
        <w:t>Federal Register of Legislation</w:t>
      </w:r>
      <w:r w:rsidR="00B27950" w:rsidRPr="00704134">
        <w:t xml:space="preserve"> website</w:t>
      </w:r>
    </w:p>
    <w:tbl>
      <w:tblPr>
        <w:tblW w:w="7197" w:type="dxa"/>
        <w:tblBorders>
          <w:top w:val="single" w:sz="12" w:space="0" w:color="008000"/>
          <w:bottom w:val="single" w:sz="12" w:space="0" w:color="008000"/>
        </w:tblBorders>
        <w:tblLook w:val="0020" w:firstRow="1" w:lastRow="0" w:firstColumn="0" w:lastColumn="0" w:noHBand="0" w:noVBand="0"/>
      </w:tblPr>
      <w:tblGrid>
        <w:gridCol w:w="1799"/>
        <w:gridCol w:w="1799"/>
        <w:gridCol w:w="1799"/>
        <w:gridCol w:w="1800"/>
      </w:tblGrid>
      <w:tr w:rsidR="0041482C" w:rsidTr="003B5D37">
        <w:trPr>
          <w:trHeight w:val="497"/>
        </w:trPr>
        <w:tc>
          <w:tcPr>
            <w:tcW w:w="1799" w:type="dxa"/>
            <w:tcBorders>
              <w:top w:val="single" w:sz="12" w:space="0" w:color="000000"/>
              <w:bottom w:val="single" w:sz="6" w:space="0" w:color="000000"/>
            </w:tcBorders>
          </w:tcPr>
          <w:p w:rsidR="0041482C" w:rsidRDefault="0041482C" w:rsidP="00DE340C">
            <w:pPr>
              <w:pStyle w:val="Tabletexthead"/>
              <w:jc w:val="right"/>
            </w:pPr>
            <w:r>
              <w:t>Year</w:t>
            </w:r>
          </w:p>
        </w:tc>
        <w:tc>
          <w:tcPr>
            <w:tcW w:w="1799" w:type="dxa"/>
            <w:tcBorders>
              <w:top w:val="single" w:sz="12" w:space="0" w:color="000000"/>
              <w:bottom w:val="single" w:sz="6" w:space="0" w:color="000000"/>
            </w:tcBorders>
            <w:shd w:val="clear" w:color="auto" w:fill="auto"/>
          </w:tcPr>
          <w:p w:rsidR="0041482C" w:rsidRDefault="0041482C" w:rsidP="00DE340C">
            <w:pPr>
              <w:pStyle w:val="Tabletexthead"/>
              <w:jc w:val="right"/>
            </w:pPr>
            <w:r>
              <w:t>Total visits</w:t>
            </w:r>
          </w:p>
        </w:tc>
        <w:tc>
          <w:tcPr>
            <w:tcW w:w="1799" w:type="dxa"/>
            <w:tcBorders>
              <w:top w:val="single" w:sz="12" w:space="0" w:color="000000"/>
              <w:bottom w:val="single" w:sz="6" w:space="0" w:color="000000"/>
            </w:tcBorders>
            <w:shd w:val="clear" w:color="auto" w:fill="auto"/>
          </w:tcPr>
          <w:p w:rsidR="0041482C" w:rsidRDefault="0041482C" w:rsidP="00DE340C">
            <w:pPr>
              <w:pStyle w:val="Tabletexthead"/>
              <w:jc w:val="right"/>
            </w:pPr>
            <w:r>
              <w:t>Total unique visits</w:t>
            </w:r>
          </w:p>
        </w:tc>
        <w:tc>
          <w:tcPr>
            <w:tcW w:w="1800" w:type="dxa"/>
            <w:tcBorders>
              <w:top w:val="single" w:sz="12" w:space="0" w:color="000000"/>
              <w:bottom w:val="single" w:sz="6" w:space="0" w:color="000000"/>
            </w:tcBorders>
          </w:tcPr>
          <w:p w:rsidR="0041482C" w:rsidRDefault="0041482C" w:rsidP="00DE340C">
            <w:pPr>
              <w:pStyle w:val="Tabletexthead"/>
              <w:jc w:val="right"/>
            </w:pPr>
            <w:r>
              <w:t>Total page views</w:t>
            </w:r>
          </w:p>
        </w:tc>
      </w:tr>
      <w:tr w:rsidR="0041482C" w:rsidRPr="00CB554F" w:rsidTr="003B5D37">
        <w:trPr>
          <w:trHeight w:val="284"/>
        </w:trPr>
        <w:tc>
          <w:tcPr>
            <w:tcW w:w="1799" w:type="dxa"/>
            <w:tcBorders>
              <w:top w:val="single" w:sz="6" w:space="0" w:color="000000"/>
              <w:bottom w:val="nil"/>
            </w:tcBorders>
          </w:tcPr>
          <w:p w:rsidR="0041482C" w:rsidRPr="008C5EDA" w:rsidRDefault="0041482C" w:rsidP="00A06CB9">
            <w:pPr>
              <w:pStyle w:val="Tabletext"/>
              <w:keepNext/>
              <w:jc w:val="right"/>
              <w:rPr>
                <w:b/>
                <w:color w:val="0000FF"/>
                <w:szCs w:val="20"/>
              </w:rPr>
            </w:pPr>
            <w:r>
              <w:rPr>
                <w:b/>
                <w:color w:val="0000FF"/>
                <w:szCs w:val="20"/>
              </w:rPr>
              <w:t>201</w:t>
            </w:r>
            <w:r w:rsidR="00A06CB9">
              <w:rPr>
                <w:b/>
                <w:color w:val="0000FF"/>
                <w:szCs w:val="20"/>
              </w:rPr>
              <w:t>5</w:t>
            </w:r>
            <w:r>
              <w:rPr>
                <w:b/>
                <w:color w:val="0000FF"/>
                <w:szCs w:val="20"/>
              </w:rPr>
              <w:t>-201</w:t>
            </w:r>
            <w:r w:rsidR="00A06CB9">
              <w:rPr>
                <w:b/>
                <w:color w:val="0000FF"/>
                <w:szCs w:val="20"/>
              </w:rPr>
              <w:t>6</w:t>
            </w:r>
          </w:p>
        </w:tc>
        <w:tc>
          <w:tcPr>
            <w:tcW w:w="1799" w:type="dxa"/>
            <w:tcBorders>
              <w:top w:val="single" w:sz="6" w:space="0" w:color="000000"/>
              <w:bottom w:val="nil"/>
            </w:tcBorders>
            <w:shd w:val="clear" w:color="auto" w:fill="auto"/>
          </w:tcPr>
          <w:p w:rsidR="0041482C" w:rsidRPr="00147D4F" w:rsidRDefault="0041482C" w:rsidP="00A06CB9">
            <w:pPr>
              <w:pStyle w:val="Tabletext"/>
              <w:keepNext/>
              <w:jc w:val="right"/>
              <w:rPr>
                <w:rFonts w:eastAsiaTheme="minorHAnsi"/>
                <w:lang w:eastAsia="en-US"/>
              </w:rPr>
            </w:pPr>
            <w:r w:rsidRPr="00147D4F">
              <w:rPr>
                <w:rFonts w:eastAsiaTheme="minorHAnsi"/>
                <w:lang w:eastAsia="en-US"/>
              </w:rPr>
              <w:t>7,</w:t>
            </w:r>
            <w:r w:rsidR="00A06CB9">
              <w:rPr>
                <w:rFonts w:eastAsiaTheme="minorHAnsi"/>
                <w:lang w:eastAsia="en-US"/>
              </w:rPr>
              <w:t>636</w:t>
            </w:r>
            <w:r w:rsidRPr="00147D4F">
              <w:rPr>
                <w:rFonts w:eastAsiaTheme="minorHAnsi"/>
                <w:lang w:eastAsia="en-US"/>
              </w:rPr>
              <w:t>,</w:t>
            </w:r>
            <w:r w:rsidR="00A06CB9">
              <w:rPr>
                <w:rFonts w:eastAsiaTheme="minorHAnsi"/>
                <w:lang w:eastAsia="en-US"/>
              </w:rPr>
              <w:t>928</w:t>
            </w:r>
          </w:p>
        </w:tc>
        <w:tc>
          <w:tcPr>
            <w:tcW w:w="1799" w:type="dxa"/>
            <w:tcBorders>
              <w:top w:val="single" w:sz="6" w:space="0" w:color="000000"/>
              <w:bottom w:val="nil"/>
            </w:tcBorders>
            <w:shd w:val="clear" w:color="auto" w:fill="auto"/>
          </w:tcPr>
          <w:p w:rsidR="0041482C" w:rsidRPr="00147D4F" w:rsidRDefault="00A06CB9" w:rsidP="00A06CB9">
            <w:pPr>
              <w:pStyle w:val="Tabletext"/>
              <w:keepNext/>
              <w:jc w:val="right"/>
              <w:rPr>
                <w:rFonts w:eastAsiaTheme="minorHAnsi"/>
                <w:lang w:eastAsia="en-US"/>
              </w:rPr>
            </w:pPr>
            <w:r>
              <w:rPr>
                <w:rFonts w:eastAsiaTheme="minorHAnsi"/>
                <w:lang w:eastAsia="en-US"/>
              </w:rPr>
              <w:t>4</w:t>
            </w:r>
            <w:r w:rsidR="0041482C" w:rsidRPr="00147D4F">
              <w:rPr>
                <w:rFonts w:eastAsiaTheme="minorHAnsi"/>
                <w:lang w:eastAsia="en-US"/>
              </w:rPr>
              <w:t>,</w:t>
            </w:r>
            <w:r>
              <w:rPr>
                <w:rFonts w:eastAsiaTheme="minorHAnsi"/>
                <w:lang w:eastAsia="en-US"/>
              </w:rPr>
              <w:t>170</w:t>
            </w:r>
            <w:r w:rsidR="0041482C" w:rsidRPr="00147D4F">
              <w:rPr>
                <w:rFonts w:eastAsiaTheme="minorHAnsi"/>
                <w:lang w:eastAsia="en-US"/>
              </w:rPr>
              <w:t>,</w:t>
            </w:r>
            <w:r>
              <w:rPr>
                <w:rFonts w:eastAsiaTheme="minorHAnsi"/>
                <w:lang w:eastAsia="en-US"/>
              </w:rPr>
              <w:t>139</w:t>
            </w:r>
          </w:p>
        </w:tc>
        <w:tc>
          <w:tcPr>
            <w:tcW w:w="1800" w:type="dxa"/>
            <w:tcBorders>
              <w:top w:val="single" w:sz="6" w:space="0" w:color="000000"/>
              <w:bottom w:val="nil"/>
            </w:tcBorders>
          </w:tcPr>
          <w:p w:rsidR="0041482C" w:rsidRPr="00147D4F" w:rsidRDefault="0041482C" w:rsidP="00A06CB9">
            <w:pPr>
              <w:pStyle w:val="Tabletext"/>
              <w:keepNext/>
              <w:jc w:val="right"/>
              <w:rPr>
                <w:rFonts w:eastAsiaTheme="minorHAnsi"/>
                <w:lang w:eastAsia="en-US"/>
              </w:rPr>
            </w:pPr>
            <w:r w:rsidRPr="00147D4F">
              <w:rPr>
                <w:rFonts w:eastAsiaTheme="minorHAnsi"/>
                <w:lang w:eastAsia="en-US"/>
              </w:rPr>
              <w:t>2</w:t>
            </w:r>
            <w:r w:rsidR="00A06CB9">
              <w:rPr>
                <w:rFonts w:eastAsiaTheme="minorHAnsi"/>
                <w:lang w:eastAsia="en-US"/>
              </w:rPr>
              <w:t>5</w:t>
            </w:r>
            <w:r w:rsidRPr="00147D4F">
              <w:rPr>
                <w:rFonts w:eastAsiaTheme="minorHAnsi"/>
                <w:lang w:eastAsia="en-US"/>
              </w:rPr>
              <w:t>,</w:t>
            </w:r>
            <w:r w:rsidR="00A06CB9">
              <w:rPr>
                <w:rFonts w:eastAsiaTheme="minorHAnsi"/>
                <w:lang w:eastAsia="en-US"/>
              </w:rPr>
              <w:t>481</w:t>
            </w:r>
            <w:r w:rsidRPr="00147D4F">
              <w:rPr>
                <w:rFonts w:eastAsiaTheme="minorHAnsi"/>
                <w:lang w:eastAsia="en-US"/>
              </w:rPr>
              <w:t>,</w:t>
            </w:r>
            <w:r w:rsidR="00A06CB9">
              <w:rPr>
                <w:rFonts w:eastAsiaTheme="minorHAnsi"/>
                <w:lang w:eastAsia="en-US"/>
              </w:rPr>
              <w:t>132</w:t>
            </w:r>
          </w:p>
        </w:tc>
      </w:tr>
      <w:tr w:rsidR="00A06CB9" w:rsidRPr="00CB554F" w:rsidTr="003B5D37">
        <w:trPr>
          <w:trHeight w:val="284"/>
        </w:trPr>
        <w:tc>
          <w:tcPr>
            <w:tcW w:w="1799" w:type="dxa"/>
            <w:tcBorders>
              <w:top w:val="nil"/>
              <w:bottom w:val="single" w:sz="12" w:space="0" w:color="000000"/>
            </w:tcBorders>
          </w:tcPr>
          <w:p w:rsidR="00A06CB9" w:rsidRDefault="00A06CB9" w:rsidP="00A06CB9">
            <w:pPr>
              <w:pStyle w:val="Tabletext"/>
              <w:keepNext/>
              <w:jc w:val="right"/>
              <w:rPr>
                <w:rFonts w:eastAsiaTheme="minorHAnsi"/>
                <w:lang w:eastAsia="en-US"/>
              </w:rPr>
            </w:pPr>
            <w:r w:rsidRPr="008C5EDA">
              <w:rPr>
                <w:b/>
                <w:color w:val="0000FF"/>
                <w:szCs w:val="20"/>
              </w:rPr>
              <w:t>201</w:t>
            </w:r>
            <w:r>
              <w:rPr>
                <w:b/>
                <w:color w:val="0000FF"/>
                <w:szCs w:val="20"/>
              </w:rPr>
              <w:t>4</w:t>
            </w:r>
            <w:r w:rsidRPr="008C5EDA">
              <w:rPr>
                <w:b/>
                <w:color w:val="0000FF"/>
                <w:szCs w:val="20"/>
              </w:rPr>
              <w:t>-201</w:t>
            </w:r>
            <w:r>
              <w:rPr>
                <w:b/>
                <w:color w:val="0000FF"/>
                <w:szCs w:val="20"/>
              </w:rPr>
              <w:t>5</w:t>
            </w:r>
          </w:p>
        </w:tc>
        <w:tc>
          <w:tcPr>
            <w:tcW w:w="1799" w:type="dxa"/>
            <w:tcBorders>
              <w:top w:val="nil"/>
              <w:bottom w:val="single" w:sz="12" w:space="0" w:color="000000"/>
            </w:tcBorders>
            <w:shd w:val="clear" w:color="auto" w:fill="auto"/>
          </w:tcPr>
          <w:p w:rsidR="00A06CB9" w:rsidRPr="00147D4F" w:rsidRDefault="00A06CB9" w:rsidP="00D72337">
            <w:pPr>
              <w:pStyle w:val="Tabletext"/>
              <w:keepNext/>
              <w:jc w:val="right"/>
              <w:rPr>
                <w:rFonts w:eastAsiaTheme="minorHAnsi"/>
                <w:lang w:eastAsia="en-US"/>
              </w:rPr>
            </w:pPr>
            <w:r w:rsidRPr="00147D4F">
              <w:rPr>
                <w:rFonts w:eastAsiaTheme="minorHAnsi"/>
                <w:lang w:eastAsia="en-US"/>
              </w:rPr>
              <w:t>7,247,055</w:t>
            </w:r>
          </w:p>
        </w:tc>
        <w:tc>
          <w:tcPr>
            <w:tcW w:w="1799" w:type="dxa"/>
            <w:tcBorders>
              <w:top w:val="nil"/>
              <w:bottom w:val="single" w:sz="12" w:space="0" w:color="000000"/>
            </w:tcBorders>
            <w:shd w:val="clear" w:color="auto" w:fill="auto"/>
          </w:tcPr>
          <w:p w:rsidR="00A06CB9" w:rsidRPr="00147D4F" w:rsidRDefault="00A06CB9" w:rsidP="00D72337">
            <w:pPr>
              <w:pStyle w:val="Tabletext"/>
              <w:keepNext/>
              <w:jc w:val="right"/>
              <w:rPr>
                <w:rFonts w:eastAsiaTheme="minorHAnsi"/>
                <w:lang w:eastAsia="en-US"/>
              </w:rPr>
            </w:pPr>
            <w:r w:rsidRPr="00147D4F">
              <w:rPr>
                <w:rFonts w:eastAsiaTheme="minorHAnsi"/>
                <w:lang w:eastAsia="en-US"/>
              </w:rPr>
              <w:t>3,764,336</w:t>
            </w:r>
          </w:p>
        </w:tc>
        <w:tc>
          <w:tcPr>
            <w:tcW w:w="1800" w:type="dxa"/>
            <w:tcBorders>
              <w:top w:val="nil"/>
              <w:bottom w:val="single" w:sz="12" w:space="0" w:color="000000"/>
            </w:tcBorders>
          </w:tcPr>
          <w:p w:rsidR="00A06CB9" w:rsidRPr="00147D4F" w:rsidRDefault="00A06CB9" w:rsidP="00D72337">
            <w:pPr>
              <w:pStyle w:val="Tabletext"/>
              <w:keepNext/>
              <w:jc w:val="right"/>
              <w:rPr>
                <w:rFonts w:eastAsiaTheme="minorHAnsi"/>
                <w:lang w:eastAsia="en-US"/>
              </w:rPr>
            </w:pPr>
            <w:r w:rsidRPr="00147D4F">
              <w:rPr>
                <w:rFonts w:eastAsiaTheme="minorHAnsi"/>
                <w:lang w:eastAsia="en-US"/>
              </w:rPr>
              <w:t>24,196,455</w:t>
            </w:r>
          </w:p>
        </w:tc>
      </w:tr>
    </w:tbl>
    <w:p w:rsidR="009F3E67" w:rsidRDefault="00B27950" w:rsidP="009F3E67">
      <w:pPr>
        <w:pStyle w:val="Tabletext"/>
        <w:spacing w:after="240"/>
        <w:rPr>
          <w:sz w:val="16"/>
          <w:szCs w:val="16"/>
        </w:rPr>
        <w:sectPr w:rsidR="009F3E67">
          <w:headerReference w:type="even" r:id="rId45"/>
          <w:headerReference w:type="default" r:id="rId46"/>
          <w:type w:val="continuous"/>
          <w:pgSz w:w="11907" w:h="16839" w:code="9"/>
          <w:pgMar w:top="1134" w:right="2410" w:bottom="4253" w:left="2410" w:header="510" w:footer="3402" w:gutter="0"/>
          <w:cols w:space="709"/>
          <w:docGrid w:linePitch="326"/>
        </w:sectPr>
      </w:pPr>
      <w:r w:rsidRPr="00704134">
        <w:rPr>
          <w:sz w:val="16"/>
          <w:szCs w:val="16"/>
        </w:rPr>
        <w:t>Note:</w:t>
      </w:r>
      <w:r w:rsidRPr="00704134">
        <w:rPr>
          <w:sz w:val="16"/>
          <w:szCs w:val="16"/>
        </w:rPr>
        <w:tab/>
        <w:t xml:space="preserve">Total unique visitors is the number of unduplicated (counted only once) visitors. Total </w:t>
      </w:r>
      <w:r w:rsidRPr="00704134">
        <w:rPr>
          <w:sz w:val="16"/>
          <w:szCs w:val="16"/>
        </w:rPr>
        <w:tab/>
        <w:t xml:space="preserve">page views is the total number of pages viewed. For page views, repeated views of a </w:t>
      </w:r>
      <w:r w:rsidRPr="00704134">
        <w:rPr>
          <w:sz w:val="16"/>
          <w:szCs w:val="16"/>
        </w:rPr>
        <w:tab/>
        <w:t>single page are counted</w:t>
      </w:r>
      <w:r w:rsidR="0065385A">
        <w:rPr>
          <w:sz w:val="16"/>
          <w:szCs w:val="16"/>
        </w:rPr>
        <w:t>.</w:t>
      </w:r>
    </w:p>
    <w:p w:rsidR="00B27950" w:rsidRPr="00DE444B" w:rsidRDefault="00B27950" w:rsidP="009F3E67">
      <w:pPr>
        <w:pStyle w:val="Head3"/>
      </w:pPr>
      <w:bookmarkStart w:id="60" w:name="_Toc463613737"/>
      <w:r>
        <w:t>Influences on OPC’s performance</w:t>
      </w:r>
      <w:bookmarkEnd w:id="60"/>
    </w:p>
    <w:p w:rsidR="00B27950" w:rsidRDefault="006E4F60" w:rsidP="00B27950">
      <w:pPr>
        <w:pStyle w:val="Head4"/>
      </w:pPr>
      <w:r>
        <w:t>The election period</w:t>
      </w:r>
    </w:p>
    <w:p w:rsidR="006E4F60" w:rsidRDefault="006E4F60" w:rsidP="006E4F60">
      <w:pPr>
        <w:pStyle w:val="BodyNum"/>
      </w:pPr>
      <w:r>
        <w:t>The election period started in early May and ran through until the start of July.</w:t>
      </w:r>
    </w:p>
    <w:p w:rsidR="006E4F60" w:rsidRDefault="006E4F60" w:rsidP="006E4F60">
      <w:pPr>
        <w:pStyle w:val="BodyNum"/>
      </w:pPr>
      <w:r>
        <w:t>This meant that there were less sitting weeks than usual and, therefore, less Bills were introduced than would be expected in a non-election year.</w:t>
      </w:r>
    </w:p>
    <w:p w:rsidR="006E4F60" w:rsidRDefault="006E4F60" w:rsidP="006E4F60">
      <w:pPr>
        <w:pStyle w:val="BodyNum"/>
      </w:pPr>
      <w:r>
        <w:t>During election periods, there is a reduced amount of drafting work to be done. OPC takes advantage of these periods to undertake a range of projects.</w:t>
      </w:r>
    </w:p>
    <w:p w:rsidR="006E4F60" w:rsidRDefault="006E4F60" w:rsidP="006E4F60">
      <w:pPr>
        <w:pStyle w:val="BodyNum"/>
      </w:pPr>
      <w:r>
        <w:t xml:space="preserve">In addition to preparing an incoming </w:t>
      </w:r>
      <w:r w:rsidR="0065385A">
        <w:t>g</w:t>
      </w:r>
      <w:r>
        <w:t>overnment brief, OPC did projects including:</w:t>
      </w:r>
    </w:p>
    <w:p w:rsidR="0026185D" w:rsidRDefault="0026185D" w:rsidP="0026185D">
      <w:pPr>
        <w:pStyle w:val="AnnualReportBullet"/>
        <w:ind w:left="360" w:hanging="360"/>
      </w:pPr>
      <w:r w:rsidRPr="007D538F">
        <w:rPr>
          <w:rFonts w:ascii="Symbol" w:hAnsi="Symbol"/>
        </w:rPr>
        <w:t></w:t>
      </w:r>
      <w:r w:rsidRPr="007D538F">
        <w:rPr>
          <w:rFonts w:ascii="Symbol" w:hAnsi="Symbol"/>
        </w:rPr>
        <w:tab/>
      </w:r>
      <w:r>
        <w:t>preparing a number of training courses;</w:t>
      </w:r>
    </w:p>
    <w:p w:rsidR="006E4F60" w:rsidRDefault="0026185D" w:rsidP="0026185D">
      <w:pPr>
        <w:pStyle w:val="AnnualReportBullet"/>
        <w:ind w:left="360" w:hanging="360"/>
      </w:pPr>
      <w:r w:rsidRPr="007D538F">
        <w:rPr>
          <w:rFonts w:ascii="Symbol" w:hAnsi="Symbol"/>
        </w:rPr>
        <w:t></w:t>
      </w:r>
      <w:r w:rsidRPr="007D538F">
        <w:rPr>
          <w:rFonts w:ascii="Symbol" w:hAnsi="Symbol"/>
        </w:rPr>
        <w:tab/>
      </w:r>
      <w:r>
        <w:t>reviewing our subscriptions to electronic legal resources;</w:t>
      </w:r>
    </w:p>
    <w:p w:rsidR="006E4F60" w:rsidRDefault="0026185D" w:rsidP="0026185D">
      <w:pPr>
        <w:pStyle w:val="AnnualReportBullet"/>
        <w:ind w:left="360" w:hanging="360"/>
      </w:pPr>
      <w:r w:rsidRPr="007D538F">
        <w:rPr>
          <w:rFonts w:ascii="Symbol" w:hAnsi="Symbol"/>
        </w:rPr>
        <w:t></w:t>
      </w:r>
      <w:r w:rsidRPr="007D538F">
        <w:rPr>
          <w:rFonts w:ascii="Symbol" w:hAnsi="Symbol"/>
        </w:rPr>
        <w:tab/>
      </w:r>
      <w:r>
        <w:t>updating a range of notes on drafting issues; and</w:t>
      </w:r>
    </w:p>
    <w:p w:rsidR="006E4F60" w:rsidRPr="00762035" w:rsidRDefault="0026185D" w:rsidP="0026185D">
      <w:pPr>
        <w:pStyle w:val="AnnualReportBullet"/>
        <w:ind w:left="360" w:hanging="360"/>
      </w:pPr>
      <w:r w:rsidRPr="007D538F">
        <w:rPr>
          <w:rFonts w:ascii="Symbol" w:hAnsi="Symbol"/>
        </w:rPr>
        <w:t></w:t>
      </w:r>
      <w:r w:rsidRPr="007D538F">
        <w:rPr>
          <w:rFonts w:ascii="Symbol" w:hAnsi="Symbol"/>
        </w:rPr>
        <w:tab/>
      </w:r>
      <w:r>
        <w:t>preparing and presenting seminars on drafting issues.</w:t>
      </w:r>
    </w:p>
    <w:p w:rsidR="00B27950" w:rsidRPr="002D2BAD" w:rsidRDefault="00B27950" w:rsidP="00B27950">
      <w:pPr>
        <w:pStyle w:val="Head4"/>
      </w:pPr>
      <w:r w:rsidRPr="002D2BAD">
        <w:t>Demand for legislation from particular portfolios</w:t>
      </w:r>
    </w:p>
    <w:p w:rsidR="004E2734" w:rsidRPr="002D2BAD" w:rsidRDefault="004E2734" w:rsidP="004E2734">
      <w:pPr>
        <w:pStyle w:val="BodyNum"/>
      </w:pPr>
      <w:r w:rsidRPr="002D2BAD">
        <w:t>There continued to be a substantial demand for the drafting of legislation fo</w:t>
      </w:r>
      <w:r w:rsidR="0065385A">
        <w:t xml:space="preserve">r the Treasury and </w:t>
      </w:r>
      <w:r w:rsidRPr="002D2BAD">
        <w:t>for th</w:t>
      </w:r>
      <w:r>
        <w:t>e Attorney-General’s portfolio.</w:t>
      </w:r>
    </w:p>
    <w:p w:rsidR="004E2734" w:rsidRPr="002D2BAD" w:rsidRDefault="004E2734" w:rsidP="004E2734">
      <w:pPr>
        <w:pStyle w:val="BodyNum"/>
      </w:pPr>
      <w:r>
        <w:t>Other portfolios</w:t>
      </w:r>
      <w:r w:rsidRPr="002D2BAD">
        <w:t xml:space="preserve"> that requir</w:t>
      </w:r>
      <w:r>
        <w:t>ed substantial resources were Immigration and Border Protection, Agriculture and Water Resources</w:t>
      </w:r>
      <w:r w:rsidR="0026185D">
        <w:t xml:space="preserve">, </w:t>
      </w:r>
      <w:r>
        <w:t>Infrastructure and Regional Development</w:t>
      </w:r>
      <w:r w:rsidR="0065385A">
        <w:t>,</w:t>
      </w:r>
      <w:r>
        <w:t xml:space="preserve"> and Health.</w:t>
      </w:r>
    </w:p>
    <w:p w:rsidR="004E2734" w:rsidRDefault="004E2734" w:rsidP="004E2734">
      <w:pPr>
        <w:pStyle w:val="BodyNum"/>
      </w:pPr>
      <w:r w:rsidRPr="002D2BAD">
        <w:t>Significant instrument p</w:t>
      </w:r>
      <w:r>
        <w:t xml:space="preserve">rojects for the year included, instruments for the </w:t>
      </w:r>
      <w:r w:rsidRPr="00EC5F3D">
        <w:rPr>
          <w:i/>
        </w:rPr>
        <w:t>Biosecurity Act 2015</w:t>
      </w:r>
      <w:r>
        <w:t>, Ordinances and other instruments for the reform of governance arrangements for Norfolk Isla</w:t>
      </w:r>
      <w:r w:rsidR="0065385A">
        <w:t xml:space="preserve">nd, the simplification of </w:t>
      </w:r>
      <w:r w:rsidRPr="00E0448B">
        <w:t>student visas,</w:t>
      </w:r>
      <w:r>
        <w:t xml:space="preserve"> telecommunication amendments to support the government’s data retention legislation, insolvency law reform and court rules.</w:t>
      </w:r>
    </w:p>
    <w:p w:rsidR="000B5385" w:rsidRPr="000B5385" w:rsidRDefault="000B5385" w:rsidP="000B5385">
      <w:pPr>
        <w:pStyle w:val="Head4"/>
      </w:pPr>
      <w:r w:rsidRPr="000B5385">
        <w:t>2015 Spring Repeal Day</w:t>
      </w:r>
    </w:p>
    <w:p w:rsidR="000B5385" w:rsidRPr="000B5385" w:rsidRDefault="000B5385" w:rsidP="000B5385">
      <w:pPr>
        <w:pStyle w:val="BodyNum"/>
      </w:pPr>
      <w:r w:rsidRPr="000B5385">
        <w:t>On the 2015 Spring Repeal Day</w:t>
      </w:r>
      <w:r w:rsidR="0049781E">
        <w:t>,</w:t>
      </w:r>
      <w:r w:rsidRPr="000B5385">
        <w:t xml:space="preserve"> the </w:t>
      </w:r>
      <w:r w:rsidR="0055279D">
        <w:t>g</w:t>
      </w:r>
      <w:r w:rsidRPr="000B5385">
        <w:t>overnment introduced legislation and tabled documents to repeal hundreds of pieces of legislation.</w:t>
      </w:r>
    </w:p>
    <w:p w:rsidR="000B5385" w:rsidRPr="000B5385" w:rsidRDefault="000B5385" w:rsidP="000B5385">
      <w:pPr>
        <w:pStyle w:val="BodyNum"/>
      </w:pPr>
      <w:r w:rsidRPr="000B5385">
        <w:t xml:space="preserve">During the Repeal Day sittings, OPC allocated significant drafting, publications and corporate services resources to prepare for the Repeal Day and respond to the resulting changes to legislation. The allocation of these resources reflected the size of the project and the high priority it was given by the </w:t>
      </w:r>
      <w:r w:rsidR="0055279D">
        <w:t>g</w:t>
      </w:r>
      <w:r w:rsidRPr="000B5385">
        <w:t>overnment.</w:t>
      </w:r>
    </w:p>
    <w:p w:rsidR="000B5385" w:rsidRPr="000B5385" w:rsidRDefault="000B5385" w:rsidP="000B5385">
      <w:pPr>
        <w:pStyle w:val="BodyNum"/>
      </w:pPr>
      <w:r w:rsidRPr="000B5385">
        <w:t xml:space="preserve">The legislation was successfully completed in time for the Repeal Day. Necessary changes to </w:t>
      </w:r>
      <w:r w:rsidR="00584502">
        <w:t xml:space="preserve">the </w:t>
      </w:r>
      <w:r w:rsidR="0049781E">
        <w:t xml:space="preserve">Legislation Register </w:t>
      </w:r>
      <w:r w:rsidRPr="000B5385">
        <w:t>arising from the enactment of repeals have also been successfully completed.</w:t>
      </w:r>
    </w:p>
    <w:p w:rsidR="00B27950" w:rsidRPr="002D2BAD" w:rsidRDefault="00B27950" w:rsidP="00B27950">
      <w:pPr>
        <w:pStyle w:val="Head4"/>
      </w:pPr>
      <w:r w:rsidRPr="002D2BAD">
        <w:t>Exposure drafts</w:t>
      </w:r>
    </w:p>
    <w:p w:rsidR="00B27950" w:rsidRPr="002D2BAD" w:rsidRDefault="00B27950" w:rsidP="00B27950">
      <w:pPr>
        <w:pStyle w:val="BodyNum"/>
      </w:pPr>
      <w:r w:rsidRPr="002D2BAD">
        <w:t xml:space="preserve">OPC’s performance measures in relation to Bills are also affected by an increasing preference of the </w:t>
      </w:r>
      <w:r w:rsidR="0055279D">
        <w:t>g</w:t>
      </w:r>
      <w:r w:rsidRPr="002D2BAD">
        <w:t>overnment, and among many of our clients, for exposing draft legislation for public comment before introduction into Parliament. This infl</w:t>
      </w:r>
      <w:r w:rsidR="005A63E1">
        <w:t xml:space="preserve">uences performance because the </w:t>
      </w:r>
      <w:r w:rsidRPr="002D2BAD">
        <w:t>timeframes to provide resources are tighter for these Bills and further work is often required after consultation.</w:t>
      </w:r>
    </w:p>
    <w:p w:rsidR="00B27950" w:rsidRPr="002D2BAD" w:rsidRDefault="00B27950" w:rsidP="00B27950">
      <w:pPr>
        <w:pStyle w:val="BodyNum"/>
      </w:pPr>
      <w:r w:rsidRPr="002D2BAD">
        <w:t>Since the adoption in 2002 of the Board of Taxation’s recommendations on consultation in the tax area, much of the tax legislation drafted by OPC is exposed for comment, either widely or in targeted consultations, before being finalised for introduction.</w:t>
      </w:r>
    </w:p>
    <w:p w:rsidR="00B27950" w:rsidRPr="002D2BAD" w:rsidRDefault="00B27950" w:rsidP="00B27950">
      <w:pPr>
        <w:pStyle w:val="BodyNum"/>
      </w:pPr>
      <w:r w:rsidRPr="002D2BAD">
        <w:t>There is also an increasing trend towards the release of exposure drafts in other areas.</w:t>
      </w:r>
    </w:p>
    <w:p w:rsidR="00B27950" w:rsidRPr="002D2BAD" w:rsidRDefault="00B27950" w:rsidP="00B27950">
      <w:pPr>
        <w:pStyle w:val="BodyNum"/>
      </w:pPr>
      <w:r w:rsidRPr="002D2BAD">
        <w:t>Sometimes, these exposure drafts are public exposure drafts. At other times, there are exposure drafts that are shown to a limited group with a particular interest in the area covered by the Bill.</w:t>
      </w:r>
    </w:p>
    <w:p w:rsidR="00B27950" w:rsidRPr="002D2BAD" w:rsidRDefault="00B27950" w:rsidP="00B27950">
      <w:pPr>
        <w:pStyle w:val="BodyNum"/>
      </w:pPr>
      <w:r w:rsidRPr="002D2BAD">
        <w:t>Usually, exposure of a draft Bill generates proposals for change, and OPC receives drafting instructions to revise the Bill before introduction.</w:t>
      </w:r>
    </w:p>
    <w:p w:rsidR="00B27950" w:rsidRPr="002D2BAD" w:rsidRDefault="00B27950" w:rsidP="00B27950">
      <w:pPr>
        <w:pStyle w:val="BodyNum"/>
      </w:pPr>
      <w:r w:rsidRPr="002D2BAD">
        <w:t>Sometimes, exposure reveals flaws in the draft Bill. Exposing a Bill for comment also provides an opportunity to improve the drafting of the Bill before introduction. However, the exposure process does absorb extra drafting resources and extends the time taken for the drafting project. This means that, increasingly, the Bills introduced in a particular year may reflect substantial work actually done by OPC in previous years, while work done during the reporting year is less visible.</w:t>
      </w:r>
    </w:p>
    <w:p w:rsidR="00B27950" w:rsidRPr="002D2BAD" w:rsidRDefault="00B27950" w:rsidP="00B27950">
      <w:pPr>
        <w:pStyle w:val="BodyNum"/>
      </w:pPr>
      <w:r w:rsidRPr="002D2BAD">
        <w:t>For instruments, the time required for consultation processes is generally built into the timeframes for development and making. The development period for projects also does not generally ex</w:t>
      </w:r>
      <w:r w:rsidR="00DB5EF4">
        <w:t>tend beyond the financial year.</w:t>
      </w:r>
    </w:p>
    <w:p w:rsidR="00B27950" w:rsidRPr="002D2BAD" w:rsidRDefault="00B27950" w:rsidP="00B27950">
      <w:pPr>
        <w:pStyle w:val="BodyNum"/>
      </w:pPr>
      <w:r w:rsidRPr="002D2BAD">
        <w:t>However, recently there has been more demand for instruments to be drafted and available with a Bill to assist with consideration of the</w:t>
      </w:r>
      <w:r w:rsidR="00926F22">
        <w:t xml:space="preserve"> </w:t>
      </w:r>
      <w:r w:rsidRPr="002D2BAD">
        <w:t>package of changes by Parliament. After the transfer of functions, this work is generally undertaken closely with the Bill drafter and can provide significant efficiencies for the broader project.</w:t>
      </w:r>
    </w:p>
    <w:p w:rsidR="00B27950" w:rsidRDefault="00B27950" w:rsidP="00B27950">
      <w:pPr>
        <w:pStyle w:val="Head4"/>
      </w:pPr>
      <w:r>
        <w:t>OPC’s funding position</w:t>
      </w:r>
    </w:p>
    <w:p w:rsidR="00B27950" w:rsidRPr="00893E62" w:rsidRDefault="004368BC" w:rsidP="00B27950">
      <w:pPr>
        <w:pStyle w:val="BodyNum"/>
      </w:pPr>
      <w:r>
        <w:t>OPC</w:t>
      </w:r>
      <w:r w:rsidR="00ED5DD4">
        <w:t xml:space="preserve">’s </w:t>
      </w:r>
      <w:r>
        <w:t>funding</w:t>
      </w:r>
      <w:r w:rsidR="00ED5DD4">
        <w:t xml:space="preserve"> was reduced by</w:t>
      </w:r>
      <w:r w:rsidR="00F22C78">
        <w:t xml:space="preserve"> $0.56</w:t>
      </w:r>
      <w:r w:rsidR="00ED5DD4">
        <w:t>8</w:t>
      </w:r>
      <w:r w:rsidR="00F22C78">
        <w:t xml:space="preserve"> million </w:t>
      </w:r>
      <w:r w:rsidR="00940D69">
        <w:t>in</w:t>
      </w:r>
      <w:r w:rsidR="00ED5DD4">
        <w:t xml:space="preserve"> the 2015</w:t>
      </w:r>
      <w:r>
        <w:t>-201</w:t>
      </w:r>
      <w:r w:rsidR="00ED5DD4">
        <w:t>6</w:t>
      </w:r>
      <w:r>
        <w:t xml:space="preserve"> year </w:t>
      </w:r>
      <w:r w:rsidR="00ED5DD4">
        <w:t xml:space="preserve">primarily for the ongoing budget measure </w:t>
      </w:r>
      <w:r w:rsidR="00ED5DD4">
        <w:rPr>
          <w:i/>
        </w:rPr>
        <w:t>Attorney-General’s</w:t>
      </w:r>
      <w:r>
        <w:rPr>
          <w:i/>
        </w:rPr>
        <w:t>—</w:t>
      </w:r>
      <w:r w:rsidR="00ED5DD4">
        <w:rPr>
          <w:i/>
        </w:rPr>
        <w:t>one-off efficiency savings to specific agencies</w:t>
      </w:r>
      <w:r>
        <w:t>.</w:t>
      </w:r>
    </w:p>
    <w:p w:rsidR="00B27950" w:rsidRDefault="00B27950" w:rsidP="00B27950">
      <w:pPr>
        <w:pStyle w:val="Head3"/>
      </w:pPr>
      <w:bookmarkStart w:id="61" w:name="_Toc463613738"/>
      <w:r w:rsidRPr="00474FE3">
        <w:t>OPC</w:t>
      </w:r>
      <w:r>
        <w:t>’</w:t>
      </w:r>
      <w:r w:rsidRPr="00474FE3">
        <w:t>s financial performance</w:t>
      </w:r>
      <w:bookmarkEnd w:id="61"/>
    </w:p>
    <w:p w:rsidR="00B27950" w:rsidRDefault="00B27950" w:rsidP="00000055">
      <w:pPr>
        <w:pStyle w:val="BodyNum"/>
      </w:pPr>
      <w:bookmarkStart w:id="62" w:name="_Ref208111384"/>
      <w:r w:rsidRPr="00000055">
        <w:t>The surplus attributable to the Australian Government for OPC for the 201</w:t>
      </w:r>
      <w:r w:rsidR="00015DF6" w:rsidRPr="00000055">
        <w:t>5</w:t>
      </w:r>
      <w:r w:rsidRPr="00000055">
        <w:t>-201</w:t>
      </w:r>
      <w:r w:rsidR="00015DF6" w:rsidRPr="00000055">
        <w:t>6</w:t>
      </w:r>
      <w:r w:rsidRPr="00000055">
        <w:t xml:space="preserve"> financial year was $</w:t>
      </w:r>
      <w:r w:rsidR="00C665AC" w:rsidRPr="00000055">
        <w:t>0.</w:t>
      </w:r>
      <w:r w:rsidR="00DE689A" w:rsidRPr="00000055">
        <w:t>225</w:t>
      </w:r>
      <w:r w:rsidRPr="00000055">
        <w:t xml:space="preserve"> million (after adding back non-cost recovered depreciation, this resulted in a surplus of $</w:t>
      </w:r>
      <w:r w:rsidR="00DE689A" w:rsidRPr="00000055">
        <w:t>1.</w:t>
      </w:r>
      <w:r w:rsidR="00C665AC" w:rsidRPr="00000055">
        <w:t>0</w:t>
      </w:r>
      <w:r w:rsidR="00DE689A" w:rsidRPr="00000055">
        <w:t xml:space="preserve">09 </w:t>
      </w:r>
      <w:r w:rsidRPr="00000055">
        <w:t xml:space="preserve">million). This compares to a surplus </w:t>
      </w:r>
      <w:bookmarkEnd w:id="62"/>
      <w:r w:rsidRPr="00000055">
        <w:t>of $</w:t>
      </w:r>
      <w:r w:rsidR="00F62023" w:rsidRPr="00000055">
        <w:t>0.129</w:t>
      </w:r>
      <w:r w:rsidRPr="00000055">
        <w:t xml:space="preserve"> million for 201</w:t>
      </w:r>
      <w:r w:rsidR="00F62023" w:rsidRPr="00000055">
        <w:t>4</w:t>
      </w:r>
      <w:r w:rsidRPr="00000055">
        <w:t>-201</w:t>
      </w:r>
      <w:r w:rsidR="00F62023" w:rsidRPr="00000055">
        <w:t>5</w:t>
      </w:r>
      <w:r w:rsidRPr="00000055">
        <w:t xml:space="preserve"> (after adding back non-cost recovered depreciation, a surplus of $</w:t>
      </w:r>
      <w:r w:rsidR="00F62023" w:rsidRPr="00000055">
        <w:t>0.739</w:t>
      </w:r>
      <w:r w:rsidRPr="00000055">
        <w:t xml:space="preserve"> million).</w:t>
      </w:r>
    </w:p>
    <w:p w:rsidR="00B27950" w:rsidRDefault="00B27950" w:rsidP="00000055">
      <w:pPr>
        <w:pStyle w:val="BodyNum"/>
      </w:pPr>
      <w:r w:rsidRPr="00000055">
        <w:t xml:space="preserve">Revenue from government </w:t>
      </w:r>
      <w:r w:rsidR="00C665AC" w:rsidRPr="00000055">
        <w:t>de</w:t>
      </w:r>
      <w:r w:rsidRPr="00000055">
        <w:t>creased by $</w:t>
      </w:r>
      <w:r w:rsidR="00F62023" w:rsidRPr="00000055">
        <w:t>1</w:t>
      </w:r>
      <w:r w:rsidR="00C665AC" w:rsidRPr="00000055">
        <w:t>.</w:t>
      </w:r>
      <w:r w:rsidR="00F62023" w:rsidRPr="00000055">
        <w:t>294</w:t>
      </w:r>
      <w:r w:rsidRPr="00000055">
        <w:t xml:space="preserve"> million to $</w:t>
      </w:r>
      <w:r w:rsidR="00C665AC" w:rsidRPr="00000055">
        <w:t>1</w:t>
      </w:r>
      <w:r w:rsidR="00F62023" w:rsidRPr="00000055">
        <w:t>4.139</w:t>
      </w:r>
      <w:r w:rsidRPr="00000055">
        <w:t xml:space="preserve"> million in 201</w:t>
      </w:r>
      <w:r w:rsidR="00A8097B" w:rsidRPr="00000055">
        <w:t>5</w:t>
      </w:r>
      <w:r w:rsidRPr="00000055">
        <w:t>-201</w:t>
      </w:r>
      <w:r w:rsidR="00A8097B" w:rsidRPr="00000055">
        <w:t>6</w:t>
      </w:r>
      <w:r w:rsidRPr="00000055">
        <w:t>, compared to $</w:t>
      </w:r>
      <w:r w:rsidR="00F62023" w:rsidRPr="00000055">
        <w:t>15</w:t>
      </w:r>
      <w:r w:rsidR="00A95450" w:rsidRPr="00000055">
        <w:t>.</w:t>
      </w:r>
      <w:r w:rsidR="00F62023" w:rsidRPr="00000055">
        <w:t>433</w:t>
      </w:r>
      <w:r w:rsidRPr="00000055">
        <w:t xml:space="preserve"> million in 201</w:t>
      </w:r>
      <w:r w:rsidR="00F62023" w:rsidRPr="00000055">
        <w:t>4</w:t>
      </w:r>
      <w:r w:rsidRPr="00000055">
        <w:t>-201</w:t>
      </w:r>
      <w:r w:rsidR="00F62023" w:rsidRPr="00000055">
        <w:t>5</w:t>
      </w:r>
      <w:r w:rsidRPr="00000055">
        <w:t>.</w:t>
      </w:r>
      <w:r w:rsidR="00C665AC" w:rsidRPr="00000055">
        <w:t xml:space="preserve"> This was due to </w:t>
      </w:r>
      <w:r w:rsidR="0023282C" w:rsidRPr="00000055">
        <w:t>the</w:t>
      </w:r>
      <w:r w:rsidR="00C665AC" w:rsidRPr="00000055">
        <w:t xml:space="preserve"> terminat</w:t>
      </w:r>
      <w:r w:rsidR="00A95450" w:rsidRPr="00000055">
        <w:t>ion of funding for the</w:t>
      </w:r>
      <w:r w:rsidR="00F62023" w:rsidRPr="00000055">
        <w:t xml:space="preserve"> </w:t>
      </w:r>
      <w:r w:rsidR="00F62023" w:rsidRPr="00000055">
        <w:rPr>
          <w:i/>
        </w:rPr>
        <w:t>National Security—additional counter-terrorism</w:t>
      </w:r>
      <w:r w:rsidR="00F62023" w:rsidRPr="00000055">
        <w:t xml:space="preserve"> </w:t>
      </w:r>
      <w:r w:rsidR="00A95450" w:rsidRPr="00000055">
        <w:t xml:space="preserve">2014-15 budget measure </w:t>
      </w:r>
      <w:r w:rsidR="00F62023" w:rsidRPr="00000055">
        <w:t xml:space="preserve">and </w:t>
      </w:r>
      <w:r w:rsidR="00A8097B" w:rsidRPr="00000055">
        <w:t>the</w:t>
      </w:r>
      <w:r w:rsidR="00F62023" w:rsidRPr="00000055">
        <w:t xml:space="preserve"> </w:t>
      </w:r>
      <w:r w:rsidR="00F62023" w:rsidRPr="00000055">
        <w:rPr>
          <w:i/>
        </w:rPr>
        <w:t>Attorney-General’s</w:t>
      </w:r>
      <w:r w:rsidR="00A95450" w:rsidRPr="00000055">
        <w:rPr>
          <w:i/>
        </w:rPr>
        <w:t xml:space="preserve">—one-off </w:t>
      </w:r>
      <w:r w:rsidR="00F62023" w:rsidRPr="00000055">
        <w:rPr>
          <w:i/>
        </w:rPr>
        <w:t>efficiency savings</w:t>
      </w:r>
      <w:r w:rsidR="00A95450" w:rsidRPr="00000055">
        <w:rPr>
          <w:i/>
        </w:rPr>
        <w:t xml:space="preserve"> to specific agencies</w:t>
      </w:r>
      <w:r w:rsidR="00F62023" w:rsidRPr="00000055">
        <w:t xml:space="preserve"> m</w:t>
      </w:r>
      <w:r w:rsidR="0023282C" w:rsidRPr="00000055">
        <w:t>easure</w:t>
      </w:r>
      <w:r w:rsidR="00F62023" w:rsidRPr="00000055">
        <w:t xml:space="preserve"> </w:t>
      </w:r>
      <w:r w:rsidR="008873BB" w:rsidRPr="00000055">
        <w:t>announced during the 2015-16 Mid-Year Economic and Fiscal Outlook.</w:t>
      </w:r>
    </w:p>
    <w:p w:rsidR="00B27950" w:rsidRDefault="00B27950" w:rsidP="00000055">
      <w:pPr>
        <w:pStyle w:val="BodyNum"/>
      </w:pPr>
      <w:r w:rsidRPr="00000055">
        <w:t xml:space="preserve">Own-source revenue </w:t>
      </w:r>
      <w:r w:rsidR="00F62023" w:rsidRPr="00000055">
        <w:t>in</w:t>
      </w:r>
      <w:r w:rsidRPr="00000055">
        <w:t>creased by $0.</w:t>
      </w:r>
      <w:r w:rsidR="0023282C" w:rsidRPr="00000055">
        <w:t>1</w:t>
      </w:r>
      <w:r w:rsidR="00F62023" w:rsidRPr="00000055">
        <w:t>54</w:t>
      </w:r>
      <w:r w:rsidRPr="00000055">
        <w:t xml:space="preserve"> million to $6.</w:t>
      </w:r>
      <w:r w:rsidR="00F62023" w:rsidRPr="00000055">
        <w:t>661</w:t>
      </w:r>
      <w:r w:rsidRPr="00000055">
        <w:t xml:space="preserve"> million in 201</w:t>
      </w:r>
      <w:r w:rsidR="00F62023" w:rsidRPr="00000055">
        <w:t>5</w:t>
      </w:r>
      <w:r w:rsidRPr="00000055">
        <w:t>-201</w:t>
      </w:r>
      <w:r w:rsidR="00F62023" w:rsidRPr="00000055">
        <w:t>6</w:t>
      </w:r>
      <w:r w:rsidRPr="00000055">
        <w:t>, compared to $</w:t>
      </w:r>
      <w:r w:rsidR="0023282C" w:rsidRPr="00000055">
        <w:t>6.</w:t>
      </w:r>
      <w:r w:rsidR="00F62023" w:rsidRPr="00000055">
        <w:t>507</w:t>
      </w:r>
      <w:r w:rsidRPr="00000055">
        <w:t xml:space="preserve"> million in 201</w:t>
      </w:r>
      <w:r w:rsidR="00F62023" w:rsidRPr="00000055">
        <w:t>4</w:t>
      </w:r>
      <w:r w:rsidRPr="00000055">
        <w:t>-201</w:t>
      </w:r>
      <w:r w:rsidR="00F62023" w:rsidRPr="00000055">
        <w:t>5</w:t>
      </w:r>
      <w:r w:rsidRPr="00000055">
        <w:t>.</w:t>
      </w:r>
    </w:p>
    <w:p w:rsidR="00000055" w:rsidRDefault="00A8097B" w:rsidP="00000055">
      <w:pPr>
        <w:pStyle w:val="BodyNum"/>
      </w:pPr>
      <w:r w:rsidRPr="00000055">
        <w:t>Total expenses decreased by $1.236 million to $</w:t>
      </w:r>
      <w:r w:rsidR="00431103" w:rsidRPr="00000055">
        <w:t>20.</w:t>
      </w:r>
      <w:r w:rsidRPr="00000055">
        <w:t>575 million in 2015-2016, compared to $21.811 million in 2014-2015.</w:t>
      </w:r>
    </w:p>
    <w:p w:rsidR="00B27950" w:rsidRDefault="00A8097B" w:rsidP="00000055">
      <w:pPr>
        <w:pStyle w:val="BodyNum"/>
      </w:pPr>
      <w:r w:rsidRPr="00000055">
        <w:t xml:space="preserve"> </w:t>
      </w:r>
      <w:r w:rsidR="00B27950" w:rsidRPr="00000055">
        <w:t xml:space="preserve">Employee expenses </w:t>
      </w:r>
      <w:r w:rsidR="00F453AF" w:rsidRPr="00000055">
        <w:t>de</w:t>
      </w:r>
      <w:r w:rsidR="00B27950" w:rsidRPr="00000055">
        <w:t>creased by $0.</w:t>
      </w:r>
      <w:r w:rsidR="00F62023" w:rsidRPr="00000055">
        <w:t>077</w:t>
      </w:r>
      <w:r w:rsidR="00B27950" w:rsidRPr="00000055">
        <w:t xml:space="preserve"> million to $</w:t>
      </w:r>
      <w:r w:rsidR="00F453AF" w:rsidRPr="00000055">
        <w:t>15</w:t>
      </w:r>
      <w:r w:rsidR="00B27950" w:rsidRPr="00000055">
        <w:t>.</w:t>
      </w:r>
      <w:r w:rsidR="00F62023" w:rsidRPr="00000055">
        <w:t>066</w:t>
      </w:r>
      <w:r w:rsidR="00B27950" w:rsidRPr="00000055">
        <w:t xml:space="preserve"> million in 201</w:t>
      </w:r>
      <w:r w:rsidR="00F62023" w:rsidRPr="00000055">
        <w:t>5-</w:t>
      </w:r>
      <w:r w:rsidR="00B27950" w:rsidRPr="00000055">
        <w:t>201</w:t>
      </w:r>
      <w:r w:rsidR="00F62023" w:rsidRPr="00000055">
        <w:t>6</w:t>
      </w:r>
      <w:r w:rsidR="00B27950" w:rsidRPr="00000055">
        <w:t>, compared to $</w:t>
      </w:r>
      <w:r w:rsidR="00F453AF" w:rsidRPr="00000055">
        <w:t>1</w:t>
      </w:r>
      <w:r w:rsidR="00431103" w:rsidRPr="00000055">
        <w:t>5.</w:t>
      </w:r>
      <w:r w:rsidR="00015DF6" w:rsidRPr="00000055">
        <w:t>143</w:t>
      </w:r>
      <w:r w:rsidR="00B27950" w:rsidRPr="00000055">
        <w:t xml:space="preserve"> million in 201</w:t>
      </w:r>
      <w:r w:rsidR="00015DF6" w:rsidRPr="00000055">
        <w:t>4</w:t>
      </w:r>
      <w:r w:rsidR="00F453AF" w:rsidRPr="00000055">
        <w:t>-201</w:t>
      </w:r>
      <w:r w:rsidR="00015DF6" w:rsidRPr="00000055">
        <w:t>5</w:t>
      </w:r>
      <w:r w:rsidR="00B27950" w:rsidRPr="00000055">
        <w:t>.</w:t>
      </w:r>
    </w:p>
    <w:p w:rsidR="00A8097B" w:rsidRDefault="00B27950" w:rsidP="00000055">
      <w:pPr>
        <w:pStyle w:val="BodyNum"/>
      </w:pPr>
      <w:r w:rsidRPr="00000055">
        <w:t xml:space="preserve">Supplier expenses </w:t>
      </w:r>
      <w:r w:rsidR="00015DF6" w:rsidRPr="00000055">
        <w:t>de</w:t>
      </w:r>
      <w:r w:rsidRPr="00000055">
        <w:t>creased by $</w:t>
      </w:r>
      <w:r w:rsidR="00F453AF" w:rsidRPr="00000055">
        <w:t>1.</w:t>
      </w:r>
      <w:r w:rsidR="00015DF6" w:rsidRPr="00000055">
        <w:t>153</w:t>
      </w:r>
      <w:r w:rsidRPr="00000055">
        <w:t xml:space="preserve"> million to $</w:t>
      </w:r>
      <w:r w:rsidR="00015DF6" w:rsidRPr="00000055">
        <w:t>4.032</w:t>
      </w:r>
      <w:r w:rsidRPr="00000055">
        <w:t xml:space="preserve"> million in 201</w:t>
      </w:r>
      <w:r w:rsidR="00015DF6" w:rsidRPr="00000055">
        <w:t>5</w:t>
      </w:r>
      <w:r w:rsidRPr="00000055">
        <w:t>-201</w:t>
      </w:r>
      <w:r w:rsidR="00015DF6" w:rsidRPr="00000055">
        <w:t>6</w:t>
      </w:r>
      <w:r w:rsidRPr="00000055">
        <w:t>, compared to $</w:t>
      </w:r>
      <w:r w:rsidR="00431103" w:rsidRPr="00000055">
        <w:t>5.</w:t>
      </w:r>
      <w:r w:rsidR="00015DF6" w:rsidRPr="00000055">
        <w:t>185</w:t>
      </w:r>
      <w:r w:rsidRPr="00000055">
        <w:t xml:space="preserve"> million in 201</w:t>
      </w:r>
      <w:r w:rsidR="00015DF6" w:rsidRPr="00000055">
        <w:t>4</w:t>
      </w:r>
      <w:r w:rsidRPr="00000055">
        <w:t>-201</w:t>
      </w:r>
      <w:r w:rsidR="00015DF6" w:rsidRPr="00000055">
        <w:t>5</w:t>
      </w:r>
      <w:r w:rsidRPr="00000055">
        <w:t>.</w:t>
      </w:r>
      <w:r w:rsidR="00F453AF" w:rsidRPr="00000055">
        <w:t xml:space="preserve"> </w:t>
      </w:r>
      <w:r w:rsidR="00A8097B" w:rsidRPr="00000055">
        <w:t xml:space="preserve"> This is mainly due to savings in property costs as a result of co-locating staff to a single premise in August 2015.</w:t>
      </w:r>
    </w:p>
    <w:p w:rsidR="00B27950" w:rsidRDefault="00B27950" w:rsidP="00000055">
      <w:pPr>
        <w:pStyle w:val="BodyNum"/>
      </w:pPr>
      <w:r w:rsidRPr="00000055">
        <w:t>At 30 June 201</w:t>
      </w:r>
      <w:r w:rsidR="00015DF6" w:rsidRPr="00000055">
        <w:t>6</w:t>
      </w:r>
      <w:r w:rsidRPr="00000055">
        <w:t>, OPC had net assets (assets less liabilities) of $</w:t>
      </w:r>
      <w:r w:rsidR="00F453AF" w:rsidRPr="00000055">
        <w:t>1</w:t>
      </w:r>
      <w:r w:rsidR="00431103" w:rsidRPr="00000055">
        <w:t>3.</w:t>
      </w:r>
      <w:r w:rsidR="00015DF6" w:rsidRPr="00000055">
        <w:t>656</w:t>
      </w:r>
      <w:r w:rsidRPr="00000055">
        <w:t xml:space="preserve"> million compared to $</w:t>
      </w:r>
      <w:r w:rsidR="00431103" w:rsidRPr="00000055">
        <w:t>12.</w:t>
      </w:r>
      <w:r w:rsidR="00015DF6" w:rsidRPr="00000055">
        <w:t>943</w:t>
      </w:r>
      <w:r w:rsidRPr="00000055">
        <w:t xml:space="preserve"> million for the previous year.</w:t>
      </w:r>
    </w:p>
    <w:p w:rsidR="00B27950" w:rsidRDefault="00B27950" w:rsidP="00000055">
      <w:pPr>
        <w:pStyle w:val="BodyNum"/>
      </w:pPr>
      <w:r w:rsidRPr="00000055">
        <w:t>At 30 June 201</w:t>
      </w:r>
      <w:r w:rsidR="00015DF6" w:rsidRPr="00000055">
        <w:t>6</w:t>
      </w:r>
      <w:r w:rsidRPr="00000055">
        <w:t>, OPC had financial assets of $</w:t>
      </w:r>
      <w:r w:rsidR="00F453AF" w:rsidRPr="00000055">
        <w:t>1</w:t>
      </w:r>
      <w:r w:rsidR="00015DF6" w:rsidRPr="00000055">
        <w:t>5</w:t>
      </w:r>
      <w:r w:rsidR="00431103" w:rsidRPr="00000055">
        <w:t>.</w:t>
      </w:r>
      <w:r w:rsidR="00015DF6" w:rsidRPr="00000055">
        <w:t>040</w:t>
      </w:r>
      <w:r w:rsidRPr="00000055">
        <w:t xml:space="preserve"> million. This includes $1</w:t>
      </w:r>
      <w:r w:rsidR="00431103" w:rsidRPr="00000055">
        <w:t>4.</w:t>
      </w:r>
      <w:r w:rsidR="00015DF6" w:rsidRPr="00000055">
        <w:t xml:space="preserve">202 </w:t>
      </w:r>
      <w:r w:rsidRPr="00000055">
        <w:t>million of undrawn appropriations that are held in the Official Public Account under the Government’s just-in-time drawdown arrangements, and cash at bank of $0.3</w:t>
      </w:r>
      <w:r w:rsidR="00015DF6" w:rsidRPr="00000055">
        <w:t>25</w:t>
      </w:r>
      <w:r w:rsidRPr="00000055">
        <w:t xml:space="preserve"> million.</w:t>
      </w:r>
    </w:p>
    <w:p w:rsidR="00B27950" w:rsidRPr="00000055" w:rsidRDefault="00B27950" w:rsidP="00000055">
      <w:pPr>
        <w:pStyle w:val="BodyNum"/>
        <w:sectPr w:rsidR="00B27950" w:rsidRPr="00000055" w:rsidSect="009F3E67">
          <w:headerReference w:type="even" r:id="rId47"/>
          <w:headerReference w:type="default" r:id="rId48"/>
          <w:type w:val="continuous"/>
          <w:pgSz w:w="11907" w:h="16839" w:code="9"/>
          <w:pgMar w:top="1134" w:right="2410" w:bottom="4253" w:left="2410" w:header="510" w:footer="3402" w:gutter="0"/>
          <w:cols w:num="2" w:space="709"/>
          <w:docGrid w:linePitch="326"/>
        </w:sectPr>
      </w:pPr>
      <w:r w:rsidRPr="00000055">
        <w:t xml:space="preserve">The </w:t>
      </w:r>
      <w:r w:rsidR="00DB5203" w:rsidRPr="00000055">
        <w:t>entity</w:t>
      </w:r>
      <w:r w:rsidRPr="00000055">
        <w:t xml:space="preserve"> resource statement, and expenses </w:t>
      </w:r>
      <w:r w:rsidR="00431103" w:rsidRPr="00000055">
        <w:t>by</w:t>
      </w:r>
      <w:r w:rsidRPr="00000055">
        <w:t xml:space="preserve"> outcome statement, are set out in Appendix A.</w:t>
      </w:r>
    </w:p>
    <w:p w:rsidR="00B37353" w:rsidRPr="001774CC" w:rsidRDefault="00B37353" w:rsidP="00FE49FC">
      <w:pPr>
        <w:pStyle w:val="BodyNum"/>
        <w:numPr>
          <w:ilvl w:val="0"/>
          <w:numId w:val="0"/>
        </w:numPr>
        <w:sectPr w:rsidR="00B37353" w:rsidRPr="001774CC">
          <w:headerReference w:type="even" r:id="rId49"/>
          <w:headerReference w:type="default" r:id="rId50"/>
          <w:footerReference w:type="even" r:id="rId51"/>
          <w:footerReference w:type="default" r:id="rId52"/>
          <w:type w:val="continuous"/>
          <w:pgSz w:w="11907" w:h="16839" w:code="9"/>
          <w:pgMar w:top="1134" w:right="2410" w:bottom="4253" w:left="2410" w:header="510" w:footer="3402" w:gutter="0"/>
          <w:cols w:num="2" w:space="709"/>
          <w:docGrid w:linePitch="326"/>
        </w:sectPr>
      </w:pPr>
    </w:p>
    <w:p w:rsidR="005B3C9D" w:rsidRDefault="005B3C9D" w:rsidP="005B3C9D">
      <w:pPr>
        <w:pStyle w:val="Head2"/>
        <w:sectPr w:rsidR="005B3C9D">
          <w:headerReference w:type="even" r:id="rId53"/>
          <w:headerReference w:type="default" r:id="rId54"/>
          <w:footerReference w:type="even" r:id="rId55"/>
          <w:footerReference w:type="default" r:id="rId56"/>
          <w:pgSz w:w="11907" w:h="16839" w:code="9"/>
          <w:pgMar w:top="1134" w:right="2410" w:bottom="4253" w:left="2410" w:header="510" w:footer="3402" w:gutter="0"/>
          <w:cols w:space="709"/>
          <w:docGrid w:linePitch="326"/>
        </w:sectPr>
      </w:pPr>
      <w:bookmarkStart w:id="63" w:name="_Toc463613739"/>
      <w:r>
        <w:t>Chapter 3—Management and accountability</w:t>
      </w:r>
      <w:bookmarkEnd w:id="63"/>
    </w:p>
    <w:p w:rsidR="005B3C9D" w:rsidRDefault="005B3C9D" w:rsidP="005B3C9D">
      <w:pPr>
        <w:pStyle w:val="Head3"/>
      </w:pPr>
      <w:bookmarkStart w:id="64" w:name="_Toc463613740"/>
      <w:r>
        <w:t>Corporate governance</w:t>
      </w:r>
      <w:bookmarkEnd w:id="64"/>
    </w:p>
    <w:p w:rsidR="005B3C9D" w:rsidRDefault="005B3C9D" w:rsidP="005B3C9D">
      <w:pPr>
        <w:pStyle w:val="Head4"/>
      </w:pPr>
      <w:r>
        <w:t>Accountability</w:t>
      </w:r>
    </w:p>
    <w:p w:rsidR="00B27950" w:rsidRDefault="00B27950" w:rsidP="00B27950">
      <w:pPr>
        <w:pStyle w:val="BodyNum"/>
      </w:pPr>
      <w:bookmarkStart w:id="65" w:name="_Ref113167150"/>
      <w:r>
        <w:t>First Parliamentary Counsel (</w:t>
      </w:r>
      <w:r>
        <w:rPr>
          <w:b/>
          <w:i/>
        </w:rPr>
        <w:t>FPC</w:t>
      </w:r>
      <w:r>
        <w:t>) is accountable to the Parliamentary Business Committee of the Cabinet (</w:t>
      </w:r>
      <w:r w:rsidRPr="00CC517F">
        <w:rPr>
          <w:b/>
          <w:i/>
        </w:rPr>
        <w:t>PBC</w:t>
      </w:r>
      <w:r>
        <w:t>) for the allocation of drafting resources according to the legislation program determined by that Committee. FPC attends PBC meetings (usually held on the Monday of each parliamentary sitting week) to answer questions and provide advice about how the drafting of Bills is progressing.</w:t>
      </w:r>
      <w:bookmarkEnd w:id="65"/>
    </w:p>
    <w:p w:rsidR="005B3C9D" w:rsidRDefault="002D1EF2" w:rsidP="005B3C9D">
      <w:pPr>
        <w:pStyle w:val="Head4"/>
      </w:pPr>
      <w:r>
        <w:t>Senior Management T</w:t>
      </w:r>
      <w:r w:rsidR="005B3C9D">
        <w:t>eam</w:t>
      </w:r>
    </w:p>
    <w:p w:rsidR="00B27950" w:rsidRDefault="00B27950" w:rsidP="00B27950">
      <w:pPr>
        <w:pStyle w:val="BodyNum"/>
      </w:pPr>
      <w:bookmarkStart w:id="66" w:name="_Ref113167091"/>
      <w:r>
        <w:t>FPC takes responsibility for most of the decision-making within OPC on strategic and high-level management issues. FPC is assisted in th</w:t>
      </w:r>
      <w:r w:rsidR="002D1EF2">
        <w:t>is by the other members of the Senior M</w:t>
      </w:r>
      <w:r>
        <w:t>a</w:t>
      </w:r>
      <w:r w:rsidR="002D1EF2">
        <w:t>nagement T</w:t>
      </w:r>
      <w:r>
        <w:t>eam (</w:t>
      </w:r>
      <w:r w:rsidRPr="00933765">
        <w:rPr>
          <w:b/>
          <w:i/>
        </w:rPr>
        <w:t>SMT</w:t>
      </w:r>
      <w:r>
        <w:t>).</w:t>
      </w:r>
      <w:bookmarkEnd w:id="66"/>
    </w:p>
    <w:p w:rsidR="00B27950" w:rsidRDefault="00B27950" w:rsidP="00B27950">
      <w:pPr>
        <w:pStyle w:val="BodyNum"/>
      </w:pPr>
      <w:r>
        <w:t>The SMT consists of:</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First Parliamentary Counsel (Mr Peter Quiggin);</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the two Second Parliamentary Counsel (Ms Marina Farnan</w:t>
      </w:r>
      <w:r w:rsidR="00C93AF7">
        <w:t xml:space="preserve">, </w:t>
      </w:r>
      <w:r>
        <w:t>Mr Iain McMillan</w:t>
      </w:r>
      <w:r w:rsidR="00C93AF7">
        <w:t xml:space="preserve"> until </w:t>
      </w:r>
      <w:r w:rsidR="00303703">
        <w:t>4</w:t>
      </w:r>
      <w:r w:rsidR="00C93AF7">
        <w:t xml:space="preserve"> January 2016, and </w:t>
      </w:r>
      <w:r w:rsidR="00FB764B">
        <w:t xml:space="preserve">Ms </w:t>
      </w:r>
      <w:r w:rsidR="00C93AF7">
        <w:t xml:space="preserve">Meredith Leigh from </w:t>
      </w:r>
      <w:r w:rsidR="002117A5">
        <w:t>1 March 2016</w:t>
      </w:r>
      <w:r>
        <w:t>);</w:t>
      </w:r>
      <w:r w:rsidR="003D0C17">
        <w:t xml:space="preserve"> and</w:t>
      </w:r>
    </w:p>
    <w:p w:rsidR="002117A5" w:rsidRDefault="00B27950" w:rsidP="00B27950">
      <w:pPr>
        <w:pStyle w:val="AnnualReportBullet"/>
        <w:tabs>
          <w:tab w:val="left" w:pos="360"/>
        </w:tabs>
        <w:ind w:left="360" w:hanging="360"/>
      </w:pPr>
      <w:r>
        <w:rPr>
          <w:rFonts w:ascii="Symbol" w:hAnsi="Symbol"/>
        </w:rPr>
        <w:t></w:t>
      </w:r>
      <w:r>
        <w:rPr>
          <w:rFonts w:ascii="Symbol" w:hAnsi="Symbol"/>
        </w:rPr>
        <w:tab/>
      </w:r>
      <w:r>
        <w:t xml:space="preserve">the General Manager, who is also the Chief Finance Officer (Ms Susan </w:t>
      </w:r>
      <w:r w:rsidR="00695A73">
        <w:t>Roberts</w:t>
      </w:r>
      <w:r>
        <w:t>)</w:t>
      </w:r>
      <w:r w:rsidR="002117A5">
        <w:t>; and</w:t>
      </w:r>
    </w:p>
    <w:p w:rsidR="00B27950" w:rsidRDefault="002117A5" w:rsidP="00B27950">
      <w:pPr>
        <w:pStyle w:val="AnnualReportBullet"/>
        <w:tabs>
          <w:tab w:val="left" w:pos="360"/>
        </w:tabs>
        <w:ind w:left="360" w:hanging="360"/>
      </w:pPr>
      <w:r>
        <w:rPr>
          <w:rFonts w:ascii="Symbol" w:hAnsi="Symbol"/>
        </w:rPr>
        <w:t></w:t>
      </w:r>
      <w:r>
        <w:rPr>
          <w:rFonts w:ascii="Symbol" w:hAnsi="Symbol"/>
        </w:rPr>
        <w:tab/>
      </w:r>
      <w:r>
        <w:t>the General Manager Publishing (Ms Aasha Swift)</w:t>
      </w:r>
      <w:r w:rsidR="00B27950">
        <w:t>.</w:t>
      </w:r>
    </w:p>
    <w:p w:rsidR="00B27950" w:rsidRDefault="00B27950" w:rsidP="00B27950">
      <w:pPr>
        <w:pStyle w:val="BodyNum"/>
      </w:pPr>
      <w:r>
        <w:t>The SMT meets regularly. Issues that the team considered during the year included:</w:t>
      </w:r>
    </w:p>
    <w:p w:rsidR="00B27950" w:rsidRPr="002117A5" w:rsidRDefault="00B27950" w:rsidP="00B27950">
      <w:pPr>
        <w:pStyle w:val="AnnualReportBullet"/>
        <w:tabs>
          <w:tab w:val="left" w:pos="360"/>
        </w:tabs>
        <w:ind w:left="360" w:hanging="360"/>
        <w:rPr>
          <w:rFonts w:cs="Arial"/>
        </w:rPr>
      </w:pPr>
      <w:r w:rsidRPr="00061910">
        <w:rPr>
          <w:rFonts w:ascii="Symbol" w:hAnsi="Symbol"/>
        </w:rPr>
        <w:t></w:t>
      </w:r>
      <w:r w:rsidRPr="00061910">
        <w:rPr>
          <w:rFonts w:ascii="Symbol" w:hAnsi="Symbol"/>
        </w:rPr>
        <w:tab/>
      </w:r>
      <w:r w:rsidR="002117A5">
        <w:rPr>
          <w:rFonts w:cs="Arial"/>
        </w:rPr>
        <w:t>finalising</w:t>
      </w:r>
      <w:r w:rsidR="00F7451A">
        <w:rPr>
          <w:rFonts w:cs="Arial"/>
        </w:rPr>
        <w:t xml:space="preserve"> the fit-out </w:t>
      </w:r>
      <w:r w:rsidR="002117A5">
        <w:rPr>
          <w:rFonts w:cs="Arial"/>
        </w:rPr>
        <w:t>and move to the</w:t>
      </w:r>
      <w:r w:rsidR="00F7451A">
        <w:rPr>
          <w:rFonts w:cs="Arial"/>
        </w:rPr>
        <w:t xml:space="preserve"> new premises</w:t>
      </w:r>
      <w:r>
        <w:rPr>
          <w:rFonts w:cs="Arial"/>
        </w:rPr>
        <w:t>;</w:t>
      </w:r>
    </w:p>
    <w:p w:rsidR="00B27950" w:rsidRDefault="00B27950" w:rsidP="00B27950">
      <w:pPr>
        <w:pStyle w:val="AnnualReportBullet"/>
        <w:tabs>
          <w:tab w:val="left" w:pos="360"/>
        </w:tabs>
        <w:ind w:left="360" w:hanging="360"/>
      </w:pPr>
      <w:r w:rsidRPr="00061910">
        <w:rPr>
          <w:rFonts w:ascii="Symbol" w:hAnsi="Symbol"/>
        </w:rPr>
        <w:t></w:t>
      </w:r>
      <w:r w:rsidRPr="00061910">
        <w:rPr>
          <w:rFonts w:ascii="Symbol" w:hAnsi="Symbol"/>
        </w:rPr>
        <w:tab/>
      </w:r>
      <w:r>
        <w:t>State of the Service survey results</w:t>
      </w:r>
      <w:r w:rsidRPr="00061910">
        <w:t>;</w:t>
      </w:r>
    </w:p>
    <w:p w:rsidR="00B27950" w:rsidRPr="00384943" w:rsidRDefault="00B27950" w:rsidP="00B27950">
      <w:pPr>
        <w:pStyle w:val="AnnualReportBullet"/>
        <w:tabs>
          <w:tab w:val="left" w:pos="360"/>
        </w:tabs>
        <w:ind w:left="360" w:hanging="360"/>
      </w:pPr>
      <w:r w:rsidRPr="00061910">
        <w:rPr>
          <w:rFonts w:ascii="Symbol" w:hAnsi="Symbol"/>
        </w:rPr>
        <w:t></w:t>
      </w:r>
      <w:r w:rsidRPr="00061910">
        <w:rPr>
          <w:rFonts w:ascii="Symbol" w:hAnsi="Symbol"/>
        </w:rPr>
        <w:tab/>
      </w:r>
      <w:r w:rsidRPr="00061910">
        <w:t>recruitment policies an</w:t>
      </w:r>
      <w:r>
        <w:t>d strategies;</w:t>
      </w:r>
    </w:p>
    <w:p w:rsidR="00B27950" w:rsidRDefault="00B27950" w:rsidP="00B27950">
      <w:pPr>
        <w:pStyle w:val="AnnualReportBullet"/>
        <w:tabs>
          <w:tab w:val="left" w:pos="360"/>
        </w:tabs>
        <w:ind w:left="360" w:hanging="360"/>
      </w:pPr>
      <w:r w:rsidRPr="00061910">
        <w:rPr>
          <w:rFonts w:ascii="Symbol" w:hAnsi="Symbol"/>
        </w:rPr>
        <w:t></w:t>
      </w:r>
      <w:r w:rsidRPr="00061910">
        <w:rPr>
          <w:rFonts w:ascii="Symbol" w:hAnsi="Symbol"/>
        </w:rPr>
        <w:tab/>
      </w:r>
      <w:r w:rsidRPr="00061910">
        <w:t>corporate governance</w:t>
      </w:r>
      <w:r w:rsidR="00F7451A">
        <w:t>, including the Corporate Plan</w:t>
      </w:r>
      <w:r w:rsidRPr="00061910">
        <w:t>;</w:t>
      </w:r>
    </w:p>
    <w:p w:rsidR="00B27950" w:rsidRPr="00061910" w:rsidRDefault="00B27950" w:rsidP="00B27950">
      <w:pPr>
        <w:pStyle w:val="AnnualReportBullet"/>
        <w:tabs>
          <w:tab w:val="left" w:pos="360"/>
        </w:tabs>
        <w:ind w:left="360" w:hanging="360"/>
      </w:pPr>
      <w:r w:rsidRPr="00061910">
        <w:rPr>
          <w:rFonts w:ascii="Symbol" w:hAnsi="Symbol"/>
        </w:rPr>
        <w:t></w:t>
      </w:r>
      <w:r w:rsidRPr="00061910">
        <w:rPr>
          <w:rFonts w:ascii="Symbol" w:hAnsi="Symbol"/>
        </w:rPr>
        <w:tab/>
      </w:r>
      <w:r>
        <w:t>enterprise bargaining</w:t>
      </w:r>
      <w:r w:rsidRPr="00061910">
        <w:t>;</w:t>
      </w:r>
    </w:p>
    <w:p w:rsidR="00B27950" w:rsidRPr="00384943" w:rsidRDefault="00B27950" w:rsidP="00B27950">
      <w:pPr>
        <w:pStyle w:val="AnnualReportBullet"/>
        <w:tabs>
          <w:tab w:val="left" w:pos="360"/>
        </w:tabs>
        <w:ind w:left="360" w:hanging="360"/>
      </w:pPr>
      <w:r w:rsidRPr="00384943">
        <w:rPr>
          <w:rFonts w:ascii="Symbol" w:hAnsi="Symbol"/>
        </w:rPr>
        <w:t></w:t>
      </w:r>
      <w:r w:rsidRPr="00384943">
        <w:rPr>
          <w:rFonts w:ascii="Symbol" w:hAnsi="Symbol"/>
        </w:rPr>
        <w:tab/>
      </w:r>
      <w:r w:rsidRPr="00384943">
        <w:t>risk management</w:t>
      </w:r>
      <w:r w:rsidR="00460BEA">
        <w:t xml:space="preserve"> and fraud control</w:t>
      </w:r>
      <w:r w:rsidRPr="00384943">
        <w:t>;</w:t>
      </w:r>
    </w:p>
    <w:p w:rsidR="00B27950" w:rsidRPr="00061910" w:rsidRDefault="00B27950" w:rsidP="00B27950">
      <w:pPr>
        <w:pStyle w:val="AnnualReportBullet"/>
        <w:tabs>
          <w:tab w:val="left" w:pos="360"/>
        </w:tabs>
        <w:ind w:left="360" w:hanging="360"/>
      </w:pPr>
      <w:r w:rsidRPr="00061910">
        <w:rPr>
          <w:rFonts w:ascii="Symbol" w:hAnsi="Symbol"/>
        </w:rPr>
        <w:t></w:t>
      </w:r>
      <w:r w:rsidRPr="00061910">
        <w:rPr>
          <w:rFonts w:ascii="Symbol" w:hAnsi="Symbol"/>
        </w:rPr>
        <w:tab/>
      </w:r>
      <w:r w:rsidRPr="00061910">
        <w:t>financial management;</w:t>
      </w:r>
    </w:p>
    <w:p w:rsidR="00B27950" w:rsidRDefault="00B27950" w:rsidP="00B27950">
      <w:pPr>
        <w:pStyle w:val="AnnualReportBullet"/>
        <w:tabs>
          <w:tab w:val="left" w:pos="360"/>
        </w:tabs>
        <w:ind w:left="360" w:hanging="360"/>
      </w:pPr>
      <w:r w:rsidRPr="00061910">
        <w:rPr>
          <w:rFonts w:ascii="Symbol" w:hAnsi="Symbol"/>
        </w:rPr>
        <w:t></w:t>
      </w:r>
      <w:r w:rsidRPr="00061910">
        <w:rPr>
          <w:rFonts w:ascii="Symbol" w:hAnsi="Symbol"/>
        </w:rPr>
        <w:tab/>
      </w:r>
      <w:r w:rsidRPr="00061910">
        <w:t>workforce planning;</w:t>
      </w:r>
    </w:p>
    <w:p w:rsidR="00460BEA" w:rsidRDefault="00460BEA" w:rsidP="00460BEA">
      <w:pPr>
        <w:pStyle w:val="AnnualReportBullet"/>
        <w:tabs>
          <w:tab w:val="left" w:pos="360"/>
        </w:tabs>
        <w:ind w:left="360" w:hanging="360"/>
      </w:pPr>
      <w:r w:rsidRPr="00061910">
        <w:rPr>
          <w:rFonts w:ascii="Symbol" w:hAnsi="Symbol"/>
        </w:rPr>
        <w:t></w:t>
      </w:r>
      <w:r w:rsidRPr="00061910">
        <w:rPr>
          <w:rFonts w:ascii="Symbol" w:hAnsi="Symbol"/>
        </w:rPr>
        <w:tab/>
      </w:r>
      <w:r>
        <w:t>performance management</w:t>
      </w:r>
      <w:r w:rsidRPr="00061910">
        <w:t>;</w:t>
      </w:r>
    </w:p>
    <w:p w:rsidR="00460BEA" w:rsidRDefault="00B27950" w:rsidP="00B27950">
      <w:pPr>
        <w:pStyle w:val="AnnualReportBullet"/>
        <w:tabs>
          <w:tab w:val="left" w:pos="360"/>
        </w:tabs>
        <w:ind w:left="360" w:hanging="360"/>
      </w:pPr>
      <w:r w:rsidRPr="00384943">
        <w:rPr>
          <w:rFonts w:ascii="Symbol" w:hAnsi="Symbol"/>
        </w:rPr>
        <w:t></w:t>
      </w:r>
      <w:r w:rsidRPr="00384943">
        <w:rPr>
          <w:rFonts w:ascii="Symbol" w:hAnsi="Symbol"/>
        </w:rPr>
        <w:tab/>
      </w:r>
      <w:r w:rsidRPr="00384943">
        <w:t>trai</w:t>
      </w:r>
      <w:r w:rsidR="00460BEA">
        <w:t>ning and development</w:t>
      </w:r>
      <w:r w:rsidRPr="00384943">
        <w:t>;</w:t>
      </w:r>
    </w:p>
    <w:p w:rsidR="00460BEA" w:rsidRDefault="00B27950" w:rsidP="00B27950">
      <w:pPr>
        <w:pStyle w:val="AnnualReportBullet"/>
        <w:tabs>
          <w:tab w:val="left" w:pos="360"/>
        </w:tabs>
        <w:ind w:left="360" w:hanging="360"/>
      </w:pPr>
      <w:r>
        <w:t xml:space="preserve"> </w:t>
      </w:r>
      <w:r w:rsidR="00460BEA" w:rsidRPr="00384943">
        <w:rPr>
          <w:rFonts w:ascii="Symbol" w:hAnsi="Symbol"/>
        </w:rPr>
        <w:t></w:t>
      </w:r>
      <w:r w:rsidR="00460BEA" w:rsidRPr="00384943">
        <w:rPr>
          <w:rFonts w:ascii="Symbol" w:hAnsi="Symbol"/>
        </w:rPr>
        <w:tab/>
      </w:r>
      <w:r w:rsidR="00460BEA">
        <w:t>health and wellbeing planning</w:t>
      </w:r>
      <w:r w:rsidR="00460BEA" w:rsidRPr="00384943">
        <w:t>;</w:t>
      </w:r>
      <w:r w:rsidR="00460BEA">
        <w:t xml:space="preserve"> </w:t>
      </w:r>
    </w:p>
    <w:p w:rsidR="00B27950" w:rsidRPr="00384943" w:rsidRDefault="00460BEA" w:rsidP="00B27950">
      <w:pPr>
        <w:pStyle w:val="AnnualReportBullet"/>
        <w:tabs>
          <w:tab w:val="left" w:pos="360"/>
        </w:tabs>
        <w:ind w:left="360" w:hanging="360"/>
      </w:pPr>
      <w:r w:rsidRPr="00384943">
        <w:rPr>
          <w:rFonts w:ascii="Symbol" w:hAnsi="Symbol"/>
        </w:rPr>
        <w:t></w:t>
      </w:r>
      <w:r w:rsidRPr="00384943">
        <w:rPr>
          <w:rFonts w:ascii="Symbol" w:hAnsi="Symbol"/>
        </w:rPr>
        <w:tab/>
      </w:r>
      <w:r>
        <w:t>review of library</w:t>
      </w:r>
      <w:r w:rsidR="000F7B31">
        <w:t xml:space="preserve"> and </w:t>
      </w:r>
      <w:r>
        <w:t>online materials</w:t>
      </w:r>
      <w:r w:rsidRPr="00384943">
        <w:t>;</w:t>
      </w:r>
      <w:r>
        <w:t xml:space="preserve"> </w:t>
      </w:r>
      <w:r w:rsidR="00B27950">
        <w:t>and</w:t>
      </w:r>
    </w:p>
    <w:p w:rsidR="00B27950" w:rsidRPr="00555666" w:rsidRDefault="00B27950" w:rsidP="00B27950">
      <w:pPr>
        <w:pStyle w:val="AnnualReportBullet"/>
        <w:tabs>
          <w:tab w:val="left" w:pos="360"/>
        </w:tabs>
        <w:ind w:left="360" w:hanging="360"/>
      </w:pPr>
      <w:r w:rsidRPr="00384943">
        <w:rPr>
          <w:rFonts w:ascii="Symbol" w:hAnsi="Symbol"/>
        </w:rPr>
        <w:t></w:t>
      </w:r>
      <w:r w:rsidRPr="00384943">
        <w:rPr>
          <w:rFonts w:ascii="Symbol" w:hAnsi="Symbol"/>
        </w:rPr>
        <w:tab/>
      </w:r>
      <w:r w:rsidRPr="00384943">
        <w:t>internal policies, practices and processes.</w:t>
      </w:r>
    </w:p>
    <w:p w:rsidR="005B3C9D" w:rsidRDefault="005B3C9D" w:rsidP="005B3C9D">
      <w:pPr>
        <w:pStyle w:val="Head4"/>
      </w:pPr>
      <w:r>
        <w:t>Workplace Consultative Committee</w:t>
      </w:r>
    </w:p>
    <w:p w:rsidR="005B3C9D" w:rsidRDefault="005B3C9D" w:rsidP="005B3C9D">
      <w:pPr>
        <w:pStyle w:val="BodyNum"/>
      </w:pPr>
      <w:bookmarkStart w:id="67" w:name="_Ref113168684"/>
      <w:r>
        <w:t>OPC places importance on the involvement of staff in the decision-making process. This is achieved through the Workplace Consultative Committee (</w:t>
      </w:r>
      <w:r>
        <w:rPr>
          <w:b/>
          <w:i/>
        </w:rPr>
        <w:t>WCC</w:t>
      </w:r>
      <w:r>
        <w:t>).</w:t>
      </w:r>
    </w:p>
    <w:p w:rsidR="005B3C9D" w:rsidRDefault="005B3C9D" w:rsidP="005B3C9D">
      <w:pPr>
        <w:pStyle w:val="BodyNum"/>
      </w:pPr>
      <w:r>
        <w:t>The membership for the WCC during 201</w:t>
      </w:r>
      <w:r w:rsidR="00303703">
        <w:t>5</w:t>
      </w:r>
      <w:r>
        <w:t>-201</w:t>
      </w:r>
      <w:r w:rsidR="00303703">
        <w:t>6</w:t>
      </w:r>
      <w:r>
        <w:t xml:space="preserve"> consisted of the members of the </w:t>
      </w:r>
      <w:r w:rsidR="002D1EF2">
        <w:t>SMT</w:t>
      </w:r>
      <w:r>
        <w:t xml:space="preserve"> and </w:t>
      </w:r>
      <w:r w:rsidR="00303703">
        <w:t>6</w:t>
      </w:r>
      <w:r>
        <w:t xml:space="preserve"> employee representatives—one representing each of </w:t>
      </w:r>
      <w:r w:rsidR="00F7451A">
        <w:t>2</w:t>
      </w:r>
      <w:r>
        <w:t xml:space="preserve"> drafter workgroups, 2 representing the publications workgroup, </w:t>
      </w:r>
      <w:r w:rsidR="00303703">
        <w:t>one</w:t>
      </w:r>
      <w:r>
        <w:t xml:space="preserve"> representing the corporate services workgroup, and </w:t>
      </w:r>
      <w:r w:rsidR="00303703">
        <w:t>one</w:t>
      </w:r>
      <w:r>
        <w:t xml:space="preserve"> general employee representative.</w:t>
      </w:r>
      <w:bookmarkEnd w:id="67"/>
      <w:r w:rsidR="00303703">
        <w:t xml:space="preserve"> T</w:t>
      </w:r>
      <w:r>
        <w:t>he h</w:t>
      </w:r>
      <w:r w:rsidR="00303703">
        <w:t>ealth and safety representative</w:t>
      </w:r>
      <w:r>
        <w:t xml:space="preserve"> also attends meetings.</w:t>
      </w:r>
    </w:p>
    <w:p w:rsidR="005B3C9D" w:rsidRDefault="005B3C9D" w:rsidP="005B3C9D">
      <w:pPr>
        <w:pStyle w:val="BodyNum"/>
      </w:pPr>
      <w:r>
        <w:t>The WCC is the primary method for consultation with staff on matters other than drafting-related matters. The WCC meets every 6 weeks and is chaired by a staff representative. The WCC has proved to be an effective method of ensuring staff can contribute to decision-making within OPC in an efficient manner.</w:t>
      </w:r>
    </w:p>
    <w:p w:rsidR="005B3C9D" w:rsidRDefault="005B3C9D" w:rsidP="005B3C9D">
      <w:pPr>
        <w:pStyle w:val="Head4"/>
      </w:pPr>
      <w:r>
        <w:t>Audit Committee</w:t>
      </w:r>
    </w:p>
    <w:p w:rsidR="00303703" w:rsidRDefault="005B3C9D" w:rsidP="005B3C9D">
      <w:pPr>
        <w:pStyle w:val="BodyNum"/>
      </w:pPr>
      <w:bookmarkStart w:id="68" w:name="_Ref113168625"/>
      <w:r>
        <w:t>OPC’s Audit Committee consist</w:t>
      </w:r>
      <w:r w:rsidR="00D41E98">
        <w:t>ed</w:t>
      </w:r>
      <w:r>
        <w:t xml:space="preserve"> of</w:t>
      </w:r>
      <w:r w:rsidR="00303703">
        <w:t>:</w:t>
      </w:r>
    </w:p>
    <w:p w:rsidR="00303703" w:rsidRDefault="00303703" w:rsidP="00303703">
      <w:pPr>
        <w:pStyle w:val="AnnualReportBullet"/>
        <w:tabs>
          <w:tab w:val="left" w:pos="360"/>
        </w:tabs>
        <w:ind w:left="360" w:hanging="360"/>
      </w:pPr>
      <w:r>
        <w:rPr>
          <w:rFonts w:ascii="Symbol" w:hAnsi="Symbol"/>
        </w:rPr>
        <w:t></w:t>
      </w:r>
      <w:r>
        <w:rPr>
          <w:rFonts w:ascii="Symbol" w:hAnsi="Symbol"/>
        </w:rPr>
        <w:tab/>
      </w:r>
      <w:r>
        <w:t>Mr Jeff Lamond, wh</w:t>
      </w:r>
      <w:r w:rsidR="002F03FF">
        <w:t>o was the Chair and an independent member</w:t>
      </w:r>
      <w:r>
        <w:t>;</w:t>
      </w:r>
    </w:p>
    <w:p w:rsidR="002F03FF" w:rsidRDefault="002F03FF" w:rsidP="002F03FF">
      <w:pPr>
        <w:pStyle w:val="AnnualReportBullet"/>
        <w:tabs>
          <w:tab w:val="left" w:pos="360"/>
        </w:tabs>
        <w:ind w:left="360" w:hanging="360"/>
      </w:pPr>
      <w:r>
        <w:rPr>
          <w:rFonts w:ascii="Symbol" w:hAnsi="Symbol"/>
        </w:rPr>
        <w:t></w:t>
      </w:r>
      <w:r>
        <w:rPr>
          <w:rFonts w:ascii="Symbol" w:hAnsi="Symbol"/>
        </w:rPr>
        <w:tab/>
      </w:r>
      <w:r>
        <w:t xml:space="preserve">Ms Robyn McClellend who was </w:t>
      </w:r>
      <w:r w:rsidR="00FB764B">
        <w:t>an</w:t>
      </w:r>
      <w:r>
        <w:t xml:space="preserve"> independent member; and</w:t>
      </w:r>
    </w:p>
    <w:p w:rsidR="002F03FF" w:rsidRDefault="002F03FF" w:rsidP="002F03FF">
      <w:pPr>
        <w:pStyle w:val="AnnualReportBullet"/>
        <w:tabs>
          <w:tab w:val="left" w:pos="360"/>
        </w:tabs>
        <w:ind w:left="360" w:hanging="360"/>
      </w:pPr>
      <w:r>
        <w:rPr>
          <w:rFonts w:ascii="Symbol" w:hAnsi="Symbol"/>
        </w:rPr>
        <w:t></w:t>
      </w:r>
      <w:r>
        <w:rPr>
          <w:rFonts w:ascii="Symbol" w:hAnsi="Symbol"/>
        </w:rPr>
        <w:tab/>
      </w:r>
      <w:r>
        <w:t>Ms Sally Beasley who was the OPC member (an SES drafter).</w:t>
      </w:r>
    </w:p>
    <w:p w:rsidR="005B3C9D" w:rsidRDefault="005B3C9D" w:rsidP="005B3C9D">
      <w:pPr>
        <w:pStyle w:val="BodyNum"/>
      </w:pPr>
      <w:r>
        <w:t>In addition, there is a standing invitation to the A</w:t>
      </w:r>
      <w:r w:rsidR="003E05B2">
        <w:t xml:space="preserve">ustralian </w:t>
      </w:r>
      <w:r>
        <w:t>N</w:t>
      </w:r>
      <w:r w:rsidR="003E05B2">
        <w:t xml:space="preserve">ational </w:t>
      </w:r>
      <w:r>
        <w:t>A</w:t>
      </w:r>
      <w:r w:rsidR="003E05B2">
        <w:t xml:space="preserve">udit </w:t>
      </w:r>
      <w:r>
        <w:t>O</w:t>
      </w:r>
      <w:r w:rsidR="003E05B2">
        <w:t>ffice</w:t>
      </w:r>
      <w:r>
        <w:t xml:space="preserve"> to participate in the Audit Committee meetings. The General Manager and the Director Finance also attend meetings.</w:t>
      </w:r>
      <w:bookmarkEnd w:id="68"/>
    </w:p>
    <w:p w:rsidR="005B3C9D" w:rsidRDefault="005B3C9D" w:rsidP="005B3C9D">
      <w:pPr>
        <w:pStyle w:val="BodyNum"/>
      </w:pPr>
      <w:bookmarkStart w:id="69" w:name="_Ref113167190"/>
      <w:r>
        <w:t>During the year, the activities of the Audit Committee included:</w:t>
      </w:r>
      <w:bookmarkEnd w:id="69"/>
    </w:p>
    <w:p w:rsidR="00F7451A" w:rsidRDefault="005B3C9D" w:rsidP="00C0677E">
      <w:pPr>
        <w:pStyle w:val="AnnualReportBullet"/>
        <w:tabs>
          <w:tab w:val="left" w:pos="360"/>
        </w:tabs>
        <w:ind w:left="360" w:hanging="360"/>
      </w:pPr>
      <w:r>
        <w:rPr>
          <w:rFonts w:ascii="Symbol" w:hAnsi="Symbol"/>
        </w:rPr>
        <w:t></w:t>
      </w:r>
      <w:r>
        <w:rPr>
          <w:rFonts w:ascii="Symbol" w:hAnsi="Symbol"/>
        </w:rPr>
        <w:tab/>
      </w:r>
      <w:r>
        <w:t>providing advice to FPC and the General Manager on the preparation and review of OPC’s Financial Statements;</w:t>
      </w:r>
    </w:p>
    <w:p w:rsidR="00C0677E" w:rsidRDefault="00F7451A" w:rsidP="00C0677E">
      <w:pPr>
        <w:pStyle w:val="AnnualReportBullet"/>
        <w:tabs>
          <w:tab w:val="left" w:pos="360"/>
        </w:tabs>
        <w:ind w:left="360" w:hanging="360"/>
      </w:pPr>
      <w:r>
        <w:rPr>
          <w:rFonts w:ascii="Symbol" w:hAnsi="Symbol"/>
        </w:rPr>
        <w:t></w:t>
      </w:r>
      <w:r>
        <w:rPr>
          <w:rFonts w:ascii="Symbol" w:hAnsi="Symbol"/>
        </w:rPr>
        <w:tab/>
      </w:r>
      <w:r>
        <w:t>review of OPC’s Internal Audit</w:t>
      </w:r>
      <w:r w:rsidR="009A0C07">
        <w:t xml:space="preserve"> Plan</w:t>
      </w:r>
      <w:r>
        <w:t xml:space="preserve"> and Risk Management Plan; and</w:t>
      </w:r>
    </w:p>
    <w:p w:rsidR="005B3C9D" w:rsidRDefault="005B3C9D" w:rsidP="005B3C9D">
      <w:pPr>
        <w:pStyle w:val="AnnualReportBullet"/>
        <w:tabs>
          <w:tab w:val="left" w:pos="360"/>
        </w:tabs>
        <w:ind w:left="360" w:hanging="360"/>
      </w:pPr>
      <w:r>
        <w:rPr>
          <w:rFonts w:ascii="Symbol" w:hAnsi="Symbol"/>
        </w:rPr>
        <w:t></w:t>
      </w:r>
      <w:r>
        <w:rPr>
          <w:rFonts w:ascii="Symbol" w:hAnsi="Symbol"/>
        </w:rPr>
        <w:tab/>
      </w:r>
      <w:r>
        <w:t>review of internal audit reports.</w:t>
      </w:r>
    </w:p>
    <w:p w:rsidR="005B3C9D" w:rsidRDefault="005B3C9D" w:rsidP="005B3C9D">
      <w:pPr>
        <w:pStyle w:val="Head4"/>
      </w:pPr>
      <w:r>
        <w:t>Other committees</w:t>
      </w:r>
    </w:p>
    <w:p w:rsidR="005B3C9D" w:rsidRDefault="005B3C9D" w:rsidP="005B3C9D">
      <w:pPr>
        <w:pStyle w:val="BodyNum"/>
      </w:pPr>
      <w:bookmarkStart w:id="70" w:name="_Ref175719679"/>
      <w:r>
        <w:t>Since the establishment of the WCC, the need for other office committees has diminished.</w:t>
      </w:r>
      <w:bookmarkEnd w:id="70"/>
    </w:p>
    <w:p w:rsidR="005B3C9D" w:rsidRDefault="005B3C9D" w:rsidP="005B3C9D">
      <w:pPr>
        <w:pStyle w:val="Head4"/>
      </w:pPr>
      <w:r>
        <w:t>Staff meetings</w:t>
      </w:r>
    </w:p>
    <w:p w:rsidR="005B3C9D" w:rsidRDefault="005B3C9D" w:rsidP="005B3C9D">
      <w:pPr>
        <w:pStyle w:val="BodyNum"/>
      </w:pPr>
      <w:bookmarkStart w:id="71" w:name="_Ref113266977"/>
      <w:r>
        <w:t xml:space="preserve">Regular staff meetings are held monthly except in January and July. </w:t>
      </w:r>
    </w:p>
    <w:p w:rsidR="005B3C9D" w:rsidRDefault="005B3C9D" w:rsidP="005B3C9D">
      <w:pPr>
        <w:pStyle w:val="BodyNum"/>
      </w:pPr>
      <w:r>
        <w:t>The staff meeting is primarily an information meeting, and the agenda provides for FPC and other members of OPC to report on specified aspects of OPC operations and developments, such as the progress of the legislation program, staff movements and IT issues.</w:t>
      </w:r>
      <w:bookmarkEnd w:id="71"/>
    </w:p>
    <w:p w:rsidR="005B3C9D" w:rsidRDefault="005B3C9D" w:rsidP="005B3C9D">
      <w:pPr>
        <w:pStyle w:val="Head3"/>
      </w:pPr>
      <w:bookmarkStart w:id="72" w:name="_Toc463613741"/>
      <w:r>
        <w:t>Risk management and fraud control</w:t>
      </w:r>
      <w:bookmarkEnd w:id="72"/>
    </w:p>
    <w:p w:rsidR="005B3C9D" w:rsidRDefault="0007019A" w:rsidP="005B3C9D">
      <w:pPr>
        <w:pStyle w:val="BodyNum"/>
      </w:pPr>
      <w:r>
        <w:t>During the year, the</w:t>
      </w:r>
      <w:r w:rsidR="005B3C9D">
        <w:t xml:space="preserve"> </w:t>
      </w:r>
      <w:r w:rsidR="00291AD1">
        <w:t xml:space="preserve">annual </w:t>
      </w:r>
      <w:r w:rsidR="005B3C9D">
        <w:t>review</w:t>
      </w:r>
      <w:r w:rsidR="009A0C07">
        <w:t xml:space="preserve"> and update</w:t>
      </w:r>
      <w:r w:rsidR="005B3C9D">
        <w:t xml:space="preserve"> of OPC’s risk management framework was co</w:t>
      </w:r>
      <w:r>
        <w:t>mpleted</w:t>
      </w:r>
      <w:r w:rsidR="005B3C9D">
        <w:t>.</w:t>
      </w:r>
    </w:p>
    <w:p w:rsidR="005B3C9D" w:rsidRDefault="005B3C9D" w:rsidP="005B3C9D">
      <w:pPr>
        <w:pStyle w:val="BodyNum"/>
      </w:pPr>
      <w:r>
        <w:t>OPC has in place a Fraud Control Policy and Plan and appropriate fraud control mechanisms that meet the needs of OPC and comply with the Commonwealth Fr</w:t>
      </w:r>
      <w:r w:rsidR="009A0C07">
        <w:t>aud Control Framework</w:t>
      </w:r>
      <w:r>
        <w:t xml:space="preserve"> for the 201</w:t>
      </w:r>
      <w:r w:rsidR="00291AD1">
        <w:t>5</w:t>
      </w:r>
      <w:r>
        <w:t>-201</w:t>
      </w:r>
      <w:r w:rsidR="00291AD1">
        <w:t>6</w:t>
      </w:r>
      <w:r>
        <w:t xml:space="preserve"> financial year, including reporting</w:t>
      </w:r>
      <w:r w:rsidR="0007019A">
        <w:t xml:space="preserve"> requirements. OPC has reviewed </w:t>
      </w:r>
      <w:r>
        <w:t>the Fraud Control Policy and Plan during the year. The review included an assessment of risks. No additional fraud control initiatives were undertaken as a result of the review.</w:t>
      </w:r>
    </w:p>
    <w:p w:rsidR="005B3C9D" w:rsidRDefault="005B3C9D" w:rsidP="005B3C9D">
      <w:pPr>
        <w:pStyle w:val="BodyNum"/>
      </w:pPr>
      <w:r>
        <w:t>OPC has in place appropriate fraud prevention, detection, investigation, reporting and data collection procedures and processes that meet OPC’s specific needs and comply with the Commo</w:t>
      </w:r>
      <w:r w:rsidR="009A0C07">
        <w:t>nwealth Fraud Control Framework</w:t>
      </w:r>
      <w:r>
        <w:t>.</w:t>
      </w:r>
    </w:p>
    <w:p w:rsidR="005B3C9D" w:rsidRDefault="005B3C9D" w:rsidP="005B3C9D">
      <w:pPr>
        <w:pStyle w:val="BodyNum"/>
      </w:pPr>
      <w:r>
        <w:t xml:space="preserve">A number of internal policies and procedures have been developed and updated to support and complement our </w:t>
      </w:r>
      <w:r w:rsidR="009A0C07">
        <w:t>Accountable Authority</w:t>
      </w:r>
      <w:r>
        <w:t xml:space="preserve"> Instructions, Risk Management Policy and Plan, and Fraud Control Policy and Plan.</w:t>
      </w:r>
    </w:p>
    <w:p w:rsidR="005B3C9D" w:rsidRDefault="005B3C9D" w:rsidP="005B3C9D">
      <w:pPr>
        <w:pStyle w:val="BodyNum"/>
      </w:pPr>
      <w:r>
        <w:t>An integral element of OPC’s risk management framework is business continuity management.</w:t>
      </w:r>
      <w:r w:rsidR="00291AD1">
        <w:t xml:space="preserve"> In 2016-2017, OPC is undertaking a review of the business continuity management framework.</w:t>
      </w:r>
    </w:p>
    <w:p w:rsidR="005B3C9D" w:rsidRDefault="005B3C9D" w:rsidP="005B3C9D">
      <w:pPr>
        <w:pStyle w:val="Head3"/>
      </w:pPr>
      <w:bookmarkStart w:id="73" w:name="_Toc463613742"/>
      <w:r>
        <w:t>Operational risks</w:t>
      </w:r>
      <w:bookmarkEnd w:id="73"/>
    </w:p>
    <w:p w:rsidR="005B3C9D" w:rsidRDefault="005B3C9D" w:rsidP="005B3C9D">
      <w:pPr>
        <w:pStyle w:val="BodyNum"/>
      </w:pPr>
      <w:bookmarkStart w:id="74" w:name="_Ref113169238"/>
      <w:r>
        <w:t>The major areas of operational risk are:</w:t>
      </w:r>
      <w:bookmarkEnd w:id="74"/>
    </w:p>
    <w:p w:rsidR="005B3C9D" w:rsidRDefault="005B3C9D" w:rsidP="005B3C9D">
      <w:pPr>
        <w:pStyle w:val="AnnualReportBullet"/>
        <w:tabs>
          <w:tab w:val="left" w:pos="360"/>
        </w:tabs>
        <w:ind w:left="360" w:hanging="360"/>
      </w:pPr>
      <w:r>
        <w:rPr>
          <w:rFonts w:ascii="Symbol" w:hAnsi="Symbol"/>
        </w:rPr>
        <w:t></w:t>
      </w:r>
      <w:r>
        <w:rPr>
          <w:rFonts w:ascii="Symbol" w:hAnsi="Symbol"/>
        </w:rPr>
        <w:tab/>
      </w:r>
      <w:r>
        <w:t>matters affecting the availability of drafting resources; and</w:t>
      </w:r>
    </w:p>
    <w:p w:rsidR="005B3C9D" w:rsidRDefault="005B3C9D" w:rsidP="005B3C9D">
      <w:pPr>
        <w:pStyle w:val="AnnualReportBullet"/>
        <w:tabs>
          <w:tab w:val="left" w:pos="360"/>
        </w:tabs>
        <w:ind w:left="360" w:hanging="360"/>
      </w:pPr>
      <w:r>
        <w:rPr>
          <w:rFonts w:ascii="Symbol" w:hAnsi="Symbol"/>
        </w:rPr>
        <w:t></w:t>
      </w:r>
      <w:r>
        <w:rPr>
          <w:rFonts w:ascii="Symbol" w:hAnsi="Symbol"/>
        </w:rPr>
        <w:tab/>
      </w:r>
      <w:r>
        <w:t>matters affecting the availability of OPC’s information technology (</w:t>
      </w:r>
      <w:r>
        <w:rPr>
          <w:b/>
          <w:i/>
        </w:rPr>
        <w:t>IT</w:t>
      </w:r>
      <w:r>
        <w:t>) system.</w:t>
      </w:r>
    </w:p>
    <w:p w:rsidR="005B3C9D" w:rsidRDefault="005B3C9D" w:rsidP="005B3C9D">
      <w:pPr>
        <w:pStyle w:val="Head4"/>
      </w:pPr>
      <w:r>
        <w:t>Drafting resources</w:t>
      </w:r>
    </w:p>
    <w:p w:rsidR="005B3C9D" w:rsidRDefault="005B3C9D" w:rsidP="005B3C9D">
      <w:pPr>
        <w:pStyle w:val="BodyNum"/>
      </w:pPr>
      <w:bookmarkStart w:id="75" w:name="_Ref113168751"/>
      <w:r>
        <w:t>To ensure the availability of drafting resources, OPC has adopted measures to address both short-term and long-term operational risks.</w:t>
      </w:r>
      <w:bookmarkEnd w:id="75"/>
    </w:p>
    <w:p w:rsidR="005B3C9D" w:rsidRDefault="005B3C9D" w:rsidP="005B3C9D">
      <w:pPr>
        <w:pStyle w:val="BodyNum"/>
      </w:pPr>
      <w:r>
        <w:t>To address short-term risks, steps are taken to ensure that OPC’s operations are not seriously affected by the absence of individual drafters. The allocation of drafting projects to teams of 2 or more drafters provides some insurance against resource problems caused by unexpected absences of drafters. The team arrangements ensure that current projects can continue in the absence of a team member. Management monitors the leave plans of all drafting staff to ensure that there are no unacceptable shortages of drafting resources caused by planned leave.</w:t>
      </w:r>
    </w:p>
    <w:p w:rsidR="005B3C9D" w:rsidRDefault="005B3C9D" w:rsidP="005B3C9D">
      <w:pPr>
        <w:pStyle w:val="BodyNum"/>
      </w:pPr>
      <w:r>
        <w:t>Addressing long-term risks of the availability of drafting resources is a substantially more complex issue. It takes approximately 5 to 6 years to train a legislative drafter to the point at which they can take sole responsibility for the drafting of Bills. Consequently, ensuring the availability of suitable drafting resources requires all of the following:</w:t>
      </w:r>
    </w:p>
    <w:p w:rsidR="005B3C9D" w:rsidRDefault="005B3C9D" w:rsidP="005B3C9D">
      <w:pPr>
        <w:pStyle w:val="AnnualReportBullet"/>
        <w:tabs>
          <w:tab w:val="left" w:pos="360"/>
        </w:tabs>
        <w:ind w:left="360" w:hanging="360"/>
      </w:pPr>
      <w:r>
        <w:rPr>
          <w:rFonts w:ascii="Symbol" w:hAnsi="Symbol"/>
        </w:rPr>
        <w:t></w:t>
      </w:r>
      <w:r>
        <w:rPr>
          <w:rFonts w:ascii="Symbol" w:hAnsi="Symbol"/>
        </w:rPr>
        <w:tab/>
      </w:r>
      <w:r>
        <w:t>a recruitment program to ensure that high quality lawyers are recruited;</w:t>
      </w:r>
    </w:p>
    <w:p w:rsidR="005B3C9D" w:rsidRDefault="005B3C9D" w:rsidP="005B3C9D">
      <w:pPr>
        <w:pStyle w:val="AnnualReportBullet"/>
        <w:tabs>
          <w:tab w:val="left" w:pos="360"/>
        </w:tabs>
        <w:ind w:left="360" w:hanging="360"/>
      </w:pPr>
      <w:r>
        <w:rPr>
          <w:rFonts w:ascii="Symbol" w:hAnsi="Symbol"/>
        </w:rPr>
        <w:t></w:t>
      </w:r>
      <w:r>
        <w:rPr>
          <w:rFonts w:ascii="Symbol" w:hAnsi="Symbol"/>
        </w:rPr>
        <w:tab/>
      </w:r>
      <w:r>
        <w:t>an approach to training that ensures that recruits are given the opportunity to develop high-level drafting skills in the shortest possible time; and</w:t>
      </w:r>
    </w:p>
    <w:p w:rsidR="005B3C9D" w:rsidRDefault="005B3C9D" w:rsidP="005B3C9D">
      <w:pPr>
        <w:pStyle w:val="AnnualReportBullet"/>
        <w:tabs>
          <w:tab w:val="left" w:pos="360"/>
        </w:tabs>
        <w:ind w:left="360" w:hanging="360"/>
      </w:pPr>
      <w:r>
        <w:rPr>
          <w:rFonts w:ascii="Symbol" w:hAnsi="Symbol"/>
        </w:rPr>
        <w:t></w:t>
      </w:r>
      <w:r>
        <w:rPr>
          <w:rFonts w:ascii="Symbol" w:hAnsi="Symbol"/>
        </w:rPr>
        <w:tab/>
      </w:r>
      <w:r>
        <w:t>the retention of trained drafters through the provision of interesting work, good career opportunities, attractive working conditions and appropriate remuneration.</w:t>
      </w:r>
    </w:p>
    <w:p w:rsidR="00A34A61" w:rsidRDefault="00496328" w:rsidP="009A0C07">
      <w:pPr>
        <w:pStyle w:val="BodyNum"/>
      </w:pPr>
      <w:r>
        <w:t xml:space="preserve">In previous years, OPC’s turnover of drafting staff has been extremely low. This very low </w:t>
      </w:r>
      <w:r w:rsidRPr="009C1C22">
        <w:t>turnover</w:t>
      </w:r>
      <w:r>
        <w:t xml:space="preserve"> (about 3% per annum) enabled OPC to build up a strong group of assistant drafters</w:t>
      </w:r>
      <w:r w:rsidR="00A34A61">
        <w:t>.</w:t>
      </w:r>
    </w:p>
    <w:p w:rsidR="005B3C9D" w:rsidRDefault="005B3C9D" w:rsidP="005B3C9D">
      <w:pPr>
        <w:pStyle w:val="Head4"/>
      </w:pPr>
      <w:r>
        <w:t>Information technology systems</w:t>
      </w:r>
    </w:p>
    <w:p w:rsidR="005B3C9D" w:rsidRDefault="005B3C9D" w:rsidP="005B3C9D">
      <w:pPr>
        <w:pStyle w:val="BodyNum"/>
      </w:pPr>
      <w:bookmarkStart w:id="76" w:name="_Ref113169186"/>
      <w:r>
        <w:t>OP</w:t>
      </w:r>
      <w:r w:rsidR="002D1EF2">
        <w:t xml:space="preserve">C is very dependent upon its IT </w:t>
      </w:r>
      <w:r>
        <w:t>systems. These systems provide substantial efficiencies and are integral to the work of all OPC staff. Therefore, any interruption to the availability of the IT systems would have a major effect upon OPC.</w:t>
      </w:r>
      <w:bookmarkEnd w:id="76"/>
    </w:p>
    <w:p w:rsidR="005B3C9D" w:rsidRDefault="005B3C9D" w:rsidP="005B3C9D">
      <w:pPr>
        <w:pStyle w:val="BodyNum"/>
      </w:pPr>
      <w:r>
        <w:t>Comprehensive risk management and contingency plans have been developed for OPC’s IT system</w:t>
      </w:r>
      <w:r w:rsidR="006A7943">
        <w:t>s</w:t>
      </w:r>
      <w:r>
        <w:t xml:space="preserve">. This has </w:t>
      </w:r>
      <w:r w:rsidR="006A7943">
        <w:t>ensured</w:t>
      </w:r>
      <w:r>
        <w:t xml:space="preserve"> very few interruptions to the availability of OPC’s IT systems. In addition, OPC is prepared for the possibility of major damage to our IT systems.</w:t>
      </w:r>
    </w:p>
    <w:p w:rsidR="005B3C9D" w:rsidRDefault="005B3C9D" w:rsidP="005B3C9D">
      <w:pPr>
        <w:pStyle w:val="BodyNum"/>
      </w:pPr>
      <w:r>
        <w:t>OPC maintains an off-site server facility. This provides OPC with a high level of protection against loss of IT services and plays a key role in OPC’s Business Continuity Management Plan.</w:t>
      </w:r>
    </w:p>
    <w:p w:rsidR="005B3C9D" w:rsidRDefault="005B3C9D" w:rsidP="005B3C9D">
      <w:pPr>
        <w:pStyle w:val="BodyNum"/>
      </w:pPr>
      <w:r>
        <w:t>OPC has reviewed the risk management and contingency plans as part of the work on business continuity management for the whole of OPC.</w:t>
      </w:r>
    </w:p>
    <w:p w:rsidR="00A43CDA" w:rsidRDefault="005B3C9D" w:rsidP="0098330D">
      <w:pPr>
        <w:pStyle w:val="BodyNum"/>
      </w:pPr>
      <w:r>
        <w:t>OPC continued to provide secure remote access to OPC’s IT system</w:t>
      </w:r>
      <w:r w:rsidR="006A7943">
        <w:t>s</w:t>
      </w:r>
      <w:r>
        <w:t xml:space="preserve"> for staff who requested it. This enables staff to perform some work from home and when travelling and also provides a contingency arrangement if OPC’s buildings are unavailable.</w:t>
      </w:r>
    </w:p>
    <w:p w:rsidR="005B3C9D" w:rsidRDefault="005B3C9D" w:rsidP="005B3C9D">
      <w:pPr>
        <w:pStyle w:val="Head3"/>
      </w:pPr>
      <w:bookmarkStart w:id="77" w:name="_Toc463613743"/>
      <w:r>
        <w:t>Maintenance of ethical standards</w:t>
      </w:r>
      <w:bookmarkEnd w:id="77"/>
    </w:p>
    <w:p w:rsidR="005B3C9D" w:rsidRDefault="005B3C9D" w:rsidP="005B3C9D">
      <w:pPr>
        <w:pStyle w:val="BodyNum"/>
      </w:pPr>
      <w:bookmarkStart w:id="78" w:name="_Ref113168772"/>
      <w:r>
        <w:t xml:space="preserve">OPC has taken steps to ensure that staff are aware of their rights and obligations under the </w:t>
      </w:r>
      <w:r>
        <w:rPr>
          <w:i/>
        </w:rPr>
        <w:t>Public Service Act 1999</w:t>
      </w:r>
      <w:r>
        <w:t>. These include training courses for all staff run by senior management and the circulation of materials throughout the office.</w:t>
      </w:r>
      <w:bookmarkEnd w:id="78"/>
    </w:p>
    <w:p w:rsidR="005B3C9D" w:rsidRDefault="005B3C9D" w:rsidP="005B3C9D">
      <w:pPr>
        <w:pStyle w:val="BodyNum"/>
      </w:pPr>
      <w:r>
        <w:t xml:space="preserve">Formal procedures have been established for determining breaches of the Code of Conduct, and for dealing with </w:t>
      </w:r>
      <w:r w:rsidR="00B313AD">
        <w:t>public interest disclosures</w:t>
      </w:r>
      <w:r>
        <w:t>.</w:t>
      </w:r>
    </w:p>
    <w:p w:rsidR="005B3C9D" w:rsidRDefault="005B3C9D" w:rsidP="005B3C9D">
      <w:pPr>
        <w:pStyle w:val="BodyNum"/>
      </w:pPr>
      <w:r>
        <w:t xml:space="preserve">The APS Values, Code of Conduct, </w:t>
      </w:r>
      <w:r w:rsidR="0098330D">
        <w:t>Accountable Authority</w:t>
      </w:r>
      <w:r>
        <w:t xml:space="preserve"> Instructions and other material relevant to ethical conduct are incorporated, as appropriate, into OPC policies and guidelines.</w:t>
      </w:r>
    </w:p>
    <w:p w:rsidR="005B3C9D" w:rsidRDefault="005B3C9D" w:rsidP="005B3C9D">
      <w:pPr>
        <w:pStyle w:val="BodyNum"/>
      </w:pPr>
      <w:r>
        <w:t xml:space="preserve">All new employees to OPC are given a copy of the relevant material during their induction </w:t>
      </w:r>
      <w:r w:rsidR="00CD5F72">
        <w:t>program</w:t>
      </w:r>
      <w:r>
        <w:t xml:space="preserve"> including information about the Australian Public Service Commission’s Ethics Advisory Service. In addition, new employees are provided with the APS online induction </w:t>
      </w:r>
      <w:r w:rsidR="00CD5F72">
        <w:t>program</w:t>
      </w:r>
      <w:r>
        <w:t>.</w:t>
      </w:r>
    </w:p>
    <w:p w:rsidR="005B3C9D" w:rsidRDefault="005B3C9D" w:rsidP="005B3C9D">
      <w:pPr>
        <w:pStyle w:val="BodyNum"/>
      </w:pPr>
      <w:r>
        <w:t>OPC sets very high ethical standards. OPC’s policy on the acceptance of gifts and hospitality appears to be more restrictive than that of most other Commonwealth Government agencies. This policy applies equally to members</w:t>
      </w:r>
      <w:r w:rsidR="00B313AD">
        <w:t xml:space="preserve"> of the SMT and to other staff.</w:t>
      </w:r>
    </w:p>
    <w:p w:rsidR="005B3C9D" w:rsidRDefault="005B3C9D" w:rsidP="005B3C9D">
      <w:pPr>
        <w:pStyle w:val="Head3"/>
      </w:pPr>
      <w:bookmarkStart w:id="79" w:name="_Toc463613744"/>
      <w:r>
        <w:t>SES remuneration</w:t>
      </w:r>
      <w:bookmarkEnd w:id="79"/>
    </w:p>
    <w:p w:rsidR="005B3C9D" w:rsidRDefault="005B3C9D" w:rsidP="005B3C9D">
      <w:pPr>
        <w:pStyle w:val="BodyNum"/>
      </w:pPr>
      <w:bookmarkStart w:id="80" w:name="_Ref113169042"/>
      <w:r>
        <w:t>During the year, remuneration for all SES staff was determined under the OPC SES Enterprise Agreement 2011-2014.</w:t>
      </w:r>
      <w:bookmarkEnd w:id="80"/>
    </w:p>
    <w:p w:rsidR="005B3C9D" w:rsidRDefault="005B3C9D" w:rsidP="005B3C9D">
      <w:pPr>
        <w:pStyle w:val="BodyNum"/>
      </w:pPr>
      <w:bookmarkStart w:id="81" w:name="_Ref79900018"/>
      <w:r>
        <w:t>Under the Enterprise Agreement, SES staff are entitled to the same increases in their base salary as are payable to non-SES staff. In addition, the allowances previously paid to SES staff have been rolled into their base salary. On top of their base salary and in recognition of the value to OPC of retaining trained and experienced senior drafters, SES drafters are entitled to a loading that depends on the particular staff member’s drafting experience. The experience loading is subject to the staff member concerned being appraised as at least “fully effective” each year.</w:t>
      </w:r>
      <w:bookmarkEnd w:id="81"/>
    </w:p>
    <w:p w:rsidR="005B3C9D" w:rsidRDefault="005B3C9D" w:rsidP="002457A5">
      <w:pPr>
        <w:pStyle w:val="Head3"/>
      </w:pPr>
      <w:bookmarkStart w:id="82" w:name="_Toc463613745"/>
      <w:r>
        <w:t>External scrutiny</w:t>
      </w:r>
      <w:bookmarkEnd w:id="82"/>
    </w:p>
    <w:p w:rsidR="005B3C9D" w:rsidRDefault="005B3C9D" w:rsidP="005B3C9D">
      <w:pPr>
        <w:pStyle w:val="BodyNum"/>
      </w:pPr>
      <w:bookmarkStart w:id="83" w:name="_Ref113168794"/>
      <w:r>
        <w:t>There have been no judicial</w:t>
      </w:r>
      <w:r w:rsidR="00D95428">
        <w:t xml:space="preserve"> decisions or decisions of </w:t>
      </w:r>
      <w:r>
        <w:t>administrative tribunals that have had, or may have, a significant direct impact on the operations of OPC.</w:t>
      </w:r>
      <w:bookmarkEnd w:id="83"/>
    </w:p>
    <w:p w:rsidR="005B3C9D" w:rsidRPr="00981CAB" w:rsidRDefault="005B3C9D" w:rsidP="005B3C9D">
      <w:pPr>
        <w:pStyle w:val="BodyNum"/>
        <w:sectPr w:rsidR="005B3C9D" w:rsidRPr="00981CAB">
          <w:headerReference w:type="even" r:id="rId57"/>
          <w:headerReference w:type="default" r:id="rId58"/>
          <w:footerReference w:type="even" r:id="rId59"/>
          <w:footerReference w:type="default" r:id="rId60"/>
          <w:type w:val="continuous"/>
          <w:pgSz w:w="11907" w:h="16839" w:code="9"/>
          <w:pgMar w:top="1134" w:right="2410" w:bottom="4253" w:left="2410" w:header="510" w:footer="3402" w:gutter="0"/>
          <w:cols w:num="2" w:space="709"/>
          <w:docGrid w:linePitch="326"/>
        </w:sectPr>
      </w:pPr>
      <w:r>
        <w:t>There have been no reports on the operations of OPC by the Auditor-General (other than the report on financial statements), a parliamentary committee or the Commonwealth Ombudsman.</w:t>
      </w:r>
    </w:p>
    <w:p w:rsidR="00CB554F" w:rsidRDefault="00CB554F">
      <w:pPr>
        <w:sectPr w:rsidR="00CB554F">
          <w:headerReference w:type="even" r:id="rId61"/>
          <w:headerReference w:type="default" r:id="rId62"/>
          <w:footerReference w:type="even" r:id="rId63"/>
          <w:footerReference w:type="default" r:id="rId64"/>
          <w:type w:val="continuous"/>
          <w:pgSz w:w="11907" w:h="16839" w:code="9"/>
          <w:pgMar w:top="1134" w:right="2410" w:bottom="4253" w:left="2410" w:header="510" w:footer="3402" w:gutter="0"/>
          <w:cols w:num="2" w:space="709"/>
          <w:docGrid w:linePitch="326"/>
        </w:sectPr>
      </w:pPr>
    </w:p>
    <w:p w:rsidR="00CB554F" w:rsidRDefault="00CB554F">
      <w:pPr>
        <w:pStyle w:val="Head2"/>
        <w:sectPr w:rsidR="00CB554F">
          <w:headerReference w:type="even" r:id="rId65"/>
          <w:headerReference w:type="default" r:id="rId66"/>
          <w:footerReference w:type="even" r:id="rId67"/>
          <w:footerReference w:type="default" r:id="rId68"/>
          <w:pgSz w:w="11907" w:h="16839" w:code="9"/>
          <w:pgMar w:top="1134" w:right="2410" w:bottom="4253" w:left="2410" w:header="510" w:footer="3402" w:gutter="0"/>
          <w:cols w:space="709"/>
          <w:docGrid w:linePitch="326"/>
        </w:sectPr>
      </w:pPr>
      <w:bookmarkStart w:id="84" w:name="_Toc463613746"/>
      <w:r>
        <w:t>Chapter 4—Management of human resources</w:t>
      </w:r>
      <w:bookmarkEnd w:id="84"/>
    </w:p>
    <w:p w:rsidR="00AD4488" w:rsidRPr="00CC0035" w:rsidRDefault="00AD4488" w:rsidP="00AD4488">
      <w:pPr>
        <w:pStyle w:val="Head3"/>
      </w:pPr>
      <w:bookmarkStart w:id="85" w:name="_Toc463613747"/>
      <w:r w:rsidRPr="00CC0035">
        <w:t>Survey of OPC staff</w:t>
      </w:r>
      <w:bookmarkEnd w:id="85"/>
    </w:p>
    <w:p w:rsidR="00CC0035" w:rsidRPr="00CC0035" w:rsidRDefault="00AD4488" w:rsidP="00AD4488">
      <w:pPr>
        <w:pStyle w:val="BodyNum"/>
      </w:pPr>
      <w:bookmarkStart w:id="86" w:name="_Ref175720763"/>
      <w:r w:rsidRPr="00CC0035">
        <w:t xml:space="preserve">During May and June </w:t>
      </w:r>
      <w:r w:rsidR="00CC0035" w:rsidRPr="00CC0035">
        <w:t>201</w:t>
      </w:r>
      <w:r w:rsidR="00FB764B">
        <w:t>6</w:t>
      </w:r>
      <w:r w:rsidRPr="00CC0035">
        <w:t xml:space="preserve"> the Australian Public Service Commission (</w:t>
      </w:r>
      <w:r w:rsidRPr="00CC0035">
        <w:rPr>
          <w:b/>
          <w:i/>
        </w:rPr>
        <w:t>APSC</w:t>
      </w:r>
      <w:r w:rsidRPr="00CC0035">
        <w:t>) conducted the 201</w:t>
      </w:r>
      <w:r w:rsidR="00FB764B">
        <w:t>6</w:t>
      </w:r>
      <w:r w:rsidRPr="00CC0035">
        <w:t xml:space="preserve"> State of the Service Employee Census. </w:t>
      </w:r>
      <w:r w:rsidR="00FB764B">
        <w:t>Eighty one</w:t>
      </w:r>
      <w:r w:rsidRPr="00CC0035">
        <w:t xml:space="preserve"> per cent of OPC st</w:t>
      </w:r>
      <w:r w:rsidR="00CC0035" w:rsidRPr="00CC0035">
        <w:t>aff participated in the survey</w:t>
      </w:r>
      <w:r w:rsidR="00D557CE">
        <w:t xml:space="preserve"> ensuring that the results that </w:t>
      </w:r>
      <w:r w:rsidR="00AF06EF">
        <w:t>we</w:t>
      </w:r>
      <w:r w:rsidR="00D557CE">
        <w:t xml:space="preserve"> obtained were representative</w:t>
      </w:r>
      <w:r w:rsidR="00CC0035" w:rsidRPr="00CC0035">
        <w:t>.</w:t>
      </w:r>
    </w:p>
    <w:p w:rsidR="007B7A1A" w:rsidRDefault="00E643A6" w:rsidP="00AD4488">
      <w:pPr>
        <w:pStyle w:val="BodyNum"/>
      </w:pPr>
      <w:r w:rsidRPr="00DE6365">
        <w:t>Overall OPC’s results for 201</w:t>
      </w:r>
      <w:r w:rsidR="005A453F">
        <w:t>6</w:t>
      </w:r>
      <w:r w:rsidRPr="00DE6365">
        <w:t xml:space="preserve"> were </w:t>
      </w:r>
      <w:r w:rsidR="00791A08">
        <w:t xml:space="preserve">largely </w:t>
      </w:r>
      <w:r w:rsidRPr="00DE6365">
        <w:t>consistent with the 201</w:t>
      </w:r>
      <w:r w:rsidR="005A453F">
        <w:t>5</w:t>
      </w:r>
      <w:r w:rsidR="00817117">
        <w:t xml:space="preserve"> results. There were some areas that </w:t>
      </w:r>
      <w:r w:rsidR="00AF06EF">
        <w:t>we</w:t>
      </w:r>
      <w:r w:rsidR="00817117">
        <w:t xml:space="preserve"> improved on and some areas where results were less positive. However,</w:t>
      </w:r>
      <w:r w:rsidRPr="00DE6365">
        <w:t xml:space="preserve"> </w:t>
      </w:r>
      <w:r w:rsidR="00817117">
        <w:t>in nearly all areas the results were</w:t>
      </w:r>
      <w:r w:rsidRPr="00DE6365">
        <w:t xml:space="preserve"> higher than the </w:t>
      </w:r>
      <w:r w:rsidR="00817117">
        <w:t xml:space="preserve">overall </w:t>
      </w:r>
      <w:r w:rsidRPr="00DE6365">
        <w:t>APS results for 201</w:t>
      </w:r>
      <w:r w:rsidR="005A453F">
        <w:t>6</w:t>
      </w:r>
      <w:r w:rsidR="007B7A1A">
        <w:t>.</w:t>
      </w:r>
    </w:p>
    <w:p w:rsidR="00AD4488" w:rsidRDefault="00CC0035" w:rsidP="007B7A1A">
      <w:pPr>
        <w:pStyle w:val="BodyNum"/>
      </w:pPr>
      <w:r>
        <w:t xml:space="preserve">The reporting below </w:t>
      </w:r>
      <w:r w:rsidR="003207DE">
        <w:t>compares</w:t>
      </w:r>
      <w:r>
        <w:t xml:space="preserve"> OPC’s </w:t>
      </w:r>
      <w:r w:rsidR="00DE6365">
        <w:t xml:space="preserve">results </w:t>
      </w:r>
      <w:r w:rsidR="000D19D6">
        <w:t xml:space="preserve">(from staff who responded to the survey) </w:t>
      </w:r>
      <w:r w:rsidR="00DE6365">
        <w:t xml:space="preserve">for </w:t>
      </w:r>
      <w:r>
        <w:t>201</w:t>
      </w:r>
      <w:r w:rsidR="00135990">
        <w:t>6</w:t>
      </w:r>
      <w:r>
        <w:t xml:space="preserve"> to OPC’s results</w:t>
      </w:r>
      <w:r w:rsidR="00791A08">
        <w:t xml:space="preserve"> for 201</w:t>
      </w:r>
      <w:r w:rsidR="00135990">
        <w:t>5</w:t>
      </w:r>
      <w:r>
        <w:t xml:space="preserve">, and </w:t>
      </w:r>
      <w:r w:rsidR="00DE6365">
        <w:t xml:space="preserve">to the APS </w:t>
      </w:r>
      <w:r>
        <w:t>results</w:t>
      </w:r>
      <w:r w:rsidR="00DE6365">
        <w:t xml:space="preserve"> for 201</w:t>
      </w:r>
      <w:r w:rsidR="00135990">
        <w:t>6</w:t>
      </w:r>
      <w:r w:rsidR="00D43157">
        <w:t>.</w:t>
      </w:r>
      <w:r w:rsidR="007B7A1A">
        <w:t xml:space="preserve"> </w:t>
      </w:r>
      <w:r w:rsidR="00D43157">
        <w:t>W</w:t>
      </w:r>
      <w:r w:rsidR="007B7A1A">
        <w:t>here percentages</w:t>
      </w:r>
      <w:r w:rsidR="0051723C">
        <w:t>/scores</w:t>
      </w:r>
      <w:r w:rsidR="007B7A1A">
        <w:t xml:space="preserve"> are set out below, the result in bold is the OPC percentage</w:t>
      </w:r>
      <w:r w:rsidR="0051723C">
        <w:t>/score</w:t>
      </w:r>
      <w:r w:rsidR="007B7A1A">
        <w:t xml:space="preserve"> for 201</w:t>
      </w:r>
      <w:r w:rsidR="00135990">
        <w:t>6</w:t>
      </w:r>
      <w:r w:rsidR="007B7A1A">
        <w:t>, the result in normal font is the OPC percentage</w:t>
      </w:r>
      <w:r w:rsidR="0051723C">
        <w:t>/score</w:t>
      </w:r>
      <w:r w:rsidR="007B7A1A">
        <w:t xml:space="preserve"> for 201</w:t>
      </w:r>
      <w:r w:rsidR="00135990">
        <w:t>5</w:t>
      </w:r>
      <w:r w:rsidR="007B7A1A">
        <w:t xml:space="preserve"> and the result in italics is the APS percentage</w:t>
      </w:r>
      <w:r w:rsidR="0051723C">
        <w:t>/score</w:t>
      </w:r>
      <w:r w:rsidR="00D43157">
        <w:t xml:space="preserve"> for 201</w:t>
      </w:r>
      <w:r w:rsidR="00135990">
        <w:t>6</w:t>
      </w:r>
      <w:r w:rsidR="007B7A1A">
        <w:t>.</w:t>
      </w:r>
    </w:p>
    <w:p w:rsidR="00105644" w:rsidRDefault="00105644" w:rsidP="00105644">
      <w:pPr>
        <w:pStyle w:val="Head4"/>
      </w:pPr>
      <w:r>
        <w:t>Major change for OPC</w:t>
      </w:r>
    </w:p>
    <w:p w:rsidR="00105644" w:rsidRDefault="00105644" w:rsidP="00105644">
      <w:pPr>
        <w:pStyle w:val="BodyNum"/>
      </w:pPr>
      <w:r>
        <w:t xml:space="preserve">For the 2016 survey, </w:t>
      </w:r>
      <w:r w:rsidRPr="00F51860">
        <w:rPr>
          <w:b/>
        </w:rPr>
        <w:t>78%</w:t>
      </w:r>
      <w:r>
        <w:t xml:space="preserve"> of staff agreed that the move to the new premises was the single biggest workplace change experienced. The subsequent response rates for change management of </w:t>
      </w:r>
      <w:r>
        <w:rPr>
          <w:b/>
        </w:rPr>
        <w:t>70%</w:t>
      </w:r>
      <w:r>
        <w:t xml:space="preserve"> and </w:t>
      </w:r>
      <w:r>
        <w:rPr>
          <w:b/>
        </w:rPr>
        <w:t>78%</w:t>
      </w:r>
      <w:r>
        <w:t xml:space="preserve"> for satisfaction with how well these changes were communicated, and </w:t>
      </w:r>
      <w:r w:rsidR="00AF06EF">
        <w:t xml:space="preserve">the </w:t>
      </w:r>
      <w:r>
        <w:t>likely impact on the team’s ability to do their work in the longer-term</w:t>
      </w:r>
      <w:r w:rsidR="00AF06EF">
        <w:t>,</w:t>
      </w:r>
      <w:r>
        <w:t xml:space="preserve"> were pleasing to see.</w:t>
      </w:r>
    </w:p>
    <w:p w:rsidR="00105644" w:rsidRDefault="00105644" w:rsidP="00105644">
      <w:pPr>
        <w:pStyle w:val="BodyNum"/>
      </w:pPr>
      <w:r>
        <w:t xml:space="preserve">Further, </w:t>
      </w:r>
      <w:r>
        <w:rPr>
          <w:b/>
        </w:rPr>
        <w:t xml:space="preserve">88% </w:t>
      </w:r>
      <w:r>
        <w:t>of OPC staff agreed with the OPC specific question, that the new premises has had a positive effect on OPC’s cohesiveness as an organisation.</w:t>
      </w:r>
    </w:p>
    <w:p w:rsidR="007B7A1A" w:rsidRDefault="007B7A1A" w:rsidP="007B7A1A">
      <w:pPr>
        <w:pStyle w:val="Head4"/>
      </w:pPr>
      <w:r>
        <w:t>Working environment</w:t>
      </w:r>
    </w:p>
    <w:p w:rsidR="00817117" w:rsidRDefault="00135990" w:rsidP="00817117">
      <w:pPr>
        <w:pStyle w:val="BodyNum"/>
      </w:pPr>
      <w:r w:rsidRPr="00817117">
        <w:rPr>
          <w:b/>
        </w:rPr>
        <w:t>73</w:t>
      </w:r>
      <w:r w:rsidR="005D3518" w:rsidRPr="00817117">
        <w:rPr>
          <w:b/>
        </w:rPr>
        <w:t>%</w:t>
      </w:r>
      <w:r w:rsidR="005D3518">
        <w:t xml:space="preserve"> of OPC </w:t>
      </w:r>
      <w:r w:rsidR="000D19D6">
        <w:t>staff</w:t>
      </w:r>
      <w:r w:rsidR="005D3518">
        <w:t xml:space="preserve"> agreed that they were proud to work at OPC (</w:t>
      </w:r>
      <w:r w:rsidR="009F6A06">
        <w:t xml:space="preserve">compared to </w:t>
      </w:r>
      <w:r>
        <w:t>77</w:t>
      </w:r>
      <w:r w:rsidR="005D3518">
        <w:t xml:space="preserve">% </w:t>
      </w:r>
      <w:r w:rsidR="006A4EAA">
        <w:t>for OPC</w:t>
      </w:r>
      <w:r w:rsidR="00D824AB">
        <w:t xml:space="preserve"> in 201</w:t>
      </w:r>
      <w:r>
        <w:t>5</w:t>
      </w:r>
      <w:r w:rsidR="009F6A06">
        <w:t xml:space="preserve"> </w:t>
      </w:r>
      <w:r w:rsidR="005D3518">
        <w:t xml:space="preserve">and </w:t>
      </w:r>
      <w:r w:rsidR="004475F5" w:rsidRPr="00817117">
        <w:rPr>
          <w:i/>
        </w:rPr>
        <w:t>67</w:t>
      </w:r>
      <w:r w:rsidR="009F6A06" w:rsidRPr="00817117">
        <w:rPr>
          <w:i/>
        </w:rPr>
        <w:t>%</w:t>
      </w:r>
      <w:r w:rsidR="009F6A06">
        <w:t xml:space="preserve"> for the APS</w:t>
      </w:r>
      <w:r w:rsidR="006A4EAA">
        <w:t xml:space="preserve"> in 201</w:t>
      </w:r>
      <w:r>
        <w:t>6</w:t>
      </w:r>
      <w:r w:rsidR="009F6A06">
        <w:t>)</w:t>
      </w:r>
      <w:r w:rsidR="009C36E4">
        <w:t xml:space="preserve">; and </w:t>
      </w:r>
      <w:r w:rsidRPr="00817117">
        <w:rPr>
          <w:b/>
        </w:rPr>
        <w:t>86</w:t>
      </w:r>
      <w:r w:rsidR="009C36E4" w:rsidRPr="00817117">
        <w:rPr>
          <w:b/>
        </w:rPr>
        <w:t>%</w:t>
      </w:r>
      <w:r w:rsidR="009C36E4">
        <w:t xml:space="preserve"> of OPC </w:t>
      </w:r>
      <w:r w:rsidR="000D19D6">
        <w:t>staff</w:t>
      </w:r>
      <w:r w:rsidR="009C36E4">
        <w:t xml:space="preserve"> were satisfied with their non-monetary employment conditions, such as leave</w:t>
      </w:r>
      <w:r w:rsidR="003207DE">
        <w:t>,</w:t>
      </w:r>
      <w:r w:rsidR="009C36E4">
        <w:t xml:space="preserve"> flexible work arrangements and other benefits (compared to </w:t>
      </w:r>
      <w:r>
        <w:t>82</w:t>
      </w:r>
      <w:r w:rsidR="009C36E4">
        <w:t>% for OPC</w:t>
      </w:r>
      <w:r w:rsidR="00D824AB">
        <w:t xml:space="preserve"> in 201</w:t>
      </w:r>
      <w:r>
        <w:t>5</w:t>
      </w:r>
      <w:r w:rsidR="009C36E4">
        <w:t xml:space="preserve"> and </w:t>
      </w:r>
      <w:r w:rsidR="00D824AB" w:rsidRPr="00817117">
        <w:rPr>
          <w:i/>
        </w:rPr>
        <w:t>76</w:t>
      </w:r>
      <w:r w:rsidR="009C36E4" w:rsidRPr="00817117">
        <w:rPr>
          <w:i/>
        </w:rPr>
        <w:t>%</w:t>
      </w:r>
      <w:r w:rsidR="009C36E4">
        <w:t xml:space="preserve"> for the APS in 201</w:t>
      </w:r>
      <w:r>
        <w:t>6</w:t>
      </w:r>
      <w:r w:rsidR="009C36E4">
        <w:t>)</w:t>
      </w:r>
      <w:r w:rsidR="009F6A06">
        <w:t>.</w:t>
      </w:r>
    </w:p>
    <w:p w:rsidR="009F6A06" w:rsidRDefault="009F6A06" w:rsidP="009F6A06">
      <w:pPr>
        <w:pStyle w:val="Head4"/>
      </w:pPr>
      <w:r>
        <w:t>Employee engagement</w:t>
      </w:r>
    </w:p>
    <w:p w:rsidR="005D3518" w:rsidRDefault="0051723C" w:rsidP="005D3518">
      <w:pPr>
        <w:pStyle w:val="BodyNum"/>
      </w:pPr>
      <w:r>
        <w:t xml:space="preserve">Employee engagement </w:t>
      </w:r>
      <w:r w:rsidR="00FE5870">
        <w:t xml:space="preserve">elements </w:t>
      </w:r>
      <w:r w:rsidR="006465DF">
        <w:t>m</w:t>
      </w:r>
      <w:r w:rsidR="00FE5870">
        <w:t>easure</w:t>
      </w:r>
      <w:r w:rsidR="006465DF">
        <w:t xml:space="preserve"> the relationship staff have with</w:t>
      </w:r>
      <w:r>
        <w:t xml:space="preserve"> 4 </w:t>
      </w:r>
      <w:r w:rsidR="006465DF">
        <w:t>dimensions of their work</w:t>
      </w:r>
      <w:r>
        <w:t xml:space="preserve">: the job they do; the team </w:t>
      </w:r>
      <w:r w:rsidR="006465DF">
        <w:t>they work with</w:t>
      </w:r>
      <w:r>
        <w:t>; their immediate supervisor; and</w:t>
      </w:r>
      <w:r w:rsidR="006465DF">
        <w:t xml:space="preserve"> the agency they work for</w:t>
      </w:r>
      <w:r>
        <w:t>. The levels of staff engagement in OPC for 201</w:t>
      </w:r>
      <w:r w:rsidR="006465DF">
        <w:t>6</w:t>
      </w:r>
      <w:r>
        <w:t xml:space="preserve"> were</w:t>
      </w:r>
      <w:r w:rsidR="006465DF">
        <w:t xml:space="preserve"> </w:t>
      </w:r>
      <w:r>
        <w:t>similar to those for the previous year</w:t>
      </w:r>
      <w:r w:rsidR="00DA3B8A">
        <w:t xml:space="preserve"> and higher than the APS results across </w:t>
      </w:r>
      <w:r w:rsidR="00105644">
        <w:t>most</w:t>
      </w:r>
      <w:r w:rsidR="00DA3B8A">
        <w:t xml:space="preserve"> areas</w:t>
      </w:r>
      <w:r w:rsidR="00105644">
        <w:t xml:space="preserve">. The one exception was </w:t>
      </w:r>
      <w:r w:rsidR="006465DF">
        <w:t>supervisor</w:t>
      </w:r>
      <w:r w:rsidR="00FF5965">
        <w:t xml:space="preserve"> engagement where the results for </w:t>
      </w:r>
      <w:r w:rsidR="00105644">
        <w:t xml:space="preserve">OPC in </w:t>
      </w:r>
      <w:r w:rsidR="00FF5965">
        <w:t>201</w:t>
      </w:r>
      <w:r w:rsidR="006465DF">
        <w:t>6</w:t>
      </w:r>
      <w:r w:rsidR="00FF5965">
        <w:t xml:space="preserve"> were </w:t>
      </w:r>
      <w:r w:rsidR="006465DF">
        <w:t>lower</w:t>
      </w:r>
      <w:r w:rsidR="00DA3B8A">
        <w:t xml:space="preserve"> than</w:t>
      </w:r>
      <w:r w:rsidR="00FE5870">
        <w:t xml:space="preserve"> </w:t>
      </w:r>
      <w:r w:rsidR="00B626AA">
        <w:t xml:space="preserve">the results for </w:t>
      </w:r>
      <w:r w:rsidR="00FE5870">
        <w:t>both</w:t>
      </w:r>
      <w:r w:rsidR="00DA3B8A">
        <w:t xml:space="preserve"> </w:t>
      </w:r>
      <w:r w:rsidR="00105644">
        <w:t>OPC</w:t>
      </w:r>
      <w:r w:rsidR="00B626AA">
        <w:t xml:space="preserve"> in</w:t>
      </w:r>
      <w:r w:rsidR="00DA3B8A">
        <w:t xml:space="preserve"> 2015 and </w:t>
      </w:r>
      <w:r w:rsidR="00105644">
        <w:t>the APS</w:t>
      </w:r>
      <w:r w:rsidR="00B626AA">
        <w:t xml:space="preserve"> in</w:t>
      </w:r>
      <w:r w:rsidR="00105644">
        <w:t xml:space="preserve"> </w:t>
      </w:r>
      <w:r w:rsidR="00B626AA">
        <w:t>2016</w:t>
      </w:r>
      <w:r w:rsidR="00DA3B8A">
        <w:t>.</w:t>
      </w:r>
    </w:p>
    <w:p w:rsidR="006A4EAA" w:rsidRDefault="006A4EAA" w:rsidP="005D3518">
      <w:pPr>
        <w:pStyle w:val="BodyNum"/>
      </w:pPr>
      <w:r>
        <w:t>Across the 4 areas, OPC</w:t>
      </w:r>
      <w:r w:rsidR="00066B66">
        <w:t xml:space="preserve"> staff</w:t>
      </w:r>
      <w:r>
        <w:t xml:space="preserve"> rated</w:t>
      </w:r>
      <w:r w:rsidR="004F1EAF">
        <w:t xml:space="preserve"> engagement elements positively</w:t>
      </w:r>
      <w:r>
        <w:t xml:space="preserve"> </w:t>
      </w:r>
      <w:r w:rsidR="004F1EAF">
        <w:t>(</w:t>
      </w:r>
      <w:r>
        <w:t xml:space="preserve">between </w:t>
      </w:r>
      <w:r w:rsidR="00DA3B8A">
        <w:rPr>
          <w:b/>
        </w:rPr>
        <w:t>50</w:t>
      </w:r>
      <w:r w:rsidR="00066B66">
        <w:rPr>
          <w:b/>
        </w:rPr>
        <w:t>%</w:t>
      </w:r>
      <w:r>
        <w:t xml:space="preserve"> and </w:t>
      </w:r>
      <w:r w:rsidR="00DF1729">
        <w:rPr>
          <w:b/>
        </w:rPr>
        <w:t>8</w:t>
      </w:r>
      <w:r w:rsidR="00DA3B8A">
        <w:rPr>
          <w:b/>
        </w:rPr>
        <w:t>7</w:t>
      </w:r>
      <w:r w:rsidR="00066B66">
        <w:rPr>
          <w:b/>
        </w:rPr>
        <w:t>%</w:t>
      </w:r>
      <w:r w:rsidR="00874B63">
        <w:t>,</w:t>
      </w:r>
      <w:r w:rsidR="004F1EAF">
        <w:t xml:space="preserve"> </w:t>
      </w:r>
      <w:r w:rsidR="00BA13DA">
        <w:t>compared to</w:t>
      </w:r>
      <w:r w:rsidR="00FE5870">
        <w:t xml:space="preserve"> between</w:t>
      </w:r>
      <w:r w:rsidR="00BA13DA">
        <w:t xml:space="preserve"> </w:t>
      </w:r>
      <w:r w:rsidR="00066B66">
        <w:t>5</w:t>
      </w:r>
      <w:r w:rsidR="00DA3B8A">
        <w:t>9</w:t>
      </w:r>
      <w:r w:rsidR="00066B66">
        <w:t>%</w:t>
      </w:r>
      <w:r w:rsidR="00BA13DA">
        <w:t xml:space="preserve"> and </w:t>
      </w:r>
      <w:r w:rsidR="00066B66">
        <w:t>8</w:t>
      </w:r>
      <w:r w:rsidR="00DA3B8A">
        <w:t>3</w:t>
      </w:r>
      <w:r w:rsidR="00066B66">
        <w:t>%</w:t>
      </w:r>
      <w:r w:rsidR="00BA13DA">
        <w:t xml:space="preserve"> for OPC</w:t>
      </w:r>
      <w:r w:rsidR="00DF1729">
        <w:t xml:space="preserve"> in 201</w:t>
      </w:r>
      <w:r w:rsidR="00DA3B8A">
        <w:t>5</w:t>
      </w:r>
      <w:r w:rsidR="00BA13DA">
        <w:t>,</w:t>
      </w:r>
      <w:r>
        <w:t xml:space="preserve"> and</w:t>
      </w:r>
      <w:r w:rsidR="00FE5870">
        <w:t xml:space="preserve"> between</w:t>
      </w:r>
      <w:r>
        <w:t xml:space="preserve"> </w:t>
      </w:r>
      <w:r w:rsidR="00066B66">
        <w:rPr>
          <w:i/>
        </w:rPr>
        <w:t>4</w:t>
      </w:r>
      <w:r w:rsidR="00DA3B8A">
        <w:rPr>
          <w:i/>
        </w:rPr>
        <w:t>1</w:t>
      </w:r>
      <w:r w:rsidR="00066B66">
        <w:rPr>
          <w:i/>
        </w:rPr>
        <w:t>%</w:t>
      </w:r>
      <w:r>
        <w:t xml:space="preserve"> and </w:t>
      </w:r>
      <w:r w:rsidR="00066B66">
        <w:rPr>
          <w:i/>
        </w:rPr>
        <w:t>8</w:t>
      </w:r>
      <w:r w:rsidR="00DA3B8A">
        <w:rPr>
          <w:i/>
        </w:rPr>
        <w:t>1</w:t>
      </w:r>
      <w:r w:rsidR="00066B66">
        <w:rPr>
          <w:i/>
        </w:rPr>
        <w:t>%</w:t>
      </w:r>
      <w:r>
        <w:t xml:space="preserve"> for the APS in 201</w:t>
      </w:r>
      <w:r w:rsidR="00DA3B8A">
        <w:t>6</w:t>
      </w:r>
      <w:r>
        <w:t>).</w:t>
      </w:r>
    </w:p>
    <w:p w:rsidR="00FE3E1C" w:rsidRDefault="00FE3E1C" w:rsidP="00FE3E1C">
      <w:pPr>
        <w:pStyle w:val="Head4"/>
      </w:pPr>
      <w:r>
        <w:t>Learning and development</w:t>
      </w:r>
    </w:p>
    <w:p w:rsidR="00FE3E1C" w:rsidRDefault="000E6860" w:rsidP="005D3518">
      <w:pPr>
        <w:pStyle w:val="BodyNum"/>
      </w:pPr>
      <w:r>
        <w:rPr>
          <w:b/>
        </w:rPr>
        <w:t>78</w:t>
      </w:r>
      <w:r w:rsidR="00FE3E1C">
        <w:rPr>
          <w:b/>
        </w:rPr>
        <w:t>%</w:t>
      </w:r>
      <w:r w:rsidR="00FE3E1C">
        <w:t xml:space="preserve"> of OPC </w:t>
      </w:r>
      <w:r w:rsidR="000D19D6">
        <w:t>staff</w:t>
      </w:r>
      <w:r w:rsidR="00FE3E1C">
        <w:t xml:space="preserve"> were satisfied with access to eff</w:t>
      </w:r>
      <w:r w:rsidR="002E30EA">
        <w:t>ective learning and development</w:t>
      </w:r>
      <w:r>
        <w:t xml:space="preserve"> (compared to 83</w:t>
      </w:r>
      <w:r w:rsidR="00FE3E1C">
        <w:t>% for OPC</w:t>
      </w:r>
      <w:r>
        <w:t xml:space="preserve"> in 2015</w:t>
      </w:r>
      <w:r w:rsidR="00FE3E1C">
        <w:t xml:space="preserve"> and </w:t>
      </w:r>
      <w:r>
        <w:rPr>
          <w:i/>
        </w:rPr>
        <w:t>63</w:t>
      </w:r>
      <w:r w:rsidR="00FE3E1C">
        <w:rPr>
          <w:i/>
        </w:rPr>
        <w:t>%</w:t>
      </w:r>
      <w:r w:rsidR="00FE3E1C">
        <w:t xml:space="preserve"> for the APS</w:t>
      </w:r>
      <w:r w:rsidR="00066B66">
        <w:t xml:space="preserve"> in 201</w:t>
      </w:r>
      <w:r>
        <w:t>6)</w:t>
      </w:r>
      <w:r w:rsidR="00FE3E1C">
        <w:t>.</w:t>
      </w:r>
    </w:p>
    <w:p w:rsidR="00F15D4F" w:rsidRDefault="00F15D4F" w:rsidP="00F15D4F">
      <w:pPr>
        <w:pStyle w:val="Head4"/>
      </w:pPr>
      <w:r>
        <w:t>Leadership: supervisors and senior leaders</w:t>
      </w:r>
      <w:r w:rsidR="00874B63">
        <w:t xml:space="preserve"> (SES)</w:t>
      </w:r>
    </w:p>
    <w:p w:rsidR="00F15D4F" w:rsidRDefault="00CB6110" w:rsidP="005D3518">
      <w:pPr>
        <w:pStyle w:val="BodyNum"/>
      </w:pPr>
      <w:r>
        <w:t>In 201</w:t>
      </w:r>
      <w:r w:rsidR="00F4307B">
        <w:t>6</w:t>
      </w:r>
      <w:r>
        <w:t xml:space="preserve">, OPC </w:t>
      </w:r>
      <w:r w:rsidR="000D19D6">
        <w:t>staff</w:t>
      </w:r>
      <w:r>
        <w:t xml:space="preserve"> were more satisfied with their immediate supervisor’s leadership </w:t>
      </w:r>
      <w:r w:rsidR="0003769C">
        <w:t>actions</w:t>
      </w:r>
      <w:r>
        <w:t xml:space="preserve"> across </w:t>
      </w:r>
      <w:r w:rsidR="00F4307B">
        <w:t>most</w:t>
      </w:r>
      <w:r>
        <w:t xml:space="preserve"> areas compared with the APS results for 201</w:t>
      </w:r>
      <w:r w:rsidR="00F4307B">
        <w:t>6</w:t>
      </w:r>
      <w:r w:rsidR="006F4316">
        <w:t>,</w:t>
      </w:r>
      <w:r w:rsidR="00214C23">
        <w:t xml:space="preserve"> </w:t>
      </w:r>
      <w:r w:rsidR="00F4307B">
        <w:t>but</w:t>
      </w:r>
      <w:r w:rsidR="00214C23">
        <w:t xml:space="preserve"> </w:t>
      </w:r>
      <w:r w:rsidR="0003769C">
        <w:t xml:space="preserve">had </w:t>
      </w:r>
      <w:r w:rsidR="00F4307B">
        <w:t>lower</w:t>
      </w:r>
      <w:r w:rsidR="0003769C">
        <w:t xml:space="preserve"> satisfaction</w:t>
      </w:r>
      <w:r w:rsidR="00F4307B">
        <w:t xml:space="preserve"> levels in 2016</w:t>
      </w:r>
      <w:r w:rsidR="0003769C">
        <w:t xml:space="preserve"> compared with OPC results for 201</w:t>
      </w:r>
      <w:r w:rsidR="00F4307B">
        <w:t>5</w:t>
      </w:r>
      <w:r w:rsidR="00214C23">
        <w:t xml:space="preserve"> across </w:t>
      </w:r>
      <w:r w:rsidR="00F4307B">
        <w:t>most</w:t>
      </w:r>
      <w:r w:rsidR="00214C23">
        <w:t xml:space="preserve"> areas (between: </w:t>
      </w:r>
      <w:r w:rsidR="00350DA3">
        <w:rPr>
          <w:b/>
        </w:rPr>
        <w:t>58</w:t>
      </w:r>
      <w:r w:rsidR="00214C23">
        <w:rPr>
          <w:b/>
        </w:rPr>
        <w:t>%</w:t>
      </w:r>
      <w:r w:rsidR="00214C23">
        <w:t xml:space="preserve"> and </w:t>
      </w:r>
      <w:r w:rsidR="00350DA3">
        <w:rPr>
          <w:b/>
        </w:rPr>
        <w:t>85</w:t>
      </w:r>
      <w:r w:rsidR="00214C23">
        <w:rPr>
          <w:b/>
        </w:rPr>
        <w:t>%</w:t>
      </w:r>
      <w:r w:rsidR="00214C23">
        <w:t xml:space="preserve">; </w:t>
      </w:r>
      <w:r w:rsidR="000E29A8">
        <w:t>71</w:t>
      </w:r>
      <w:r w:rsidR="00214C23">
        <w:t xml:space="preserve">% and </w:t>
      </w:r>
      <w:r w:rsidR="00656C0D">
        <w:t>8</w:t>
      </w:r>
      <w:r w:rsidR="00350DA3">
        <w:t>4</w:t>
      </w:r>
      <w:r w:rsidR="00214C23">
        <w:t xml:space="preserve">%; and </w:t>
      </w:r>
      <w:r w:rsidR="000E6860">
        <w:rPr>
          <w:i/>
        </w:rPr>
        <w:t>64</w:t>
      </w:r>
      <w:r w:rsidR="00214C23">
        <w:rPr>
          <w:i/>
        </w:rPr>
        <w:t>%</w:t>
      </w:r>
      <w:r w:rsidR="00214C23">
        <w:t xml:space="preserve"> and </w:t>
      </w:r>
      <w:r w:rsidR="00214C23">
        <w:rPr>
          <w:i/>
        </w:rPr>
        <w:t>7</w:t>
      </w:r>
      <w:r w:rsidR="000E6860">
        <w:rPr>
          <w:i/>
        </w:rPr>
        <w:t>5</w:t>
      </w:r>
      <w:r w:rsidR="00214C23">
        <w:rPr>
          <w:i/>
        </w:rPr>
        <w:t>%</w:t>
      </w:r>
      <w:r w:rsidR="00214C23">
        <w:t>).</w:t>
      </w:r>
    </w:p>
    <w:p w:rsidR="0078561E" w:rsidRDefault="00874B63" w:rsidP="00D65CB5">
      <w:pPr>
        <w:pStyle w:val="BodyNum"/>
      </w:pPr>
      <w:r>
        <w:t xml:space="preserve">For the 2016 </w:t>
      </w:r>
      <w:r w:rsidR="00D65CB5">
        <w:t>survey</w:t>
      </w:r>
      <w:r>
        <w:t xml:space="preserve">, there was a change in wording for </w:t>
      </w:r>
      <w:r w:rsidR="000F6462">
        <w:t xml:space="preserve">most senior </w:t>
      </w:r>
      <w:r>
        <w:t xml:space="preserve">leadership questions from asking about the “senior leadership” to asking about the “SES”. </w:t>
      </w:r>
      <w:r w:rsidR="00A44ACC">
        <w:t>This meant</w:t>
      </w:r>
      <w:r w:rsidR="000F6462">
        <w:t xml:space="preserve"> that the results for 2016 are not necessarily comparable to the 2015 results. </w:t>
      </w:r>
      <w:r w:rsidR="00A44ACC">
        <w:t>However, in comparison to the APS results for 2016, OPC staff rated the SES leadership between 10 and 35 percentage points higher</w:t>
      </w:r>
      <w:r w:rsidR="00D65CB5">
        <w:t>.</w:t>
      </w:r>
    </w:p>
    <w:p w:rsidR="00B626AA" w:rsidRDefault="00E73E6D" w:rsidP="00D65CB5">
      <w:pPr>
        <w:pStyle w:val="BodyNum"/>
      </w:pPr>
      <w:r>
        <w:t xml:space="preserve">It was pleasing to see </w:t>
      </w:r>
      <w:r>
        <w:rPr>
          <w:b/>
        </w:rPr>
        <w:t xml:space="preserve">83% </w:t>
      </w:r>
      <w:r>
        <w:t>of OPC staff agreed that</w:t>
      </w:r>
      <w:r w:rsidR="00D65CB5">
        <w:t xml:space="preserve"> the most senior lead</w:t>
      </w:r>
      <w:r>
        <w:t xml:space="preserve">ers are sufficiently visible, compared to 75% in 2015 and </w:t>
      </w:r>
      <w:r>
        <w:rPr>
          <w:i/>
        </w:rPr>
        <w:t>48%</w:t>
      </w:r>
      <w:r>
        <w:t xml:space="preserve"> for the APS in 2016</w:t>
      </w:r>
      <w:r w:rsidR="00B626AA">
        <w:t>. T</w:t>
      </w:r>
      <w:r>
        <w:t>his was an area</w:t>
      </w:r>
      <w:r w:rsidR="00B626AA">
        <w:t xml:space="preserve"> of</w:t>
      </w:r>
      <w:r>
        <w:t xml:space="preserve"> focus for the Senior Management Team (</w:t>
      </w:r>
      <w:r w:rsidRPr="00E73E6D">
        <w:rPr>
          <w:b/>
          <w:i/>
        </w:rPr>
        <w:t>SMT</w:t>
      </w:r>
      <w:r>
        <w:t>)</w:t>
      </w:r>
      <w:r w:rsidR="00B626AA">
        <w:t xml:space="preserve"> in 2015-2016.</w:t>
      </w:r>
    </w:p>
    <w:p w:rsidR="00D65CB5" w:rsidRDefault="00E73E6D" w:rsidP="00D65CB5">
      <w:pPr>
        <w:pStyle w:val="BodyNum"/>
      </w:pPr>
      <w:r>
        <w:t xml:space="preserve">The move to a single premises and a greater involvement </w:t>
      </w:r>
      <w:r w:rsidR="00B626AA">
        <w:t>by</w:t>
      </w:r>
      <w:r>
        <w:t xml:space="preserve"> the SMT with the activities of the</w:t>
      </w:r>
      <w:r w:rsidR="00817117">
        <w:t xml:space="preserve"> Corporate Services and Publications work</w:t>
      </w:r>
      <w:r>
        <w:t xml:space="preserve"> groups</w:t>
      </w:r>
      <w:r w:rsidR="00B626AA">
        <w:t>, in particular,</w:t>
      </w:r>
      <w:r>
        <w:t xml:space="preserve"> has likely contributed</w:t>
      </w:r>
      <w:r w:rsidR="00817117">
        <w:t xml:space="preserve"> to the improvement</w:t>
      </w:r>
      <w:r>
        <w:t xml:space="preserve"> in this result.</w:t>
      </w:r>
    </w:p>
    <w:p w:rsidR="00196A95" w:rsidRDefault="006F3F5C" w:rsidP="00196A95">
      <w:pPr>
        <w:pStyle w:val="Head4"/>
      </w:pPr>
      <w:r>
        <w:t>Health, safety</w:t>
      </w:r>
      <w:r w:rsidR="001D3D25">
        <w:t xml:space="preserve"> and wellbeing</w:t>
      </w:r>
    </w:p>
    <w:p w:rsidR="006F7FD4" w:rsidRDefault="00D557CE" w:rsidP="005D3518">
      <w:pPr>
        <w:pStyle w:val="BodyNum"/>
      </w:pPr>
      <w:r>
        <w:t xml:space="preserve">Another area where the results </w:t>
      </w:r>
      <w:r w:rsidR="00BA13DA">
        <w:t>were</w:t>
      </w:r>
      <w:r>
        <w:t xml:space="preserve"> quite pleasing </w:t>
      </w:r>
      <w:r w:rsidR="00004AB1">
        <w:t>was</w:t>
      </w:r>
      <w:r>
        <w:t xml:space="preserve"> employee attitudes to health, safety and wel</w:t>
      </w:r>
      <w:r w:rsidR="00471088">
        <w:t>lbeing in the workplace. This area is</w:t>
      </w:r>
      <w:r>
        <w:t xml:space="preserve"> </w:t>
      </w:r>
      <w:r w:rsidR="00471088">
        <w:t xml:space="preserve">particularly important during a </w:t>
      </w:r>
      <w:r>
        <w:t xml:space="preserve">period of </w:t>
      </w:r>
      <w:r w:rsidR="00471088">
        <w:t xml:space="preserve">major </w:t>
      </w:r>
      <w:r>
        <w:t>change for OPC.</w:t>
      </w:r>
    </w:p>
    <w:p w:rsidR="00D557CE" w:rsidRDefault="00D557CE" w:rsidP="005D3518">
      <w:pPr>
        <w:pStyle w:val="BodyNum"/>
      </w:pPr>
      <w:r>
        <w:t>In 201</w:t>
      </w:r>
      <w:r w:rsidR="00DA3B8A">
        <w:t>6</w:t>
      </w:r>
      <w:r>
        <w:t>, OPC staff agreed that</w:t>
      </w:r>
      <w:r w:rsidR="00C72BE6">
        <w:t>:</w:t>
      </w:r>
      <w:r w:rsidR="00004AB1">
        <w:t xml:space="preserve"> the people in their work</w:t>
      </w:r>
      <w:r>
        <w:t>group were committed to workplace safety (</w:t>
      </w:r>
      <w:r w:rsidR="00C72BE6">
        <w:rPr>
          <w:b/>
        </w:rPr>
        <w:t>8</w:t>
      </w:r>
      <w:r w:rsidR="00DA3B8A">
        <w:rPr>
          <w:b/>
        </w:rPr>
        <w:t>1</w:t>
      </w:r>
      <w:r w:rsidR="00C72BE6">
        <w:rPr>
          <w:b/>
        </w:rPr>
        <w:t>%</w:t>
      </w:r>
      <w:r w:rsidR="00C72BE6">
        <w:t xml:space="preserve">, </w:t>
      </w:r>
      <w:r w:rsidR="008912B2">
        <w:t>84</w:t>
      </w:r>
      <w:r w:rsidR="00C72BE6">
        <w:t xml:space="preserve">% and </w:t>
      </w:r>
      <w:r w:rsidR="008912B2">
        <w:rPr>
          <w:i/>
        </w:rPr>
        <w:t>84</w:t>
      </w:r>
      <w:r w:rsidR="00C72BE6">
        <w:rPr>
          <w:i/>
        </w:rPr>
        <w:t>%</w:t>
      </w:r>
      <w:r w:rsidR="00C72BE6">
        <w:t xml:space="preserve">); </w:t>
      </w:r>
      <w:r w:rsidR="00322765">
        <w:t>OPC genuinely cares about employees being healthy and safe at work (</w:t>
      </w:r>
      <w:r w:rsidR="008912B2">
        <w:rPr>
          <w:b/>
        </w:rPr>
        <w:t>8</w:t>
      </w:r>
      <w:r w:rsidR="00964744">
        <w:rPr>
          <w:b/>
        </w:rPr>
        <w:t>3</w:t>
      </w:r>
      <w:r w:rsidR="00322765">
        <w:rPr>
          <w:b/>
        </w:rPr>
        <w:t>%</w:t>
      </w:r>
      <w:r w:rsidR="00322765">
        <w:t xml:space="preserve">, </w:t>
      </w:r>
      <w:r w:rsidR="00964744">
        <w:t>85</w:t>
      </w:r>
      <w:r w:rsidR="00322765">
        <w:t xml:space="preserve">% and </w:t>
      </w:r>
      <w:r w:rsidR="008912B2">
        <w:rPr>
          <w:i/>
        </w:rPr>
        <w:t>63</w:t>
      </w:r>
      <w:r w:rsidR="00322765">
        <w:rPr>
          <w:i/>
        </w:rPr>
        <w:t>%</w:t>
      </w:r>
      <w:r w:rsidR="00322765">
        <w:t>); and</w:t>
      </w:r>
      <w:r w:rsidR="00004AB1">
        <w:t>,</w:t>
      </w:r>
      <w:r w:rsidR="00322765">
        <w:t xml:space="preserve"> considering their work and life priorities, that they were satisfied with their work-life balance (</w:t>
      </w:r>
      <w:r w:rsidR="00964744">
        <w:rPr>
          <w:b/>
        </w:rPr>
        <w:t>85</w:t>
      </w:r>
      <w:r w:rsidR="00322765">
        <w:rPr>
          <w:b/>
        </w:rPr>
        <w:t>%</w:t>
      </w:r>
      <w:r w:rsidR="00322765">
        <w:t xml:space="preserve">, </w:t>
      </w:r>
      <w:r w:rsidR="00964744">
        <w:t>78</w:t>
      </w:r>
      <w:r w:rsidR="00322765">
        <w:t xml:space="preserve">% and </w:t>
      </w:r>
      <w:r w:rsidR="008912B2">
        <w:rPr>
          <w:i/>
        </w:rPr>
        <w:t>72</w:t>
      </w:r>
      <w:r w:rsidR="00322765">
        <w:rPr>
          <w:i/>
        </w:rPr>
        <w:t>%</w:t>
      </w:r>
      <w:r w:rsidR="00322765">
        <w:t>).</w:t>
      </w:r>
    </w:p>
    <w:p w:rsidR="00B72CD2" w:rsidRDefault="00B72CD2" w:rsidP="00B72CD2">
      <w:pPr>
        <w:pStyle w:val="Head4"/>
      </w:pPr>
      <w:r>
        <w:t>APS Values</w:t>
      </w:r>
    </w:p>
    <w:p w:rsidR="00B72CD2" w:rsidRDefault="009C7638" w:rsidP="005D3518">
      <w:pPr>
        <w:pStyle w:val="BodyNum"/>
      </w:pPr>
      <w:r>
        <w:t xml:space="preserve">Staff </w:t>
      </w:r>
      <w:r w:rsidR="00B626AA">
        <w:t xml:space="preserve">continued to </w:t>
      </w:r>
      <w:r>
        <w:t>indicate that people in OPC act in accordance with the APS Values</w:t>
      </w:r>
      <w:r w:rsidR="007D4E07">
        <w:t xml:space="preserve">. The </w:t>
      </w:r>
      <w:r w:rsidR="004122CF">
        <w:t>201</w:t>
      </w:r>
      <w:r w:rsidR="00F97690">
        <w:t>6</w:t>
      </w:r>
      <w:r w:rsidR="004122CF">
        <w:t xml:space="preserve"> </w:t>
      </w:r>
      <w:r w:rsidR="007D4E07">
        <w:t xml:space="preserve">results </w:t>
      </w:r>
      <w:r w:rsidR="00272A6B">
        <w:t>for senior lead</w:t>
      </w:r>
      <w:r w:rsidR="00004AB1">
        <w:t>ers, supervisors and work</w:t>
      </w:r>
      <w:r w:rsidR="00272A6B">
        <w:t xml:space="preserve">group colleagues </w:t>
      </w:r>
      <w:r w:rsidR="007D4E07">
        <w:t xml:space="preserve">were in the range of </w:t>
      </w:r>
      <w:r w:rsidR="00F97690">
        <w:rPr>
          <w:b/>
        </w:rPr>
        <w:t>89</w:t>
      </w:r>
      <w:r w:rsidR="007D4E07">
        <w:rPr>
          <w:b/>
        </w:rPr>
        <w:t>%</w:t>
      </w:r>
      <w:r w:rsidR="007D4E07">
        <w:t xml:space="preserve"> to </w:t>
      </w:r>
      <w:r w:rsidR="008912B2">
        <w:rPr>
          <w:b/>
        </w:rPr>
        <w:t>9</w:t>
      </w:r>
      <w:r w:rsidR="00F97690">
        <w:rPr>
          <w:b/>
        </w:rPr>
        <w:t>4</w:t>
      </w:r>
      <w:r w:rsidR="007D4E07">
        <w:rPr>
          <w:b/>
        </w:rPr>
        <w:t>%</w:t>
      </w:r>
      <w:r w:rsidR="003207DE">
        <w:t>, compared to</w:t>
      </w:r>
      <w:r w:rsidR="00272A6B">
        <w:t xml:space="preserve"> </w:t>
      </w:r>
      <w:r w:rsidR="00F97690">
        <w:t>91</w:t>
      </w:r>
      <w:r w:rsidR="00272A6B">
        <w:t xml:space="preserve">% to </w:t>
      </w:r>
      <w:r w:rsidR="00F97690">
        <w:t>96</w:t>
      </w:r>
      <w:r w:rsidR="00272A6B">
        <w:t>% for OPC</w:t>
      </w:r>
      <w:r w:rsidR="008912B2">
        <w:t xml:space="preserve"> in 201</w:t>
      </w:r>
      <w:r w:rsidR="00F97690">
        <w:t>5</w:t>
      </w:r>
      <w:r w:rsidR="007D4E07">
        <w:t xml:space="preserve"> and </w:t>
      </w:r>
      <w:r w:rsidR="007D4E07">
        <w:rPr>
          <w:i/>
        </w:rPr>
        <w:t>6</w:t>
      </w:r>
      <w:r w:rsidR="00F97690">
        <w:rPr>
          <w:i/>
        </w:rPr>
        <w:t>8</w:t>
      </w:r>
      <w:r w:rsidR="007D4E07">
        <w:rPr>
          <w:i/>
        </w:rPr>
        <w:t>%</w:t>
      </w:r>
      <w:r w:rsidR="007D4E07">
        <w:t xml:space="preserve"> to </w:t>
      </w:r>
      <w:r w:rsidR="008912B2">
        <w:rPr>
          <w:i/>
        </w:rPr>
        <w:t>89</w:t>
      </w:r>
      <w:r w:rsidR="007D4E07">
        <w:rPr>
          <w:i/>
        </w:rPr>
        <w:t>%</w:t>
      </w:r>
      <w:r w:rsidR="004122CF">
        <w:t xml:space="preserve"> for the APS in 201</w:t>
      </w:r>
      <w:r w:rsidR="00F97690">
        <w:t>6</w:t>
      </w:r>
      <w:r w:rsidR="004122CF">
        <w:t>.</w:t>
      </w:r>
    </w:p>
    <w:p w:rsidR="000C202B" w:rsidRDefault="000C202B" w:rsidP="000C202B">
      <w:pPr>
        <w:pStyle w:val="Head4"/>
      </w:pPr>
      <w:r>
        <w:t>Conclusion</w:t>
      </w:r>
    </w:p>
    <w:p w:rsidR="00B626AA" w:rsidRDefault="000C202B" w:rsidP="00B626AA">
      <w:pPr>
        <w:pStyle w:val="BodyNum"/>
      </w:pPr>
      <w:r>
        <w:t xml:space="preserve">Staff participation in these surveys is a very useful </w:t>
      </w:r>
      <w:r w:rsidR="00B72CD2">
        <w:t xml:space="preserve">exercise as the results are directly comparable </w:t>
      </w:r>
      <w:r w:rsidR="0056433C">
        <w:t xml:space="preserve">to those of the APS as a whole. </w:t>
      </w:r>
      <w:r w:rsidR="00004AB1">
        <w:t>The survey results provide</w:t>
      </w:r>
      <w:r w:rsidR="00B72CD2">
        <w:t xml:space="preserve"> information o</w:t>
      </w:r>
      <w:r w:rsidR="00B626AA">
        <w:t>n areas in which we can improve.</w:t>
      </w:r>
    </w:p>
    <w:p w:rsidR="00AD4488" w:rsidRDefault="00AD4488" w:rsidP="00AD4488">
      <w:pPr>
        <w:pStyle w:val="Head3"/>
      </w:pPr>
      <w:bookmarkStart w:id="87" w:name="_Toc463613748"/>
      <w:bookmarkEnd w:id="86"/>
      <w:r>
        <w:t>Management and development of human resources</w:t>
      </w:r>
      <w:bookmarkEnd w:id="87"/>
    </w:p>
    <w:p w:rsidR="00AD4488" w:rsidRDefault="00AD4488" w:rsidP="00AD4488">
      <w:pPr>
        <w:pStyle w:val="Head4"/>
      </w:pPr>
      <w:r>
        <w:t>Training and development</w:t>
      </w:r>
    </w:p>
    <w:p w:rsidR="00AD4488" w:rsidRDefault="00AD4488" w:rsidP="00AD4488">
      <w:pPr>
        <w:pStyle w:val="BodyNum"/>
      </w:pPr>
      <w:bookmarkStart w:id="88" w:name="_Ref113169081"/>
      <w:r>
        <w:t>OPC sees training and development as contributing significantly to the consolidation and improvement of its capability. OPC undertakes its training and development activities in order to:</w:t>
      </w:r>
      <w:bookmarkEnd w:id="88"/>
    </w:p>
    <w:p w:rsidR="00AD4488" w:rsidRDefault="00AD4488" w:rsidP="00AD4488">
      <w:pPr>
        <w:pStyle w:val="AnnualReportBullet"/>
        <w:tabs>
          <w:tab w:val="left" w:pos="360"/>
        </w:tabs>
        <w:ind w:left="360" w:hanging="360"/>
      </w:pPr>
      <w:r>
        <w:rPr>
          <w:rFonts w:ascii="Symbol" w:hAnsi="Symbol"/>
        </w:rPr>
        <w:t></w:t>
      </w:r>
      <w:r>
        <w:rPr>
          <w:rFonts w:ascii="Symbol" w:hAnsi="Symbol"/>
        </w:rPr>
        <w:tab/>
      </w:r>
      <w:r>
        <w:t>make the best use of human resources available to OPC;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enhance career and development opportunities for all staff.</w:t>
      </w:r>
    </w:p>
    <w:p w:rsidR="00AD4488" w:rsidRDefault="00AD4488" w:rsidP="00AD4488">
      <w:pPr>
        <w:pStyle w:val="Head4"/>
      </w:pPr>
      <w:r>
        <w:t>Staff development arrangements</w:t>
      </w:r>
    </w:p>
    <w:p w:rsidR="00AD4488" w:rsidRDefault="00AD4488" w:rsidP="00AD4488">
      <w:pPr>
        <w:pStyle w:val="BodyNum"/>
      </w:pPr>
      <w:bookmarkStart w:id="89" w:name="_Ref208135447"/>
      <w:r>
        <w:t>OPC’s Staff Development Plan establishes the following institutional arrangements for OPC’s staff development activities:</w:t>
      </w:r>
      <w:bookmarkEnd w:id="89"/>
    </w:p>
    <w:p w:rsidR="00AD4488" w:rsidRDefault="00AD4488" w:rsidP="00AD4488">
      <w:pPr>
        <w:pStyle w:val="AnnualReportBullet"/>
        <w:tabs>
          <w:tab w:val="left" w:pos="360"/>
        </w:tabs>
        <w:ind w:left="360" w:hanging="360"/>
      </w:pPr>
      <w:r>
        <w:rPr>
          <w:rFonts w:ascii="Symbol" w:hAnsi="Symbol"/>
        </w:rPr>
        <w:t></w:t>
      </w:r>
      <w:r>
        <w:rPr>
          <w:rFonts w:ascii="Symbol" w:hAnsi="Symbol"/>
        </w:rPr>
        <w:tab/>
      </w:r>
      <w:r>
        <w:t>a senior drafter is designated Director of Drafter Training;</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the Director of Drafter Training and the General Manager have joint responsibility for staff development matters generally (including monitoring expenditure on staff development activities);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staff development decisions in relation to particular staff are, by and large, made by supervisors jointly with either the Director of Drafter Training for staff who are drafters or the General Manager for other staff;</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staff development decisions are made by reference to the development needs of staff as identified in the individual development plans for staff that are settled as part of the performance management </w:t>
      </w:r>
      <w:r w:rsidR="00CD5F72">
        <w:t>program</w:t>
      </w:r>
      <w:r>
        <w:t>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the Director of Drafter Training and the General Manager have the function of reviewing the Staff Development Plan to make sure it is up-to-date and prop</w:t>
      </w:r>
      <w:r w:rsidR="00D95428">
        <w:t>erly focused on OPC’s needs;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the Director of Drafter Training has the function of </w:t>
      </w:r>
      <w:r w:rsidR="00966CF8">
        <w:t>ensuring that</w:t>
      </w:r>
      <w:r>
        <w:t xml:space="preserve"> a rolling </w:t>
      </w:r>
      <w:r w:rsidR="00CD5F72">
        <w:t>program</w:t>
      </w:r>
      <w:r>
        <w:t xml:space="preserve"> of internally provided training for drafters</w:t>
      </w:r>
      <w:r w:rsidR="00966CF8">
        <w:t xml:space="preserve"> occurs</w:t>
      </w:r>
      <w:r>
        <w:t>.</w:t>
      </w:r>
    </w:p>
    <w:p w:rsidR="00AD4488" w:rsidRDefault="00AD4488" w:rsidP="00AD4488">
      <w:pPr>
        <w:pStyle w:val="BodyNum"/>
      </w:pPr>
      <w:r>
        <w:t>These arrangements have the advantages of:</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involving supervisors in all aspects of staff development decision-making (including resource implications);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linking staff development closely to the performance management </w:t>
      </w:r>
      <w:r w:rsidR="00CD5F72">
        <w:t>program</w:t>
      </w:r>
      <w:r>
        <w:t>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ensuring a high level of consistency in staff development decisions;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ensuring there is proper equity and balance in the resources devoted to training staff who are drafters and those devoted to training other staff;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ensuring that the </w:t>
      </w:r>
      <w:r w:rsidR="00CD5F72">
        <w:t>program</w:t>
      </w:r>
      <w:r>
        <w:t xml:space="preserve"> of internally provided training for dra</w:t>
      </w:r>
      <w:r w:rsidR="00AF06EF">
        <w:t>fters is properly focused, well-</w:t>
      </w:r>
      <w:r>
        <w:t>planned and regular.</w:t>
      </w:r>
    </w:p>
    <w:p w:rsidR="00A06BD4" w:rsidRPr="004007F5" w:rsidRDefault="00CD5F72" w:rsidP="00A06BD4">
      <w:pPr>
        <w:pStyle w:val="Head4"/>
      </w:pPr>
      <w:r>
        <w:t>Program</w:t>
      </w:r>
      <w:r w:rsidR="00A06BD4" w:rsidRPr="008038B7">
        <w:t xml:space="preserve"> of internally provided training for drafters</w:t>
      </w:r>
    </w:p>
    <w:p w:rsidR="00781E38" w:rsidRDefault="00781E38" w:rsidP="00781E38">
      <w:pPr>
        <w:pStyle w:val="BodyNum"/>
      </w:pPr>
      <w:r>
        <w:t>In consultation with drafters in OPC, a program of internally provided training for drafters has been developed. The program involves a mix of presentations by drafters within OPC and external presenters (with an emphasis on the areas of law that hold special interest and importance for drafters).</w:t>
      </w:r>
    </w:p>
    <w:p w:rsidR="00781E38" w:rsidRDefault="009D7E95" w:rsidP="00781E38">
      <w:pPr>
        <w:pStyle w:val="BodyNum"/>
      </w:pPr>
      <w:r>
        <w:t>This year responsibility for drafter training was shared by 2 drafters. The Director of Drafter Training coordinated attendances at external conferences and semi</w:t>
      </w:r>
      <w:r w:rsidR="00AF06EF">
        <w:t>nars. Another senior drafter co</w:t>
      </w:r>
      <w:r>
        <w:t>ordinated presentations by drafters within OPC and arranged for technical drafting issues to be discussed at drafter meetings.</w:t>
      </w:r>
    </w:p>
    <w:p w:rsidR="00781E38" w:rsidRDefault="00781E38" w:rsidP="00781E38">
      <w:pPr>
        <w:pStyle w:val="BodyNum"/>
      </w:pPr>
      <w:r>
        <w:t>During the year, the program included presentations on:</w:t>
      </w:r>
    </w:p>
    <w:p w:rsidR="00781E38" w:rsidRDefault="00781E38" w:rsidP="00781E38">
      <w:pPr>
        <w:pStyle w:val="AnnualReportBullet"/>
        <w:tabs>
          <w:tab w:val="left" w:pos="360"/>
        </w:tabs>
        <w:ind w:left="360" w:hanging="360"/>
      </w:pPr>
      <w:r>
        <w:t>•</w:t>
      </w:r>
      <w:r>
        <w:tab/>
      </w:r>
      <w:r w:rsidR="009D7E95">
        <w:t>section 55 of the Constitution</w:t>
      </w:r>
      <w:r>
        <w:t>;</w:t>
      </w:r>
    </w:p>
    <w:p w:rsidR="00781E38" w:rsidRDefault="00781E38" w:rsidP="00781E38">
      <w:pPr>
        <w:pStyle w:val="AnnualReportBullet"/>
        <w:tabs>
          <w:tab w:val="left" w:pos="360"/>
        </w:tabs>
        <w:ind w:left="360" w:hanging="360"/>
      </w:pPr>
      <w:r>
        <w:t>•</w:t>
      </w:r>
      <w:r>
        <w:tab/>
      </w:r>
      <w:r w:rsidR="009D7E95">
        <w:t>Commonwealth receipts and expenditure</w:t>
      </w:r>
      <w:r>
        <w:t>;</w:t>
      </w:r>
    </w:p>
    <w:p w:rsidR="00781E38" w:rsidRDefault="00781E38" w:rsidP="00781E38">
      <w:pPr>
        <w:pStyle w:val="AnnualReportBullet"/>
        <w:tabs>
          <w:tab w:val="left" w:pos="360"/>
        </w:tabs>
        <w:ind w:left="360" w:hanging="360"/>
      </w:pPr>
      <w:r>
        <w:t>•</w:t>
      </w:r>
      <w:r>
        <w:tab/>
      </w:r>
      <w:r w:rsidR="009D7E95">
        <w:t xml:space="preserve">the </w:t>
      </w:r>
      <w:r w:rsidR="009D7E95" w:rsidRPr="009D7E95">
        <w:rPr>
          <w:i/>
        </w:rPr>
        <w:t>Acts and Instruments (Framework Reform) Act 2015</w:t>
      </w:r>
      <w:r>
        <w:t>;</w:t>
      </w:r>
    </w:p>
    <w:p w:rsidR="00781E38" w:rsidRDefault="00781E38" w:rsidP="00781E38">
      <w:pPr>
        <w:pStyle w:val="AnnualReportBullet"/>
        <w:tabs>
          <w:tab w:val="left" w:pos="360"/>
        </w:tabs>
        <w:ind w:left="360" w:hanging="360"/>
      </w:pPr>
      <w:r>
        <w:t>•</w:t>
      </w:r>
      <w:r>
        <w:tab/>
      </w:r>
      <w:r w:rsidR="009D7E95">
        <w:t>delegated legislation</w:t>
      </w:r>
      <w:r>
        <w:t>;</w:t>
      </w:r>
    </w:p>
    <w:p w:rsidR="00781E38" w:rsidRDefault="00781E38" w:rsidP="00781E38">
      <w:pPr>
        <w:pStyle w:val="AnnualReportBullet"/>
        <w:tabs>
          <w:tab w:val="left" w:pos="360"/>
        </w:tabs>
        <w:ind w:left="360" w:hanging="360"/>
      </w:pPr>
      <w:r>
        <w:t>•</w:t>
      </w:r>
      <w:r>
        <w:tab/>
      </w:r>
      <w:r w:rsidR="009D7E95">
        <w:t>avoiding drafting mistakes</w:t>
      </w:r>
      <w:r>
        <w:t>;</w:t>
      </w:r>
    </w:p>
    <w:p w:rsidR="00781E38" w:rsidRDefault="00781E38" w:rsidP="00781E38">
      <w:pPr>
        <w:pStyle w:val="AnnualReportBullet"/>
        <w:tabs>
          <w:tab w:val="left" w:pos="360"/>
        </w:tabs>
        <w:ind w:left="360" w:hanging="360"/>
      </w:pPr>
      <w:r>
        <w:t>•</w:t>
      </w:r>
      <w:r>
        <w:tab/>
        <w:t>various other technical drafting and IT issues.</w:t>
      </w:r>
    </w:p>
    <w:p w:rsidR="00781E38" w:rsidRDefault="00781E38" w:rsidP="00781E38">
      <w:pPr>
        <w:pStyle w:val="BodyNum"/>
      </w:pPr>
      <w:r>
        <w:t xml:space="preserve">OPC drafters </w:t>
      </w:r>
      <w:r w:rsidR="009D7E95">
        <w:t>attended OPC’s International Drafting Workshop and presented a number of papers at the workshop</w:t>
      </w:r>
      <w:r>
        <w:t>.</w:t>
      </w:r>
    </w:p>
    <w:p w:rsidR="00A06BD4" w:rsidRPr="004007F5" w:rsidRDefault="00781E38" w:rsidP="00781E38">
      <w:pPr>
        <w:pStyle w:val="BodyNum"/>
      </w:pPr>
      <w:r>
        <w:t>OPC drafters also participated in a range of other external conferences and seminars organised by the Australian Government Solicitor</w:t>
      </w:r>
      <w:r w:rsidR="009D7E95">
        <w:t xml:space="preserve"> (such as the AGS Constitutional Law Forum)</w:t>
      </w:r>
      <w:r>
        <w:t>, leading academic institutions and law firms.</w:t>
      </w:r>
    </w:p>
    <w:p w:rsidR="00AD4488" w:rsidRDefault="00AD4488" w:rsidP="00AD4488">
      <w:pPr>
        <w:pStyle w:val="Head4"/>
      </w:pPr>
      <w:r>
        <w:t>Staff undertaking higher studies under Studies Assistance arrangements</w:t>
      </w:r>
    </w:p>
    <w:p w:rsidR="00AD4488" w:rsidRDefault="00AD4488" w:rsidP="00AD4488">
      <w:pPr>
        <w:pStyle w:val="BodyNum"/>
      </w:pPr>
      <w:bookmarkStart w:id="90" w:name="_Ref303764344"/>
      <w:r>
        <w:t xml:space="preserve">During the year, </w:t>
      </w:r>
      <w:r w:rsidR="004C5051">
        <w:t>2</w:t>
      </w:r>
      <w:r w:rsidRPr="00CE09FF">
        <w:t xml:space="preserve"> </w:t>
      </w:r>
      <w:r>
        <w:t>OPC staff members have accessed OPC’s Studies Assistance arrangements to pursue higher studies relevant to their current work and career development.</w:t>
      </w:r>
      <w:bookmarkEnd w:id="90"/>
    </w:p>
    <w:p w:rsidR="00AD4488" w:rsidRDefault="00AD4488" w:rsidP="00AD4488">
      <w:pPr>
        <w:pStyle w:val="Head4"/>
      </w:pPr>
      <w:r>
        <w:t>Information technology training</w:t>
      </w:r>
    </w:p>
    <w:p w:rsidR="00AD4488" w:rsidRDefault="00AD4488" w:rsidP="00AD4488">
      <w:pPr>
        <w:pStyle w:val="BodyNum"/>
      </w:pPr>
      <w:bookmarkStart w:id="91" w:name="_Ref113169092"/>
      <w:r>
        <w:t>OPC’s legislative drafting capability relies heavily on our staff’s proficiency with IT to undertake research and to prepare Bills and legislative instruments for the Australian Government.</w:t>
      </w:r>
      <w:bookmarkEnd w:id="91"/>
    </w:p>
    <w:p w:rsidR="00AD4488" w:rsidRDefault="00AD4488" w:rsidP="00AD4488">
      <w:pPr>
        <w:pStyle w:val="BodyNum"/>
      </w:pPr>
      <w:bookmarkStart w:id="92" w:name="_Ref113266995"/>
      <w:r>
        <w:t xml:space="preserve">During the year, OPC provided substantial training in IT. </w:t>
      </w:r>
      <w:r w:rsidR="00B313AD">
        <w:t>Most of that</w:t>
      </w:r>
      <w:r>
        <w:t xml:space="preserve"> training was provided in-house, enabling it to be both cost-effective and responsive to the particular needs of staff.</w:t>
      </w:r>
      <w:bookmarkEnd w:id="92"/>
    </w:p>
    <w:p w:rsidR="00AD4488" w:rsidRDefault="00AD4488" w:rsidP="00AD4488">
      <w:pPr>
        <w:pStyle w:val="BodyNum"/>
      </w:pPr>
      <w:r>
        <w:t>The feedback provided by staff attending the various training sessions was resoundingly positive in terms of the content and presentation of the training and its relevance to current work.</w:t>
      </w:r>
    </w:p>
    <w:p w:rsidR="00AD4488" w:rsidRDefault="00AD4488" w:rsidP="00AD4488">
      <w:pPr>
        <w:pStyle w:val="BodyNum"/>
      </w:pPr>
      <w:r>
        <w:t>OPC’s professional IT staff also undertook external training during the year to ensure that their skills were maintained.</w:t>
      </w:r>
    </w:p>
    <w:p w:rsidR="00AD4488" w:rsidRDefault="00094D49" w:rsidP="00AD4488">
      <w:pPr>
        <w:pStyle w:val="Head4"/>
      </w:pPr>
      <w:r>
        <w:t>Productivity gains</w:t>
      </w:r>
    </w:p>
    <w:p w:rsidR="00AD4488" w:rsidRPr="00395668" w:rsidRDefault="00AD4488" w:rsidP="00C52C2F">
      <w:pPr>
        <w:pStyle w:val="BodyNum"/>
      </w:pPr>
      <w:bookmarkStart w:id="93" w:name="_Ref175720895"/>
      <w:r w:rsidRPr="00395668">
        <w:t>Productivity gains have been achieved through:</w:t>
      </w:r>
      <w:bookmarkEnd w:id="93"/>
    </w:p>
    <w:p w:rsidR="00AD4488" w:rsidRPr="00395668" w:rsidRDefault="00AD4488" w:rsidP="00AD4488">
      <w:pPr>
        <w:pStyle w:val="AnnualReportBullet"/>
        <w:tabs>
          <w:tab w:val="left" w:pos="360"/>
        </w:tabs>
        <w:ind w:left="360" w:hanging="360"/>
      </w:pPr>
      <w:r w:rsidRPr="00395668">
        <w:rPr>
          <w:rFonts w:ascii="Symbol" w:hAnsi="Symbol"/>
        </w:rPr>
        <w:t></w:t>
      </w:r>
      <w:r w:rsidRPr="00395668">
        <w:rPr>
          <w:rFonts w:ascii="Symbol" w:hAnsi="Symbol"/>
        </w:rPr>
        <w:tab/>
      </w:r>
      <w:r w:rsidRPr="00395668">
        <w:t>the review and continued updating of finance and other Corporate Services processes;</w:t>
      </w:r>
    </w:p>
    <w:p w:rsidR="00AD4488" w:rsidRPr="00395668" w:rsidRDefault="00AD4488" w:rsidP="00AD4488">
      <w:pPr>
        <w:pStyle w:val="AnnualReportBullet"/>
        <w:tabs>
          <w:tab w:val="left" w:pos="360"/>
        </w:tabs>
        <w:ind w:left="360" w:hanging="360"/>
      </w:pPr>
      <w:r w:rsidRPr="00395668">
        <w:rPr>
          <w:rFonts w:ascii="Symbol" w:hAnsi="Symbol"/>
        </w:rPr>
        <w:t></w:t>
      </w:r>
      <w:r w:rsidRPr="00395668">
        <w:rPr>
          <w:rFonts w:ascii="Symbol" w:hAnsi="Symbol"/>
        </w:rPr>
        <w:tab/>
      </w:r>
      <w:r w:rsidRPr="00395668">
        <w:t>improved liaison with key stakeholders;</w:t>
      </w:r>
    </w:p>
    <w:p w:rsidR="00AD4488" w:rsidRPr="00395668" w:rsidRDefault="00AD4488" w:rsidP="00AD4488">
      <w:pPr>
        <w:pStyle w:val="AnnualReportBullet"/>
        <w:tabs>
          <w:tab w:val="left" w:pos="360"/>
        </w:tabs>
        <w:ind w:left="360" w:hanging="360"/>
      </w:pPr>
      <w:r w:rsidRPr="00395668">
        <w:rPr>
          <w:rFonts w:ascii="Symbol" w:hAnsi="Symbol"/>
        </w:rPr>
        <w:t></w:t>
      </w:r>
      <w:r w:rsidRPr="00395668">
        <w:rPr>
          <w:rFonts w:ascii="Symbol" w:hAnsi="Symbol"/>
        </w:rPr>
        <w:tab/>
      </w:r>
      <w:r w:rsidRPr="00395668">
        <w:t>continued improvements through the application of IT; and</w:t>
      </w:r>
    </w:p>
    <w:p w:rsidR="00AD4488" w:rsidRDefault="00AD4488" w:rsidP="00AD4488">
      <w:pPr>
        <w:pStyle w:val="AnnualReportBullet"/>
        <w:tabs>
          <w:tab w:val="left" w:pos="360"/>
        </w:tabs>
        <w:ind w:left="360" w:hanging="360"/>
      </w:pPr>
      <w:r w:rsidRPr="00395668">
        <w:rPr>
          <w:rFonts w:ascii="Symbol" w:hAnsi="Symbol"/>
        </w:rPr>
        <w:t></w:t>
      </w:r>
      <w:r w:rsidRPr="00395668">
        <w:rPr>
          <w:rFonts w:ascii="Symbol" w:hAnsi="Symbol"/>
        </w:rPr>
        <w:tab/>
      </w:r>
      <w:r w:rsidRPr="00395668">
        <w:t>cooperative agency procurement of property and services.</w:t>
      </w:r>
    </w:p>
    <w:p w:rsidR="00AD4488" w:rsidRDefault="00AD4488" w:rsidP="00AD4488">
      <w:pPr>
        <w:pStyle w:val="Head4"/>
      </w:pPr>
      <w:r>
        <w:t>Staffing statistics</w:t>
      </w:r>
    </w:p>
    <w:p w:rsidR="00AD4488" w:rsidRDefault="00AD4488" w:rsidP="00AD4488">
      <w:pPr>
        <w:pStyle w:val="BodyNum"/>
      </w:pPr>
      <w:bookmarkStart w:id="94" w:name="_Ref113169062"/>
      <w:r>
        <w:t>The staffing statistics for OPC at 30 June 201</w:t>
      </w:r>
      <w:r w:rsidR="006D55AF">
        <w:t>6</w:t>
      </w:r>
      <w:r>
        <w:t xml:space="preserve"> are in Appendix B.</w:t>
      </w:r>
      <w:bookmarkEnd w:id="94"/>
    </w:p>
    <w:p w:rsidR="00AD4488" w:rsidRPr="00CF24D0" w:rsidRDefault="00AD4488" w:rsidP="00AD4488">
      <w:pPr>
        <w:pStyle w:val="BodyNum"/>
      </w:pPr>
      <w:r w:rsidRPr="00CF24D0">
        <w:t>All staff employed by OPC are located in the ACT.</w:t>
      </w:r>
    </w:p>
    <w:p w:rsidR="00AD4488" w:rsidRDefault="00AD4488" w:rsidP="00AD4488">
      <w:pPr>
        <w:pStyle w:val="Head4"/>
      </w:pPr>
      <w:r>
        <w:t>Coverage of workplace agreements</w:t>
      </w:r>
    </w:p>
    <w:p w:rsidR="00AD4488" w:rsidRDefault="00AD4488" w:rsidP="00AD4488">
      <w:pPr>
        <w:pStyle w:val="BodyNum"/>
      </w:pPr>
      <w:bookmarkStart w:id="95" w:name="_Ref113168654"/>
      <w:r>
        <w:t xml:space="preserve">All </w:t>
      </w:r>
      <w:r w:rsidR="006D55AF">
        <w:t xml:space="preserve">non-SES </w:t>
      </w:r>
      <w:r>
        <w:t xml:space="preserve">employees are covered by </w:t>
      </w:r>
      <w:r w:rsidR="006D55AF">
        <w:t>an Enterprise Agreement</w:t>
      </w:r>
      <w:r>
        <w:t xml:space="preserve"> which commenced on </w:t>
      </w:r>
      <w:r w:rsidR="006D55AF">
        <w:t>12</w:t>
      </w:r>
      <w:r w:rsidR="009A0C07">
        <w:t xml:space="preserve"> </w:t>
      </w:r>
      <w:r w:rsidR="006D55AF">
        <w:t>May</w:t>
      </w:r>
      <w:r w:rsidR="009A0C07">
        <w:t xml:space="preserve"> </w:t>
      </w:r>
      <w:r w:rsidR="006D55AF">
        <w:t>2016 for a period of 3 years</w:t>
      </w:r>
      <w:r>
        <w:t>.</w:t>
      </w:r>
      <w:r w:rsidR="006D55AF">
        <w:t xml:space="preserve"> SES employees are covered by an Enterprise Agreement which commenced on 15 July 2011.</w:t>
      </w:r>
    </w:p>
    <w:bookmarkEnd w:id="95"/>
    <w:p w:rsidR="00AD4488" w:rsidRDefault="00AD4488" w:rsidP="00AD4488">
      <w:pPr>
        <w:pStyle w:val="Head4"/>
      </w:pPr>
      <w:r>
        <w:t>Salary ranges</w:t>
      </w:r>
    </w:p>
    <w:p w:rsidR="00AD4488" w:rsidRDefault="00AD4488" w:rsidP="00AD4488">
      <w:pPr>
        <w:pStyle w:val="BodyNum"/>
      </w:pPr>
      <w:bookmarkStart w:id="96" w:name="_Ref113167215"/>
      <w:r>
        <w:t>The full range of salaries available under OPC’s Enterprise Agreements as at 30 June 201</w:t>
      </w:r>
      <w:r w:rsidR="006D55AF">
        <w:t>6</w:t>
      </w:r>
      <w:r>
        <w:t xml:space="preserve"> is set out in Appendix B.</w:t>
      </w:r>
      <w:bookmarkEnd w:id="96"/>
    </w:p>
    <w:p w:rsidR="00AD4488" w:rsidRDefault="00AD4488" w:rsidP="00AD4488">
      <w:pPr>
        <w:pStyle w:val="Head4"/>
      </w:pPr>
      <w:r>
        <w:t>Non-salary benefits for APS employees</w:t>
      </w:r>
    </w:p>
    <w:p w:rsidR="00AD4488" w:rsidRDefault="00AD4488" w:rsidP="00AD4488">
      <w:pPr>
        <w:pStyle w:val="BodyNum"/>
      </w:pPr>
      <w:bookmarkStart w:id="97" w:name="_Ref113169217"/>
      <w:r>
        <w:t>SES s</w:t>
      </w:r>
      <w:r w:rsidR="00031644">
        <w:t>taff have the option of a fully-</w:t>
      </w:r>
      <w:r>
        <w:t>maintained, privately</w:t>
      </w:r>
      <w:r w:rsidR="00031644">
        <w:t>-</w:t>
      </w:r>
      <w:r>
        <w:t>plated vehicle</w:t>
      </w:r>
      <w:r w:rsidR="00031644">
        <w:t>,</w:t>
      </w:r>
      <w:r>
        <w:t xml:space="preserve"> or an allowance in lieu, and are provided with free on-site parking.</w:t>
      </w:r>
      <w:bookmarkEnd w:id="97"/>
    </w:p>
    <w:p w:rsidR="00AD4488" w:rsidRDefault="00AD4488" w:rsidP="00AD4488">
      <w:pPr>
        <w:pStyle w:val="BodyNum"/>
      </w:pPr>
      <w:r>
        <w:t>Staff occupying designated positions closely involved with the legislation process receive a telephone allowance to cover the cost of any work-related calls. SES staff have had an amount included in their salary to replace this entitlement, on condition that they maintain a home phone and allow the number to be circulated to any person who may need it in the course of business.</w:t>
      </w:r>
    </w:p>
    <w:p w:rsidR="00AD4488" w:rsidRDefault="00AD4488" w:rsidP="00AD4488">
      <w:pPr>
        <w:pStyle w:val="BodyNum"/>
      </w:pPr>
      <w:r>
        <w:t>To support the legislative drafting and associated work of OPC, staff can obtain remote access to OPC’s IT system. Recognising that staff need to have internet access to use remote access, OPC pays an allowance to remote access users.</w:t>
      </w:r>
    </w:p>
    <w:p w:rsidR="00AD4488" w:rsidRDefault="00AD4488" w:rsidP="00AD4488">
      <w:pPr>
        <w:pStyle w:val="BodyNum"/>
      </w:pPr>
      <w:r>
        <w:t>Other non-salary benefits available to staff were: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employer-sponsored superannuation;</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the cost of prescription spectacles or other eyewear up to the value of $5</w:t>
      </w:r>
      <w:r w:rsidR="006D55AF">
        <w:t>30</w:t>
      </w:r>
      <w:r>
        <w:t xml:space="preserve"> every 2 years or each time a new prescription is issued if that happens sooner;</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an allowance of $300 to eligible staff to spend on health and wellbeing activities or equipment;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depend</w:t>
      </w:r>
      <w:r w:rsidR="006D521B">
        <w:t>a</w:t>
      </w:r>
      <w:r>
        <w:t>nt care costs arising from working arrangements that are required in specific circumstances.</w:t>
      </w:r>
    </w:p>
    <w:p w:rsidR="00AD4488" w:rsidRDefault="00AD4488" w:rsidP="00AD4488">
      <w:pPr>
        <w:pStyle w:val="Head4"/>
      </w:pPr>
      <w:r>
        <w:t>Performance pay</w:t>
      </w:r>
    </w:p>
    <w:p w:rsidR="00AD4488" w:rsidRDefault="00AD4488" w:rsidP="00AD4488">
      <w:pPr>
        <w:pStyle w:val="BodyNum"/>
      </w:pPr>
      <w:bookmarkStart w:id="98" w:name="_Ref113169316"/>
      <w:r>
        <w:t>There is no provision for performance pay for APS employees in OPC’s Performance Management Programs.</w:t>
      </w:r>
      <w:bookmarkEnd w:id="98"/>
    </w:p>
    <w:p w:rsidR="00AD4488" w:rsidRDefault="00AD4488" w:rsidP="00AD4488">
      <w:pPr>
        <w:pStyle w:val="BodyNum"/>
      </w:pPr>
      <w:r>
        <w:t xml:space="preserve">However, OPC has comprehensive Performance Management Programs covering all staff under which salary advancement is dependent on staff being rated as at least “fully effective”. An experience loading for SES </w:t>
      </w:r>
      <w:r w:rsidR="00875C34">
        <w:t>staff</w:t>
      </w:r>
      <w:r>
        <w:t xml:space="preserve"> is also dependent on those </w:t>
      </w:r>
      <w:r w:rsidR="00875C34">
        <w:t>SES staff</w:t>
      </w:r>
      <w:r>
        <w:t xml:space="preserve"> being rated as at least “fully effective”.</w:t>
      </w:r>
    </w:p>
    <w:p w:rsidR="00AD4488" w:rsidRDefault="00AD4488" w:rsidP="00AD4488">
      <w:pPr>
        <w:pStyle w:val="Head4"/>
      </w:pPr>
      <w:r>
        <w:t>Staff changes and recruitment</w:t>
      </w:r>
    </w:p>
    <w:p w:rsidR="0018435F" w:rsidRDefault="00725C78" w:rsidP="00AD4488">
      <w:pPr>
        <w:pStyle w:val="BodyNum"/>
      </w:pPr>
      <w:bookmarkStart w:id="99" w:name="_Ref113169052"/>
      <w:r>
        <w:t>D</w:t>
      </w:r>
      <w:r w:rsidR="00AD4488">
        <w:t>uring the year</w:t>
      </w:r>
      <w:r w:rsidR="0018435F">
        <w:t>:</w:t>
      </w:r>
    </w:p>
    <w:bookmarkEnd w:id="99"/>
    <w:p w:rsidR="00AD4488" w:rsidRDefault="00AD4488" w:rsidP="00AD4488">
      <w:pPr>
        <w:pStyle w:val="AnnualReportBullet"/>
        <w:tabs>
          <w:tab w:val="left" w:pos="360"/>
        </w:tabs>
        <w:ind w:left="360" w:hanging="360"/>
      </w:pPr>
      <w:r>
        <w:rPr>
          <w:rFonts w:ascii="Symbol" w:hAnsi="Symbol"/>
        </w:rPr>
        <w:t></w:t>
      </w:r>
      <w:r>
        <w:rPr>
          <w:rFonts w:ascii="Symbol" w:hAnsi="Symbol"/>
        </w:rPr>
        <w:tab/>
      </w:r>
      <w:r w:rsidR="0018435F">
        <w:t>Ms Meredith Leigh was appointed as Second Parliamentary Counsel</w:t>
      </w:r>
      <w:r w:rsidR="009A0C07">
        <w:t>;</w:t>
      </w:r>
    </w:p>
    <w:p w:rsidR="0018435F" w:rsidRDefault="0018435F" w:rsidP="0018435F">
      <w:pPr>
        <w:pStyle w:val="AnnualReportBullet"/>
        <w:tabs>
          <w:tab w:val="left" w:pos="360"/>
        </w:tabs>
        <w:ind w:left="360" w:hanging="360"/>
      </w:pPr>
      <w:r>
        <w:rPr>
          <w:rFonts w:ascii="Symbol" w:hAnsi="Symbol"/>
        </w:rPr>
        <w:t></w:t>
      </w:r>
      <w:r>
        <w:rPr>
          <w:rFonts w:ascii="Symbol" w:hAnsi="Symbol"/>
        </w:rPr>
        <w:tab/>
      </w:r>
      <w:r>
        <w:t>Ms Sally Beasley</w:t>
      </w:r>
      <w:r w:rsidR="00044EE1">
        <w:t>, Mr Andrew Freeman and Ms Olivia Gossip were promoted to Senior Assistant Parliamentary Counsel (SES Band 1)</w:t>
      </w:r>
      <w:r>
        <w:t>;</w:t>
      </w:r>
      <w:r w:rsidR="00044EE1">
        <w:t xml:space="preserve"> and</w:t>
      </w:r>
    </w:p>
    <w:p w:rsidR="00044EE1" w:rsidRDefault="00044EE1" w:rsidP="00044EE1">
      <w:pPr>
        <w:pStyle w:val="AnnualReportBullet"/>
        <w:tabs>
          <w:tab w:val="left" w:pos="360"/>
        </w:tabs>
        <w:ind w:left="360" w:hanging="360"/>
      </w:pPr>
      <w:r>
        <w:rPr>
          <w:rFonts w:ascii="Symbol" w:hAnsi="Symbol"/>
        </w:rPr>
        <w:t></w:t>
      </w:r>
      <w:r>
        <w:rPr>
          <w:rFonts w:ascii="Symbol" w:hAnsi="Symbol"/>
        </w:rPr>
        <w:tab/>
      </w:r>
      <w:r>
        <w:t>the following staff were recruited/promoted:</w:t>
      </w:r>
    </w:p>
    <w:p w:rsidR="0018435F" w:rsidRDefault="00031644" w:rsidP="00031644">
      <w:pPr>
        <w:pStyle w:val="BodyParaBulletSub"/>
      </w:pPr>
      <w:r>
        <w:t>-</w:t>
      </w:r>
      <w:r>
        <w:tab/>
      </w:r>
      <w:r w:rsidR="00044EE1">
        <w:t>five</w:t>
      </w:r>
      <w:r w:rsidR="0018435F">
        <w:t xml:space="preserve"> </w:t>
      </w:r>
      <w:r w:rsidR="00044EE1">
        <w:t>Assistant Parliamentary Counsel, Grade 3</w:t>
      </w:r>
      <w:r w:rsidR="0018435F">
        <w:t>;</w:t>
      </w:r>
    </w:p>
    <w:p w:rsidR="00044EE1" w:rsidRDefault="00031644" w:rsidP="00031644">
      <w:pPr>
        <w:pStyle w:val="BodyParaBulletSub"/>
      </w:pPr>
      <w:r>
        <w:t>-</w:t>
      </w:r>
      <w:r>
        <w:tab/>
      </w:r>
      <w:r w:rsidR="00044EE1">
        <w:t>one Assistant Parliamentary Counsel, Grade 2;</w:t>
      </w:r>
    </w:p>
    <w:p w:rsidR="00044EE1" w:rsidRDefault="00031644" w:rsidP="00031644">
      <w:pPr>
        <w:pStyle w:val="BodyParaBulletSub"/>
      </w:pPr>
      <w:r>
        <w:t>-</w:t>
      </w:r>
      <w:r>
        <w:tab/>
      </w:r>
      <w:r w:rsidR="00044EE1">
        <w:t>one Assistant Parliamentary Counsel, Grade 1;</w:t>
      </w:r>
    </w:p>
    <w:p w:rsidR="00081BED" w:rsidRDefault="00031644" w:rsidP="00031644">
      <w:pPr>
        <w:pStyle w:val="BodyParaBulletSub"/>
      </w:pPr>
      <w:r>
        <w:t>-</w:t>
      </w:r>
      <w:r>
        <w:tab/>
      </w:r>
      <w:r w:rsidR="00081BED">
        <w:t xml:space="preserve">two </w:t>
      </w:r>
      <w:r w:rsidR="009B5914">
        <w:t>Legislation Register</w:t>
      </w:r>
      <w:r w:rsidR="00081BED">
        <w:t xml:space="preserve"> Developers;</w:t>
      </w:r>
    </w:p>
    <w:p w:rsidR="009B5914" w:rsidRDefault="00031644" w:rsidP="00031644">
      <w:pPr>
        <w:pStyle w:val="BodyParaBulletSub"/>
      </w:pPr>
      <w:r>
        <w:t>-</w:t>
      </w:r>
      <w:r>
        <w:tab/>
      </w:r>
      <w:r w:rsidR="009B5914">
        <w:t xml:space="preserve">one Senior </w:t>
      </w:r>
      <w:r w:rsidR="00613DC1">
        <w:t>Finance</w:t>
      </w:r>
      <w:r w:rsidR="009B5914">
        <w:t xml:space="preserve"> Officer;</w:t>
      </w:r>
    </w:p>
    <w:p w:rsidR="009B5914" w:rsidRDefault="00031644" w:rsidP="00031644">
      <w:pPr>
        <w:pStyle w:val="BodyParaBulletSub"/>
      </w:pPr>
      <w:r>
        <w:t>-</w:t>
      </w:r>
      <w:r>
        <w:tab/>
      </w:r>
      <w:r w:rsidR="009B5914">
        <w:t xml:space="preserve">one Senior </w:t>
      </w:r>
      <w:r w:rsidR="00613DC1">
        <w:t>Editorial</w:t>
      </w:r>
      <w:r w:rsidR="009B5914">
        <w:t xml:space="preserve"> Officer;</w:t>
      </w:r>
    </w:p>
    <w:p w:rsidR="00AD4488" w:rsidRDefault="00031644" w:rsidP="00031644">
      <w:pPr>
        <w:pStyle w:val="BodyParaBulletSub"/>
      </w:pPr>
      <w:r>
        <w:t>-</w:t>
      </w:r>
      <w:r>
        <w:tab/>
      </w:r>
      <w:r w:rsidR="00081BED">
        <w:t>seven</w:t>
      </w:r>
      <w:r w:rsidR="009A0C07">
        <w:t xml:space="preserve"> </w:t>
      </w:r>
      <w:r w:rsidR="00081BED">
        <w:t>Publishing Officers</w:t>
      </w:r>
      <w:r w:rsidR="009A0C07">
        <w:t>; and</w:t>
      </w:r>
    </w:p>
    <w:p w:rsidR="00AD4488" w:rsidRPr="00A5209B" w:rsidRDefault="00031644" w:rsidP="00031644">
      <w:pPr>
        <w:pStyle w:val="BodyParaBulletSub"/>
      </w:pPr>
      <w:r>
        <w:t>-</w:t>
      </w:r>
      <w:r>
        <w:tab/>
      </w:r>
      <w:r w:rsidR="009B5914">
        <w:t>five</w:t>
      </w:r>
      <w:r w:rsidR="009A0C07">
        <w:t xml:space="preserve"> Assistant </w:t>
      </w:r>
      <w:r w:rsidR="00081BED">
        <w:t xml:space="preserve">Editorial, Publications and </w:t>
      </w:r>
      <w:r w:rsidR="009A0C07">
        <w:t>Executive Support Officers.</w:t>
      </w:r>
    </w:p>
    <w:p w:rsidR="00AD4488" w:rsidRDefault="00AD4488" w:rsidP="00AD4488">
      <w:pPr>
        <w:pStyle w:val="Head4"/>
      </w:pPr>
      <w:r>
        <w:t>Workforce planning</w:t>
      </w:r>
    </w:p>
    <w:p w:rsidR="00AD4488" w:rsidRDefault="00AD4488" w:rsidP="00AD4488">
      <w:pPr>
        <w:pStyle w:val="BodyNum"/>
      </w:pPr>
      <w:bookmarkStart w:id="100" w:name="_Ref113169101"/>
      <w:r>
        <w:t>OPC’s workforce planning document is an integral part of our broader planning processes and ensures that we have a workforce capable of delivering on the objectives of OPC now and into the future.</w:t>
      </w:r>
    </w:p>
    <w:p w:rsidR="00AD4488" w:rsidRDefault="00AD4488" w:rsidP="00AD4488">
      <w:pPr>
        <w:pStyle w:val="BodyNum"/>
      </w:pPr>
      <w:r>
        <w:t>OPC’s strategies for ensuring that it has sufficient human resources to maintain its legislative drafting capability include:</w:t>
      </w:r>
      <w:bookmarkEnd w:id="100"/>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providing support for the Director of Drafter Training to coordinate the training and development of drafters;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giving assistant drafters intensive on-the-job training in legislative drafting as well as formal training in other relevant areas (such as IT);</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supporting each assistant drafter appointed to act as a senior drafter by providing access to another senior drafter as</w:t>
      </w:r>
      <w:r w:rsidR="00D95428">
        <w:t xml:space="preserve"> a</w:t>
      </w:r>
      <w:r>
        <w:t xml:space="preserve"> mentor;</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recognising that the contribution individual drafters make to achieving OPC’s outcome increases as their level of drafting experience increases;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giving staff who do not have access to flex-time access to flexible working hours.</w:t>
      </w:r>
    </w:p>
    <w:p w:rsidR="00AD4488" w:rsidRDefault="00AD4488" w:rsidP="00AD4488">
      <w:pPr>
        <w:pStyle w:val="Head4"/>
      </w:pPr>
      <w:r>
        <w:t>Effect of workplace agreements on staff retention</w:t>
      </w:r>
    </w:p>
    <w:p w:rsidR="00AD4488" w:rsidRDefault="00AD4488" w:rsidP="00AD4488">
      <w:pPr>
        <w:pStyle w:val="BodyNum"/>
      </w:pPr>
      <w:bookmarkStart w:id="101" w:name="_Ref113168668"/>
      <w:r>
        <w:t>Retention of drafting staff has been aided by:</w:t>
      </w:r>
      <w:bookmarkEnd w:id="101"/>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providing more flexible leave arrangements, including annual leave and personal/carer</w:t>
      </w:r>
      <w:r w:rsidR="00DD75A2">
        <w:t>’</w:t>
      </w:r>
      <w:r>
        <w:t>s leave;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recognising the value of experienced senior drafters by providing for payment of an experience loading;</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allowing some time off in recognition of the excess hours often worked by drafters (without providing a full flex-time scheme for drafters);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providing flexible working hours arrangements that allow drafters to better manage their work and personal commitments;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permitting part-time arrangements for drafters (and other staff) to allow them to balance their work and personal commitments (these arrangements are available not only to staff with caring responsibilities, but also to any staff member whose wish to work part-time can be accommodated by operational requirements).</w:t>
      </w:r>
    </w:p>
    <w:p w:rsidR="00AD4488" w:rsidRDefault="00AD4488" w:rsidP="00AD4488">
      <w:pPr>
        <w:pStyle w:val="Head3"/>
      </w:pPr>
      <w:bookmarkStart w:id="102" w:name="_Toc463613749"/>
      <w:r>
        <w:t>Workplace diversity</w:t>
      </w:r>
      <w:bookmarkEnd w:id="102"/>
    </w:p>
    <w:p w:rsidR="00AD4488" w:rsidRDefault="00AD4488" w:rsidP="00AD4488">
      <w:pPr>
        <w:pStyle w:val="Head4"/>
      </w:pPr>
      <w:r w:rsidRPr="00DF4A3D">
        <w:t>OPC</w:t>
      </w:r>
      <w:r>
        <w:t>’</w:t>
      </w:r>
      <w:r w:rsidR="006D521B">
        <w:t>s W</w:t>
      </w:r>
      <w:r w:rsidRPr="00DF4A3D">
        <w:t xml:space="preserve">orkplace </w:t>
      </w:r>
      <w:r w:rsidR="006D521B">
        <w:t>D</w:t>
      </w:r>
      <w:r w:rsidRPr="00DF4A3D">
        <w:t xml:space="preserve">iversity </w:t>
      </w:r>
      <w:r w:rsidR="006D521B">
        <w:t>P</w:t>
      </w:r>
      <w:r w:rsidRPr="00DF4A3D">
        <w:t>rogram</w:t>
      </w:r>
    </w:p>
    <w:p w:rsidR="00AD4488" w:rsidRDefault="00AD4488" w:rsidP="00AD4488">
      <w:pPr>
        <w:pStyle w:val="BodyNum"/>
      </w:pPr>
      <w:bookmarkStart w:id="103" w:name="_Ref241317579"/>
      <w:r>
        <w:t>The objectives of OPC’s Workplace Diversity Program are: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to raise awareness of workplace diversity and</w:t>
      </w:r>
      <w:r w:rsidR="00DD75A2">
        <w:t xml:space="preserve"> of</w:t>
      </w:r>
      <w:r>
        <w:t xml:space="preserve"> the value of a diverse workforce to OPC;</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to ensure that workplace structures, conditions, systems and procedures foster diversity and allow employees to manage work and personal life;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to ensure equity in employment is promoted and upheld;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to continue to provide opportunities for employees to participate and contribute to the work of OPC;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to prevent and eliminate bullying, harassment and unlawful discrimination in the workplace.</w:t>
      </w:r>
    </w:p>
    <w:p w:rsidR="00802448" w:rsidRPr="00812C1B" w:rsidRDefault="00AD4488" w:rsidP="00AD4488">
      <w:pPr>
        <w:pStyle w:val="BodyNum"/>
      </w:pPr>
      <w:r w:rsidRPr="00802448">
        <w:t>At the end of 201</w:t>
      </w:r>
      <w:r w:rsidR="00613DC1">
        <w:t>5</w:t>
      </w:r>
      <w:r w:rsidRPr="00802448">
        <w:t>-201</w:t>
      </w:r>
      <w:r w:rsidR="00613DC1">
        <w:t>6</w:t>
      </w:r>
      <w:r w:rsidR="00DD75A2" w:rsidRPr="00802448">
        <w:t>,</w:t>
      </w:r>
      <w:r w:rsidRPr="00802448">
        <w:t xml:space="preserve"> the APSC conducted the 201</w:t>
      </w:r>
      <w:r w:rsidR="00613DC1">
        <w:t>6</w:t>
      </w:r>
      <w:r w:rsidRPr="00802448">
        <w:t xml:space="preserve"> State of the Service Employee Census. </w:t>
      </w:r>
      <w:r w:rsidR="00812C1B" w:rsidRPr="00812C1B">
        <w:t>Eighty one</w:t>
      </w:r>
      <w:r w:rsidRPr="00812C1B">
        <w:t xml:space="preserve"> per cent of OPC’s employ</w:t>
      </w:r>
      <w:r w:rsidR="00802448" w:rsidRPr="00812C1B">
        <w:t>ees participated in the survey.</w:t>
      </w:r>
    </w:p>
    <w:p w:rsidR="00AD4488" w:rsidRPr="00111AD7" w:rsidRDefault="00AD4488" w:rsidP="00AD4488">
      <w:pPr>
        <w:pStyle w:val="BodyNum"/>
      </w:pPr>
      <w:r w:rsidRPr="00111AD7">
        <w:t>The following table shows OPC’s results against the performance indicators for each objective:</w:t>
      </w:r>
    </w:p>
    <w:p w:rsidR="00AD4488" w:rsidRPr="001F4B60" w:rsidRDefault="00AD4488" w:rsidP="00AD4488">
      <w:pPr>
        <w:pStyle w:val="Tabletext"/>
        <w:spacing w:before="0" w:line="240" w:lineRule="auto"/>
      </w:pPr>
    </w:p>
    <w:tbl>
      <w:tblPr>
        <w:tblW w:w="3360" w:type="dxa"/>
        <w:tblInd w:w="108" w:type="dxa"/>
        <w:tblLayout w:type="fixed"/>
        <w:tblLook w:val="0000" w:firstRow="0" w:lastRow="0" w:firstColumn="0" w:lastColumn="0" w:noHBand="0" w:noVBand="0"/>
      </w:tblPr>
      <w:tblGrid>
        <w:gridCol w:w="284"/>
        <w:gridCol w:w="76"/>
        <w:gridCol w:w="1800"/>
        <w:gridCol w:w="600"/>
        <w:gridCol w:w="600"/>
      </w:tblGrid>
      <w:tr w:rsidR="00AD4488" w:rsidRPr="00D247EE" w:rsidTr="00B37353">
        <w:trPr>
          <w:trHeight w:val="600"/>
          <w:tblHeader/>
        </w:trPr>
        <w:tc>
          <w:tcPr>
            <w:tcW w:w="284" w:type="dxa"/>
            <w:vMerge w:val="restart"/>
            <w:tcBorders>
              <w:top w:val="single" w:sz="12" w:space="0" w:color="auto"/>
            </w:tcBorders>
            <w:shd w:val="clear" w:color="auto" w:fill="auto"/>
          </w:tcPr>
          <w:p w:rsidR="00AD4488" w:rsidRPr="00D247EE" w:rsidRDefault="00AD4488" w:rsidP="00B37353">
            <w:pPr>
              <w:pStyle w:val="Tabletext"/>
              <w:keepNext/>
              <w:spacing w:line="120" w:lineRule="atLeast"/>
              <w:rPr>
                <w:b/>
                <w:sz w:val="16"/>
                <w:szCs w:val="16"/>
              </w:rPr>
            </w:pPr>
          </w:p>
        </w:tc>
        <w:tc>
          <w:tcPr>
            <w:tcW w:w="1876" w:type="dxa"/>
            <w:gridSpan w:val="2"/>
            <w:vMerge w:val="restart"/>
            <w:tcBorders>
              <w:top w:val="single" w:sz="12" w:space="0" w:color="auto"/>
            </w:tcBorders>
            <w:shd w:val="clear" w:color="auto" w:fill="auto"/>
          </w:tcPr>
          <w:p w:rsidR="00AD4488" w:rsidRPr="00D247EE" w:rsidRDefault="00AD4488" w:rsidP="00B37353">
            <w:pPr>
              <w:pStyle w:val="Tabletext"/>
              <w:keepNext/>
              <w:rPr>
                <w:b/>
                <w:sz w:val="16"/>
                <w:szCs w:val="16"/>
              </w:rPr>
            </w:pPr>
            <w:r>
              <w:rPr>
                <w:b/>
                <w:sz w:val="16"/>
                <w:szCs w:val="16"/>
              </w:rPr>
              <w:t>Objectives and Performance Indicators (PI)</w:t>
            </w:r>
          </w:p>
        </w:tc>
        <w:tc>
          <w:tcPr>
            <w:tcW w:w="1200" w:type="dxa"/>
            <w:gridSpan w:val="2"/>
            <w:tcBorders>
              <w:top w:val="single" w:sz="12" w:space="0" w:color="auto"/>
              <w:bottom w:val="single" w:sz="4" w:space="0" w:color="auto"/>
            </w:tcBorders>
            <w:shd w:val="clear" w:color="auto" w:fill="auto"/>
          </w:tcPr>
          <w:p w:rsidR="00AD4488" w:rsidRPr="00D247EE" w:rsidRDefault="00AD4488" w:rsidP="00B37353">
            <w:pPr>
              <w:pStyle w:val="Tabletext"/>
              <w:keepNext/>
              <w:rPr>
                <w:b/>
                <w:sz w:val="16"/>
                <w:szCs w:val="16"/>
              </w:rPr>
            </w:pPr>
            <w:r w:rsidRPr="00D247EE">
              <w:rPr>
                <w:b/>
                <w:sz w:val="16"/>
                <w:szCs w:val="16"/>
              </w:rPr>
              <w:t>% Agreed</w:t>
            </w:r>
          </w:p>
        </w:tc>
      </w:tr>
      <w:tr w:rsidR="00AD4488" w:rsidRPr="00D247EE" w:rsidTr="00B37353">
        <w:trPr>
          <w:trHeight w:val="600"/>
          <w:tblHeader/>
        </w:trPr>
        <w:tc>
          <w:tcPr>
            <w:tcW w:w="284" w:type="dxa"/>
            <w:vMerge/>
            <w:tcBorders>
              <w:bottom w:val="single" w:sz="12" w:space="0" w:color="auto"/>
            </w:tcBorders>
            <w:shd w:val="clear" w:color="auto" w:fill="auto"/>
          </w:tcPr>
          <w:p w:rsidR="00AD4488" w:rsidRPr="00D247EE" w:rsidRDefault="00AD4488" w:rsidP="00B37353">
            <w:pPr>
              <w:pStyle w:val="Tabletext"/>
              <w:keepNext/>
              <w:rPr>
                <w:b/>
                <w:sz w:val="16"/>
                <w:szCs w:val="16"/>
              </w:rPr>
            </w:pPr>
          </w:p>
        </w:tc>
        <w:tc>
          <w:tcPr>
            <w:tcW w:w="1876" w:type="dxa"/>
            <w:gridSpan w:val="2"/>
            <w:vMerge/>
            <w:tcBorders>
              <w:bottom w:val="single" w:sz="12" w:space="0" w:color="auto"/>
            </w:tcBorders>
            <w:shd w:val="clear" w:color="auto" w:fill="auto"/>
          </w:tcPr>
          <w:p w:rsidR="00AD4488" w:rsidRPr="00D247EE" w:rsidRDefault="00AD4488" w:rsidP="00B37353">
            <w:pPr>
              <w:pStyle w:val="Tabletext"/>
              <w:keepNext/>
              <w:rPr>
                <w:b/>
                <w:sz w:val="16"/>
                <w:szCs w:val="16"/>
              </w:rPr>
            </w:pPr>
          </w:p>
        </w:tc>
        <w:tc>
          <w:tcPr>
            <w:tcW w:w="600" w:type="dxa"/>
            <w:tcBorders>
              <w:top w:val="single" w:sz="4" w:space="0" w:color="auto"/>
              <w:bottom w:val="single" w:sz="12" w:space="0" w:color="auto"/>
            </w:tcBorders>
            <w:shd w:val="clear" w:color="auto" w:fill="auto"/>
          </w:tcPr>
          <w:p w:rsidR="00AD4488" w:rsidRPr="00D247EE" w:rsidRDefault="00AD4488" w:rsidP="00B37353">
            <w:pPr>
              <w:pStyle w:val="Tabletext"/>
              <w:keepNext/>
              <w:rPr>
                <w:b/>
                <w:sz w:val="16"/>
                <w:szCs w:val="16"/>
              </w:rPr>
            </w:pPr>
            <w:r w:rsidRPr="00D247EE">
              <w:rPr>
                <w:b/>
                <w:sz w:val="16"/>
                <w:szCs w:val="16"/>
              </w:rPr>
              <w:t>OPC</w:t>
            </w:r>
          </w:p>
        </w:tc>
        <w:tc>
          <w:tcPr>
            <w:tcW w:w="600" w:type="dxa"/>
            <w:tcBorders>
              <w:top w:val="single" w:sz="4" w:space="0" w:color="auto"/>
              <w:bottom w:val="single" w:sz="12" w:space="0" w:color="auto"/>
            </w:tcBorders>
            <w:shd w:val="clear" w:color="auto" w:fill="auto"/>
          </w:tcPr>
          <w:p w:rsidR="00AD4488" w:rsidRPr="00D247EE" w:rsidRDefault="00AD4488" w:rsidP="00B37353">
            <w:pPr>
              <w:pStyle w:val="Tabletext"/>
              <w:keepNext/>
              <w:rPr>
                <w:b/>
                <w:sz w:val="16"/>
                <w:szCs w:val="16"/>
              </w:rPr>
            </w:pPr>
            <w:r>
              <w:rPr>
                <w:b/>
                <w:sz w:val="16"/>
                <w:szCs w:val="16"/>
              </w:rPr>
              <w:t>PI</w:t>
            </w:r>
          </w:p>
        </w:tc>
      </w:tr>
      <w:tr w:rsidR="00AD4488" w:rsidRPr="00D247EE" w:rsidTr="00B37353">
        <w:tc>
          <w:tcPr>
            <w:tcW w:w="360" w:type="dxa"/>
            <w:gridSpan w:val="2"/>
            <w:tcBorders>
              <w:top w:val="single" w:sz="12" w:space="0" w:color="auto"/>
              <w:bottom w:val="single" w:sz="2" w:space="0" w:color="auto"/>
            </w:tcBorders>
            <w:shd w:val="clear" w:color="auto" w:fill="auto"/>
          </w:tcPr>
          <w:p w:rsidR="00AD4488" w:rsidRPr="00D247EE" w:rsidRDefault="00AD4488" w:rsidP="00B37353">
            <w:pPr>
              <w:pStyle w:val="Tabletext"/>
              <w:rPr>
                <w:sz w:val="16"/>
                <w:szCs w:val="16"/>
              </w:rPr>
            </w:pPr>
            <w:r w:rsidRPr="00D247EE">
              <w:rPr>
                <w:sz w:val="16"/>
                <w:szCs w:val="16"/>
              </w:rPr>
              <w:t>1</w:t>
            </w:r>
          </w:p>
        </w:tc>
        <w:tc>
          <w:tcPr>
            <w:tcW w:w="1800" w:type="dxa"/>
            <w:tcBorders>
              <w:top w:val="single" w:sz="12" w:space="0" w:color="auto"/>
              <w:bottom w:val="single" w:sz="2" w:space="0" w:color="auto"/>
            </w:tcBorders>
            <w:shd w:val="clear" w:color="auto" w:fill="auto"/>
          </w:tcPr>
          <w:p w:rsidR="00AD4488" w:rsidRDefault="006D521B" w:rsidP="00B37353">
            <w:pPr>
              <w:pStyle w:val="Tabletext"/>
              <w:rPr>
                <w:sz w:val="16"/>
                <w:szCs w:val="16"/>
              </w:rPr>
            </w:pPr>
            <w:r>
              <w:rPr>
                <w:sz w:val="16"/>
                <w:szCs w:val="16"/>
              </w:rPr>
              <w:t>The people in my work</w:t>
            </w:r>
            <w:r w:rsidR="00AD4488">
              <w:rPr>
                <w:sz w:val="16"/>
                <w:szCs w:val="16"/>
              </w:rPr>
              <w:t xml:space="preserve">group </w:t>
            </w:r>
            <w:r w:rsidR="00CB6C07">
              <w:rPr>
                <w:sz w:val="16"/>
                <w:szCs w:val="16"/>
              </w:rPr>
              <w:t>behave in an</w:t>
            </w:r>
            <w:r w:rsidR="00AD4488">
              <w:rPr>
                <w:sz w:val="16"/>
                <w:szCs w:val="16"/>
              </w:rPr>
              <w:t xml:space="preserve"> accepting</w:t>
            </w:r>
            <w:r w:rsidR="00CB6C07">
              <w:rPr>
                <w:sz w:val="16"/>
                <w:szCs w:val="16"/>
              </w:rPr>
              <w:t xml:space="preserve"> manner towards</w:t>
            </w:r>
            <w:r w:rsidR="00AD4488">
              <w:rPr>
                <w:sz w:val="16"/>
                <w:szCs w:val="16"/>
              </w:rPr>
              <w:t xml:space="preserve"> people from diverse backgrounds.</w:t>
            </w:r>
          </w:p>
          <w:p w:rsidR="00AD4488" w:rsidRDefault="00CB6C07" w:rsidP="00B37353">
            <w:pPr>
              <w:pStyle w:val="Tabletext"/>
              <w:rPr>
                <w:sz w:val="16"/>
                <w:szCs w:val="16"/>
              </w:rPr>
            </w:pPr>
            <w:r>
              <w:rPr>
                <w:sz w:val="16"/>
                <w:szCs w:val="16"/>
              </w:rPr>
              <w:t>SES</w:t>
            </w:r>
            <w:r w:rsidR="00AD4488">
              <w:rPr>
                <w:sz w:val="16"/>
                <w:szCs w:val="16"/>
              </w:rPr>
              <w:t xml:space="preserve"> </w:t>
            </w:r>
            <w:r>
              <w:rPr>
                <w:sz w:val="16"/>
                <w:szCs w:val="16"/>
              </w:rPr>
              <w:t>behave in an accepting manner towards</w:t>
            </w:r>
            <w:r w:rsidR="00AD4488">
              <w:rPr>
                <w:sz w:val="16"/>
                <w:szCs w:val="16"/>
              </w:rPr>
              <w:t xml:space="preserve"> people from diverse backgrounds.</w:t>
            </w:r>
          </w:p>
          <w:p w:rsidR="00AD4488" w:rsidRPr="00D247EE" w:rsidRDefault="00AD4488" w:rsidP="00B37353">
            <w:pPr>
              <w:pStyle w:val="Tabletext"/>
              <w:rPr>
                <w:sz w:val="16"/>
                <w:szCs w:val="16"/>
              </w:rPr>
            </w:pPr>
            <w:r>
              <w:rPr>
                <w:sz w:val="16"/>
                <w:szCs w:val="16"/>
              </w:rPr>
              <w:t>OPC is committed to creating a diverse workforce.</w:t>
            </w:r>
          </w:p>
        </w:tc>
        <w:tc>
          <w:tcPr>
            <w:tcW w:w="600" w:type="dxa"/>
            <w:tcBorders>
              <w:top w:val="single" w:sz="12" w:space="0" w:color="auto"/>
              <w:bottom w:val="single" w:sz="2" w:space="0" w:color="auto"/>
            </w:tcBorders>
            <w:shd w:val="clear" w:color="auto" w:fill="auto"/>
          </w:tcPr>
          <w:p w:rsidR="00AD4488" w:rsidRPr="00802448" w:rsidRDefault="00CB6C07" w:rsidP="00B37353">
            <w:pPr>
              <w:pStyle w:val="Tabletext"/>
              <w:rPr>
                <w:b/>
                <w:sz w:val="16"/>
                <w:szCs w:val="16"/>
              </w:rPr>
            </w:pPr>
            <w:r>
              <w:rPr>
                <w:b/>
                <w:sz w:val="16"/>
                <w:szCs w:val="16"/>
              </w:rPr>
              <w:t>81</w:t>
            </w:r>
          </w:p>
          <w:p w:rsidR="00AD4488" w:rsidRPr="00802448" w:rsidRDefault="00AD4488" w:rsidP="00B37353">
            <w:pPr>
              <w:pStyle w:val="Tabletext"/>
              <w:rPr>
                <w:b/>
                <w:sz w:val="16"/>
                <w:szCs w:val="16"/>
              </w:rPr>
            </w:pPr>
          </w:p>
          <w:p w:rsidR="00AD4488" w:rsidRPr="00802448" w:rsidRDefault="00AD4488" w:rsidP="00B37353">
            <w:pPr>
              <w:pStyle w:val="Tabletext"/>
              <w:rPr>
                <w:b/>
                <w:sz w:val="16"/>
                <w:szCs w:val="16"/>
              </w:rPr>
            </w:pPr>
          </w:p>
          <w:p w:rsidR="00AD4488" w:rsidRPr="00802448" w:rsidRDefault="00CB6C07" w:rsidP="00B37353">
            <w:pPr>
              <w:pStyle w:val="Tabletext"/>
              <w:rPr>
                <w:b/>
                <w:sz w:val="16"/>
                <w:szCs w:val="16"/>
              </w:rPr>
            </w:pPr>
            <w:r>
              <w:rPr>
                <w:b/>
                <w:sz w:val="16"/>
                <w:szCs w:val="16"/>
              </w:rPr>
              <w:t>76</w:t>
            </w:r>
          </w:p>
          <w:p w:rsidR="00AD4488" w:rsidRPr="00802448" w:rsidRDefault="00AD4488" w:rsidP="00B37353">
            <w:pPr>
              <w:pStyle w:val="Tabletext"/>
              <w:rPr>
                <w:b/>
                <w:sz w:val="16"/>
                <w:szCs w:val="16"/>
              </w:rPr>
            </w:pPr>
          </w:p>
          <w:p w:rsidR="00AD4488" w:rsidRPr="00802448" w:rsidRDefault="00AD4488" w:rsidP="00B37353">
            <w:pPr>
              <w:pStyle w:val="Tabletext"/>
              <w:rPr>
                <w:b/>
                <w:sz w:val="16"/>
                <w:szCs w:val="16"/>
              </w:rPr>
            </w:pPr>
          </w:p>
          <w:p w:rsidR="00AD4488" w:rsidRPr="00802448" w:rsidRDefault="00CB6C07" w:rsidP="00B37353">
            <w:pPr>
              <w:pStyle w:val="Tabletext"/>
              <w:rPr>
                <w:b/>
                <w:sz w:val="16"/>
                <w:szCs w:val="16"/>
              </w:rPr>
            </w:pPr>
            <w:r>
              <w:rPr>
                <w:b/>
                <w:sz w:val="16"/>
                <w:szCs w:val="16"/>
              </w:rPr>
              <w:t>54</w:t>
            </w:r>
            <w:r w:rsidR="00AD4488" w:rsidRPr="00802448">
              <w:rPr>
                <w:b/>
                <w:sz w:val="16"/>
                <w:szCs w:val="16"/>
              </w:rPr>
              <w:t>*</w:t>
            </w:r>
          </w:p>
        </w:tc>
        <w:tc>
          <w:tcPr>
            <w:tcW w:w="600" w:type="dxa"/>
            <w:tcBorders>
              <w:top w:val="single" w:sz="12" w:space="0" w:color="auto"/>
              <w:bottom w:val="single" w:sz="2" w:space="0" w:color="auto"/>
            </w:tcBorders>
            <w:shd w:val="clear" w:color="auto" w:fill="auto"/>
          </w:tcPr>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Default="00AD4488" w:rsidP="00B37353">
            <w:pPr>
              <w:pStyle w:val="Tabletext"/>
              <w:rPr>
                <w:i/>
                <w:sz w:val="16"/>
                <w:szCs w:val="16"/>
              </w:rPr>
            </w:pPr>
          </w:p>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Default="00AD4488" w:rsidP="00B37353">
            <w:pPr>
              <w:pStyle w:val="Tabletext"/>
              <w:rPr>
                <w:i/>
                <w:sz w:val="16"/>
                <w:szCs w:val="16"/>
              </w:rPr>
            </w:pPr>
          </w:p>
          <w:p w:rsidR="00AD4488" w:rsidRPr="00D247EE" w:rsidRDefault="00AD4488" w:rsidP="00B37353">
            <w:pPr>
              <w:pStyle w:val="Tabletext"/>
              <w:rPr>
                <w:i/>
                <w:sz w:val="16"/>
                <w:szCs w:val="16"/>
              </w:rPr>
            </w:pPr>
            <w:r>
              <w:rPr>
                <w:i/>
                <w:sz w:val="16"/>
                <w:szCs w:val="16"/>
              </w:rPr>
              <w:t>75</w:t>
            </w:r>
          </w:p>
        </w:tc>
      </w:tr>
      <w:tr w:rsidR="00AD4488" w:rsidRPr="00D247EE" w:rsidTr="00B37353">
        <w:tc>
          <w:tcPr>
            <w:tcW w:w="360" w:type="dxa"/>
            <w:gridSpan w:val="2"/>
            <w:tcBorders>
              <w:top w:val="single" w:sz="2" w:space="0" w:color="auto"/>
              <w:bottom w:val="single" w:sz="2" w:space="0" w:color="auto"/>
            </w:tcBorders>
            <w:shd w:val="clear" w:color="auto" w:fill="auto"/>
          </w:tcPr>
          <w:p w:rsidR="00AD4488" w:rsidRPr="00D247EE" w:rsidRDefault="00AD4488" w:rsidP="00B37353">
            <w:pPr>
              <w:pStyle w:val="Tabletext"/>
              <w:rPr>
                <w:sz w:val="16"/>
                <w:szCs w:val="16"/>
              </w:rPr>
            </w:pPr>
            <w:r w:rsidRPr="00D247EE">
              <w:rPr>
                <w:sz w:val="16"/>
                <w:szCs w:val="16"/>
              </w:rPr>
              <w:t>2</w:t>
            </w:r>
          </w:p>
        </w:tc>
        <w:tc>
          <w:tcPr>
            <w:tcW w:w="1800" w:type="dxa"/>
            <w:tcBorders>
              <w:top w:val="single" w:sz="2" w:space="0" w:color="auto"/>
              <w:bottom w:val="single" w:sz="2" w:space="0" w:color="auto"/>
            </w:tcBorders>
            <w:shd w:val="clear" w:color="auto" w:fill="auto"/>
          </w:tcPr>
          <w:p w:rsidR="00AD4488" w:rsidRDefault="00AD4488" w:rsidP="00B37353">
            <w:pPr>
              <w:pStyle w:val="Tabletext"/>
              <w:rPr>
                <w:sz w:val="16"/>
                <w:szCs w:val="16"/>
              </w:rPr>
            </w:pPr>
            <w:r>
              <w:rPr>
                <w:sz w:val="16"/>
                <w:szCs w:val="16"/>
              </w:rPr>
              <w:t>Employees are satisfied with their work-life balance in OPC.</w:t>
            </w:r>
          </w:p>
          <w:p w:rsidR="00AD4488" w:rsidRDefault="00AD4488" w:rsidP="00B37353">
            <w:pPr>
              <w:pStyle w:val="Tabletext"/>
              <w:rPr>
                <w:sz w:val="16"/>
                <w:szCs w:val="16"/>
              </w:rPr>
            </w:pPr>
            <w:r>
              <w:rPr>
                <w:sz w:val="16"/>
                <w:szCs w:val="16"/>
              </w:rPr>
              <w:t>Employees are satisfied with their ability to access and use flexible working arrangements.</w:t>
            </w:r>
          </w:p>
          <w:p w:rsidR="00AD4488" w:rsidRPr="00D247EE" w:rsidRDefault="00AD4488" w:rsidP="00B37353">
            <w:pPr>
              <w:pStyle w:val="Tabletext"/>
              <w:rPr>
                <w:sz w:val="16"/>
                <w:szCs w:val="16"/>
              </w:rPr>
            </w:pPr>
            <w:r>
              <w:rPr>
                <w:sz w:val="16"/>
                <w:szCs w:val="16"/>
              </w:rPr>
              <w:t>OPC’s workplace culture supports employees to achieve a good work-life balance.</w:t>
            </w:r>
          </w:p>
        </w:tc>
        <w:tc>
          <w:tcPr>
            <w:tcW w:w="600" w:type="dxa"/>
            <w:tcBorders>
              <w:top w:val="single" w:sz="2" w:space="0" w:color="auto"/>
              <w:bottom w:val="single" w:sz="2" w:space="0" w:color="auto"/>
            </w:tcBorders>
            <w:shd w:val="clear" w:color="auto" w:fill="auto"/>
          </w:tcPr>
          <w:p w:rsidR="00AD4488" w:rsidRPr="00802448" w:rsidRDefault="00111AD7" w:rsidP="00B37353">
            <w:pPr>
              <w:pStyle w:val="Tabletext"/>
              <w:rPr>
                <w:b/>
                <w:sz w:val="16"/>
                <w:szCs w:val="16"/>
              </w:rPr>
            </w:pPr>
            <w:r>
              <w:rPr>
                <w:b/>
                <w:sz w:val="16"/>
                <w:szCs w:val="16"/>
              </w:rPr>
              <w:t>85</w:t>
            </w:r>
          </w:p>
          <w:p w:rsidR="00AD4488" w:rsidRPr="00802448" w:rsidRDefault="00AD4488" w:rsidP="00B37353">
            <w:pPr>
              <w:pStyle w:val="Tabletext"/>
              <w:rPr>
                <w:b/>
                <w:sz w:val="16"/>
                <w:szCs w:val="16"/>
              </w:rPr>
            </w:pPr>
          </w:p>
          <w:p w:rsidR="00111AD7" w:rsidRDefault="00111AD7" w:rsidP="00B37353">
            <w:pPr>
              <w:pStyle w:val="Tabletext"/>
              <w:rPr>
                <w:b/>
                <w:sz w:val="16"/>
                <w:szCs w:val="16"/>
              </w:rPr>
            </w:pPr>
          </w:p>
          <w:p w:rsidR="00AD4488" w:rsidRPr="00802448" w:rsidRDefault="00D14F24" w:rsidP="00B37353">
            <w:pPr>
              <w:pStyle w:val="Tabletext"/>
              <w:rPr>
                <w:b/>
                <w:sz w:val="16"/>
                <w:szCs w:val="16"/>
              </w:rPr>
            </w:pPr>
            <w:r>
              <w:rPr>
                <w:b/>
                <w:sz w:val="16"/>
                <w:szCs w:val="16"/>
              </w:rPr>
              <w:t>8</w:t>
            </w:r>
            <w:r w:rsidR="00111AD7">
              <w:rPr>
                <w:b/>
                <w:sz w:val="16"/>
                <w:szCs w:val="16"/>
              </w:rPr>
              <w:t>2</w:t>
            </w:r>
          </w:p>
          <w:p w:rsidR="00AD4488" w:rsidRPr="00802448" w:rsidRDefault="00AD4488" w:rsidP="00B37353">
            <w:pPr>
              <w:pStyle w:val="Tabletext"/>
              <w:rPr>
                <w:b/>
                <w:sz w:val="16"/>
                <w:szCs w:val="16"/>
              </w:rPr>
            </w:pPr>
          </w:p>
          <w:p w:rsidR="00AD4488" w:rsidRPr="00802448" w:rsidRDefault="00AD4488" w:rsidP="00B37353">
            <w:pPr>
              <w:pStyle w:val="Tabletext"/>
              <w:rPr>
                <w:b/>
                <w:sz w:val="16"/>
                <w:szCs w:val="16"/>
              </w:rPr>
            </w:pPr>
          </w:p>
          <w:p w:rsidR="00AD4488" w:rsidRPr="00802448" w:rsidRDefault="00111AD7" w:rsidP="00B37353">
            <w:pPr>
              <w:pStyle w:val="Tabletext"/>
              <w:rPr>
                <w:b/>
                <w:sz w:val="16"/>
                <w:szCs w:val="16"/>
              </w:rPr>
            </w:pPr>
            <w:r>
              <w:rPr>
                <w:b/>
                <w:sz w:val="16"/>
                <w:szCs w:val="16"/>
              </w:rPr>
              <w:t>83</w:t>
            </w:r>
          </w:p>
          <w:p w:rsidR="00AD4488" w:rsidRPr="00802448" w:rsidRDefault="00AD4488" w:rsidP="00B37353">
            <w:pPr>
              <w:pStyle w:val="Tabletext"/>
              <w:rPr>
                <w:b/>
                <w:sz w:val="16"/>
                <w:szCs w:val="16"/>
              </w:rPr>
            </w:pPr>
          </w:p>
        </w:tc>
        <w:tc>
          <w:tcPr>
            <w:tcW w:w="600" w:type="dxa"/>
            <w:tcBorders>
              <w:top w:val="single" w:sz="2" w:space="0" w:color="auto"/>
              <w:bottom w:val="single" w:sz="2" w:space="0" w:color="auto"/>
            </w:tcBorders>
            <w:shd w:val="clear" w:color="auto" w:fill="auto"/>
          </w:tcPr>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Default="00AD4488" w:rsidP="00B37353">
            <w:pPr>
              <w:pStyle w:val="Tabletext"/>
              <w:rPr>
                <w:i/>
                <w:sz w:val="16"/>
                <w:szCs w:val="16"/>
              </w:rPr>
            </w:pPr>
          </w:p>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Default="00AD4488" w:rsidP="00B37353">
            <w:pPr>
              <w:pStyle w:val="Tabletext"/>
              <w:rPr>
                <w:i/>
                <w:sz w:val="16"/>
                <w:szCs w:val="16"/>
              </w:rPr>
            </w:pPr>
          </w:p>
          <w:p w:rsidR="00AD4488" w:rsidRPr="00D247EE" w:rsidRDefault="00AD4488" w:rsidP="00B37353">
            <w:pPr>
              <w:pStyle w:val="Tabletext"/>
              <w:rPr>
                <w:i/>
                <w:sz w:val="16"/>
                <w:szCs w:val="16"/>
              </w:rPr>
            </w:pPr>
            <w:r>
              <w:rPr>
                <w:i/>
                <w:sz w:val="16"/>
                <w:szCs w:val="16"/>
              </w:rPr>
              <w:t>75</w:t>
            </w:r>
          </w:p>
        </w:tc>
      </w:tr>
      <w:tr w:rsidR="00AD4488" w:rsidRPr="00D247EE" w:rsidTr="00B37353">
        <w:tc>
          <w:tcPr>
            <w:tcW w:w="360" w:type="dxa"/>
            <w:gridSpan w:val="2"/>
            <w:tcBorders>
              <w:top w:val="single" w:sz="2" w:space="0" w:color="auto"/>
              <w:bottom w:val="single" w:sz="2" w:space="0" w:color="auto"/>
            </w:tcBorders>
            <w:shd w:val="clear" w:color="auto" w:fill="auto"/>
          </w:tcPr>
          <w:p w:rsidR="00AD4488" w:rsidRPr="00D247EE" w:rsidRDefault="00AD4488" w:rsidP="00B37353">
            <w:pPr>
              <w:pStyle w:val="Tabletext"/>
              <w:rPr>
                <w:sz w:val="16"/>
                <w:szCs w:val="16"/>
              </w:rPr>
            </w:pPr>
            <w:r w:rsidRPr="00D247EE">
              <w:rPr>
                <w:sz w:val="16"/>
                <w:szCs w:val="16"/>
              </w:rPr>
              <w:t>3</w:t>
            </w:r>
          </w:p>
        </w:tc>
        <w:tc>
          <w:tcPr>
            <w:tcW w:w="1800" w:type="dxa"/>
            <w:tcBorders>
              <w:top w:val="single" w:sz="2" w:space="0" w:color="auto"/>
              <w:bottom w:val="single" w:sz="2" w:space="0" w:color="auto"/>
            </w:tcBorders>
            <w:shd w:val="clear" w:color="auto" w:fill="auto"/>
          </w:tcPr>
          <w:p w:rsidR="00AD4488" w:rsidRPr="00D247EE" w:rsidRDefault="00AD4488" w:rsidP="00B37353">
            <w:pPr>
              <w:pStyle w:val="Tabletext"/>
              <w:rPr>
                <w:sz w:val="16"/>
                <w:szCs w:val="16"/>
              </w:rPr>
            </w:pPr>
            <w:r>
              <w:rPr>
                <w:sz w:val="16"/>
                <w:szCs w:val="16"/>
              </w:rPr>
              <w:t>OPC routinely applies merit in decisions regarding engagement and promotion.</w:t>
            </w:r>
          </w:p>
        </w:tc>
        <w:tc>
          <w:tcPr>
            <w:tcW w:w="600" w:type="dxa"/>
            <w:tcBorders>
              <w:top w:val="single" w:sz="2" w:space="0" w:color="auto"/>
              <w:bottom w:val="single" w:sz="2" w:space="0" w:color="auto"/>
            </w:tcBorders>
            <w:shd w:val="clear" w:color="auto" w:fill="auto"/>
          </w:tcPr>
          <w:p w:rsidR="00AD4488" w:rsidRPr="00802448" w:rsidRDefault="00D14F24" w:rsidP="00B37353">
            <w:pPr>
              <w:pStyle w:val="Tabletext"/>
              <w:rPr>
                <w:b/>
                <w:sz w:val="16"/>
                <w:szCs w:val="16"/>
              </w:rPr>
            </w:pPr>
            <w:r>
              <w:rPr>
                <w:b/>
                <w:sz w:val="16"/>
                <w:szCs w:val="16"/>
              </w:rPr>
              <w:t>59</w:t>
            </w:r>
            <w:r w:rsidR="00AD4488" w:rsidRPr="00802448">
              <w:rPr>
                <w:b/>
                <w:sz w:val="16"/>
                <w:szCs w:val="16"/>
              </w:rPr>
              <w:t>*</w:t>
            </w:r>
          </w:p>
          <w:p w:rsidR="00AD4488" w:rsidRPr="00802448" w:rsidRDefault="00AD4488" w:rsidP="00B37353">
            <w:pPr>
              <w:pStyle w:val="Tabletext"/>
              <w:rPr>
                <w:b/>
                <w:sz w:val="16"/>
                <w:szCs w:val="16"/>
              </w:rPr>
            </w:pPr>
          </w:p>
        </w:tc>
        <w:tc>
          <w:tcPr>
            <w:tcW w:w="600" w:type="dxa"/>
            <w:tcBorders>
              <w:top w:val="single" w:sz="2" w:space="0" w:color="auto"/>
              <w:bottom w:val="single" w:sz="2" w:space="0" w:color="auto"/>
            </w:tcBorders>
            <w:shd w:val="clear" w:color="auto" w:fill="auto"/>
          </w:tcPr>
          <w:p w:rsidR="00AD4488" w:rsidRPr="00D247EE" w:rsidRDefault="00AD4488" w:rsidP="00B37353">
            <w:pPr>
              <w:pStyle w:val="Tabletext"/>
              <w:rPr>
                <w:i/>
                <w:sz w:val="16"/>
                <w:szCs w:val="16"/>
              </w:rPr>
            </w:pPr>
            <w:r>
              <w:rPr>
                <w:i/>
                <w:sz w:val="16"/>
                <w:szCs w:val="16"/>
              </w:rPr>
              <w:t>75</w:t>
            </w:r>
          </w:p>
        </w:tc>
      </w:tr>
      <w:tr w:rsidR="00AD4488" w:rsidRPr="00D247EE" w:rsidTr="003D5FCA">
        <w:trPr>
          <w:cantSplit/>
        </w:trPr>
        <w:tc>
          <w:tcPr>
            <w:tcW w:w="360" w:type="dxa"/>
            <w:gridSpan w:val="2"/>
            <w:tcBorders>
              <w:top w:val="single" w:sz="2" w:space="0" w:color="auto"/>
              <w:bottom w:val="single" w:sz="2" w:space="0" w:color="auto"/>
            </w:tcBorders>
            <w:shd w:val="clear" w:color="auto" w:fill="auto"/>
          </w:tcPr>
          <w:p w:rsidR="00AD4488" w:rsidRPr="00D247EE" w:rsidRDefault="00AD4488" w:rsidP="00B37353">
            <w:pPr>
              <w:pStyle w:val="Tabletext"/>
              <w:rPr>
                <w:sz w:val="16"/>
                <w:szCs w:val="16"/>
              </w:rPr>
            </w:pPr>
            <w:r w:rsidRPr="00D247EE">
              <w:rPr>
                <w:sz w:val="16"/>
                <w:szCs w:val="16"/>
              </w:rPr>
              <w:t>4</w:t>
            </w:r>
          </w:p>
        </w:tc>
        <w:tc>
          <w:tcPr>
            <w:tcW w:w="1800" w:type="dxa"/>
            <w:tcBorders>
              <w:top w:val="single" w:sz="2" w:space="0" w:color="auto"/>
              <w:bottom w:val="single" w:sz="2" w:space="0" w:color="auto"/>
            </w:tcBorders>
            <w:shd w:val="clear" w:color="auto" w:fill="auto"/>
          </w:tcPr>
          <w:p w:rsidR="00AD4488" w:rsidRDefault="00AD4488" w:rsidP="00B37353">
            <w:pPr>
              <w:pStyle w:val="Tabletext"/>
              <w:rPr>
                <w:sz w:val="16"/>
                <w:szCs w:val="16"/>
              </w:rPr>
            </w:pPr>
            <w:r>
              <w:rPr>
                <w:sz w:val="16"/>
                <w:szCs w:val="16"/>
              </w:rPr>
              <w:t>Communication between senior leaders and staff is effective.</w:t>
            </w:r>
          </w:p>
          <w:p w:rsidR="00AD4488" w:rsidRPr="00D247EE" w:rsidRDefault="00AD4488" w:rsidP="00B37353">
            <w:pPr>
              <w:pStyle w:val="Tabletext"/>
              <w:rPr>
                <w:sz w:val="16"/>
                <w:szCs w:val="16"/>
              </w:rPr>
            </w:pPr>
            <w:r>
              <w:rPr>
                <w:sz w:val="16"/>
                <w:szCs w:val="16"/>
              </w:rPr>
              <w:t>Employees are satisfied with the workplace attributes that impact on job satisfaction.</w:t>
            </w:r>
          </w:p>
        </w:tc>
        <w:tc>
          <w:tcPr>
            <w:tcW w:w="600" w:type="dxa"/>
            <w:tcBorders>
              <w:top w:val="single" w:sz="2" w:space="0" w:color="auto"/>
              <w:bottom w:val="single" w:sz="2" w:space="0" w:color="auto"/>
            </w:tcBorders>
            <w:shd w:val="clear" w:color="auto" w:fill="auto"/>
          </w:tcPr>
          <w:p w:rsidR="00AD4488" w:rsidRPr="00802448" w:rsidRDefault="00111AD7" w:rsidP="00B37353">
            <w:pPr>
              <w:pStyle w:val="Tabletext"/>
              <w:rPr>
                <w:b/>
                <w:sz w:val="16"/>
                <w:szCs w:val="16"/>
              </w:rPr>
            </w:pPr>
            <w:r>
              <w:rPr>
                <w:b/>
                <w:sz w:val="16"/>
                <w:szCs w:val="16"/>
              </w:rPr>
              <w:t>75</w:t>
            </w:r>
          </w:p>
          <w:p w:rsidR="00AD4488" w:rsidRPr="00802448" w:rsidRDefault="00AD4488" w:rsidP="00B37353">
            <w:pPr>
              <w:pStyle w:val="Tabletext"/>
              <w:rPr>
                <w:b/>
                <w:sz w:val="16"/>
                <w:szCs w:val="16"/>
              </w:rPr>
            </w:pPr>
          </w:p>
          <w:p w:rsidR="00AD4488" w:rsidRPr="00802448" w:rsidRDefault="00AD4488" w:rsidP="00B37353">
            <w:pPr>
              <w:pStyle w:val="Tabletext"/>
              <w:rPr>
                <w:b/>
                <w:sz w:val="16"/>
                <w:szCs w:val="16"/>
              </w:rPr>
            </w:pPr>
          </w:p>
          <w:p w:rsidR="00AD4488" w:rsidRPr="00802448" w:rsidRDefault="00D14F24" w:rsidP="00B37353">
            <w:pPr>
              <w:pStyle w:val="Tabletext"/>
              <w:rPr>
                <w:b/>
                <w:sz w:val="16"/>
                <w:szCs w:val="16"/>
              </w:rPr>
            </w:pPr>
            <w:r>
              <w:rPr>
                <w:b/>
                <w:sz w:val="16"/>
                <w:szCs w:val="16"/>
              </w:rPr>
              <w:t>76</w:t>
            </w:r>
          </w:p>
        </w:tc>
        <w:tc>
          <w:tcPr>
            <w:tcW w:w="600" w:type="dxa"/>
            <w:tcBorders>
              <w:top w:val="single" w:sz="2" w:space="0" w:color="auto"/>
              <w:bottom w:val="single" w:sz="2" w:space="0" w:color="auto"/>
            </w:tcBorders>
            <w:shd w:val="clear" w:color="auto" w:fill="auto"/>
          </w:tcPr>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Default="00AD4488" w:rsidP="00B37353">
            <w:pPr>
              <w:pStyle w:val="Tabletext"/>
              <w:rPr>
                <w:i/>
                <w:sz w:val="16"/>
                <w:szCs w:val="16"/>
              </w:rPr>
            </w:pPr>
          </w:p>
          <w:p w:rsidR="00AD4488" w:rsidRPr="00D247EE" w:rsidRDefault="00AD4488" w:rsidP="00B37353">
            <w:pPr>
              <w:pStyle w:val="Tabletext"/>
              <w:rPr>
                <w:i/>
                <w:sz w:val="16"/>
                <w:szCs w:val="16"/>
              </w:rPr>
            </w:pPr>
            <w:r>
              <w:rPr>
                <w:i/>
                <w:sz w:val="16"/>
                <w:szCs w:val="16"/>
              </w:rPr>
              <w:t>75</w:t>
            </w:r>
          </w:p>
        </w:tc>
      </w:tr>
      <w:tr w:rsidR="00AD4488" w:rsidRPr="008138AB" w:rsidTr="00B37353">
        <w:tc>
          <w:tcPr>
            <w:tcW w:w="360" w:type="dxa"/>
            <w:gridSpan w:val="2"/>
            <w:tcBorders>
              <w:top w:val="single" w:sz="2" w:space="0" w:color="auto"/>
              <w:bottom w:val="single" w:sz="12" w:space="0" w:color="auto"/>
            </w:tcBorders>
            <w:shd w:val="clear" w:color="auto" w:fill="auto"/>
          </w:tcPr>
          <w:p w:rsidR="00AD4488" w:rsidRPr="00D247EE" w:rsidRDefault="00AD4488" w:rsidP="00B37353">
            <w:pPr>
              <w:pStyle w:val="Tabletext"/>
              <w:rPr>
                <w:sz w:val="16"/>
                <w:szCs w:val="16"/>
              </w:rPr>
            </w:pPr>
            <w:r w:rsidRPr="00D247EE">
              <w:rPr>
                <w:sz w:val="16"/>
                <w:szCs w:val="16"/>
              </w:rPr>
              <w:t>5</w:t>
            </w:r>
          </w:p>
        </w:tc>
        <w:tc>
          <w:tcPr>
            <w:tcW w:w="1800" w:type="dxa"/>
            <w:tcBorders>
              <w:top w:val="single" w:sz="2" w:space="0" w:color="auto"/>
              <w:bottom w:val="single" w:sz="12" w:space="0" w:color="auto"/>
            </w:tcBorders>
            <w:shd w:val="clear" w:color="auto" w:fill="auto"/>
          </w:tcPr>
          <w:p w:rsidR="00AD4488" w:rsidRDefault="00AD4488" w:rsidP="00B37353">
            <w:pPr>
              <w:pStyle w:val="Tabletext"/>
              <w:rPr>
                <w:sz w:val="16"/>
                <w:szCs w:val="16"/>
              </w:rPr>
            </w:pPr>
            <w:r>
              <w:rPr>
                <w:sz w:val="16"/>
                <w:szCs w:val="16"/>
              </w:rPr>
              <w:t>I would recommend OPC as a good place to work.</w:t>
            </w:r>
          </w:p>
          <w:p w:rsidR="00AD4488" w:rsidRPr="00D247EE" w:rsidRDefault="00AD4488" w:rsidP="00B37353">
            <w:pPr>
              <w:pStyle w:val="Tabletext"/>
              <w:rPr>
                <w:sz w:val="16"/>
                <w:szCs w:val="16"/>
              </w:rPr>
            </w:pPr>
            <w:r>
              <w:rPr>
                <w:sz w:val="16"/>
                <w:szCs w:val="16"/>
              </w:rPr>
              <w:t>Employees indicate that they have not been subjected to bullying or harassment.</w:t>
            </w:r>
          </w:p>
        </w:tc>
        <w:tc>
          <w:tcPr>
            <w:tcW w:w="600" w:type="dxa"/>
            <w:tcBorders>
              <w:top w:val="single" w:sz="2" w:space="0" w:color="auto"/>
              <w:bottom w:val="single" w:sz="12" w:space="0" w:color="auto"/>
            </w:tcBorders>
            <w:shd w:val="clear" w:color="auto" w:fill="auto"/>
          </w:tcPr>
          <w:p w:rsidR="00AD4488" w:rsidRPr="00802448" w:rsidRDefault="00111AD7" w:rsidP="00B37353">
            <w:pPr>
              <w:pStyle w:val="Tabletext"/>
              <w:rPr>
                <w:b/>
                <w:sz w:val="16"/>
                <w:szCs w:val="16"/>
              </w:rPr>
            </w:pPr>
            <w:r>
              <w:rPr>
                <w:b/>
                <w:sz w:val="16"/>
                <w:szCs w:val="16"/>
              </w:rPr>
              <w:t>76</w:t>
            </w:r>
          </w:p>
          <w:p w:rsidR="00AD4488" w:rsidRPr="00802448" w:rsidRDefault="00AD4488" w:rsidP="00B37353">
            <w:pPr>
              <w:pStyle w:val="Tabletext"/>
              <w:rPr>
                <w:b/>
                <w:sz w:val="16"/>
                <w:szCs w:val="16"/>
              </w:rPr>
            </w:pPr>
          </w:p>
          <w:p w:rsidR="00AD4488" w:rsidRPr="00802448" w:rsidRDefault="00111AD7" w:rsidP="00D14F24">
            <w:pPr>
              <w:pStyle w:val="Tabletext"/>
              <w:rPr>
                <w:b/>
                <w:sz w:val="16"/>
                <w:szCs w:val="16"/>
              </w:rPr>
            </w:pPr>
            <w:r>
              <w:rPr>
                <w:b/>
                <w:sz w:val="16"/>
                <w:szCs w:val="16"/>
              </w:rPr>
              <w:t>88</w:t>
            </w:r>
          </w:p>
        </w:tc>
        <w:tc>
          <w:tcPr>
            <w:tcW w:w="600" w:type="dxa"/>
            <w:tcBorders>
              <w:top w:val="single" w:sz="2" w:space="0" w:color="auto"/>
              <w:bottom w:val="single" w:sz="12" w:space="0" w:color="auto"/>
            </w:tcBorders>
            <w:shd w:val="clear" w:color="auto" w:fill="auto"/>
          </w:tcPr>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Pr="00D247EE" w:rsidRDefault="00AD4488" w:rsidP="00B37353">
            <w:pPr>
              <w:pStyle w:val="Tabletext"/>
              <w:rPr>
                <w:i/>
                <w:sz w:val="16"/>
                <w:szCs w:val="16"/>
              </w:rPr>
            </w:pPr>
            <w:r>
              <w:rPr>
                <w:i/>
                <w:sz w:val="16"/>
                <w:szCs w:val="16"/>
              </w:rPr>
              <w:t>90</w:t>
            </w:r>
          </w:p>
        </w:tc>
      </w:tr>
      <w:bookmarkEnd w:id="103"/>
    </w:tbl>
    <w:p w:rsidR="00AD4488" w:rsidRDefault="00AD4488" w:rsidP="00AD4488">
      <w:pPr>
        <w:pStyle w:val="FootnoteText"/>
        <w:rPr>
          <w:rFonts w:ascii="Arial" w:hAnsi="Arial" w:cs="Arial"/>
          <w:sz w:val="16"/>
          <w:szCs w:val="16"/>
        </w:rPr>
      </w:pPr>
    </w:p>
    <w:p w:rsidR="00AD4488" w:rsidRPr="00802448" w:rsidRDefault="00AD4488" w:rsidP="00AD4488">
      <w:pPr>
        <w:pStyle w:val="BodyNum"/>
      </w:pPr>
      <w:r w:rsidRPr="00802448">
        <w:t xml:space="preserve">OPC’s results from the survey indicate that in </w:t>
      </w:r>
      <w:r w:rsidR="00D14F24">
        <w:t>most</w:t>
      </w:r>
      <w:r w:rsidRPr="00802448">
        <w:t xml:space="preserve"> areas OPC is meeting the objectives of the Workplace Diversity Program.</w:t>
      </w:r>
    </w:p>
    <w:p w:rsidR="00AD4488" w:rsidRPr="00FD0ECA" w:rsidRDefault="00AD4488" w:rsidP="00AD4488">
      <w:pPr>
        <w:pStyle w:val="BodyNum"/>
      </w:pPr>
      <w:r w:rsidRPr="00FD0ECA">
        <w:t>However, there are some</w:t>
      </w:r>
      <w:r w:rsidR="001C6DD1">
        <w:t xml:space="preserve"> </w:t>
      </w:r>
      <w:r w:rsidRPr="00FD0ECA">
        <w:t xml:space="preserve">areas where the results are </w:t>
      </w:r>
      <w:r w:rsidR="00D14F24">
        <w:t>still</w:t>
      </w:r>
      <w:r w:rsidRPr="00FD0ECA">
        <w:t xml:space="preserve"> below </w:t>
      </w:r>
      <w:r w:rsidR="00D14F24">
        <w:t>the performance indicator, although these areas have improved compared to the 201</w:t>
      </w:r>
      <w:r w:rsidR="001C6DD1">
        <w:t>5</w:t>
      </w:r>
      <w:r w:rsidR="00D14F24">
        <w:t xml:space="preserve"> results</w:t>
      </w:r>
      <w:r w:rsidRPr="00FD0ECA">
        <w:t xml:space="preserve"> (these are indicated by an * against the performance indicator in the table above). There </w:t>
      </w:r>
      <w:r w:rsidR="00FD0ECA" w:rsidRPr="00FD0ECA">
        <w:t>continued to be</w:t>
      </w:r>
      <w:r w:rsidRPr="00FD0ECA">
        <w:t xml:space="preserve"> a substantial </w:t>
      </w:r>
      <w:r w:rsidR="00FD0ECA" w:rsidRPr="00FD0ECA">
        <w:t>number of</w:t>
      </w:r>
      <w:r w:rsidRPr="00FD0ECA">
        <w:t xml:space="preserve"> neut</w:t>
      </w:r>
      <w:r w:rsidR="00DD75A2" w:rsidRPr="00FD0ECA">
        <w:t>ral responses of “neither agree nor disagree</w:t>
      </w:r>
      <w:r w:rsidRPr="00FD0ECA">
        <w:t>” for these survey questions which may mean that staff are unsure about these attributes of OPC.</w:t>
      </w:r>
    </w:p>
    <w:p w:rsidR="00AD4488" w:rsidRDefault="00AD4488" w:rsidP="00AD4488">
      <w:pPr>
        <w:pStyle w:val="BodyNum"/>
      </w:pPr>
      <w:r>
        <w:t>These are areas that OPC</w:t>
      </w:r>
      <w:r w:rsidR="0014749D">
        <w:t xml:space="preserve"> is </w:t>
      </w:r>
      <w:r w:rsidR="00D14F24">
        <w:t xml:space="preserve">continuing </w:t>
      </w:r>
      <w:r w:rsidR="0014749D">
        <w:t>to address and</w:t>
      </w:r>
      <w:r>
        <w:t xml:space="preserve"> will </w:t>
      </w:r>
      <w:r w:rsidR="0014749D">
        <w:t>look to improve on</w:t>
      </w:r>
      <w:r>
        <w:t xml:space="preserve"> in the coming year.</w:t>
      </w:r>
    </w:p>
    <w:p w:rsidR="00AD4488" w:rsidRDefault="00AD4488" w:rsidP="00AD4488">
      <w:pPr>
        <w:pStyle w:val="Head4"/>
      </w:pPr>
      <w:r>
        <w:t>OPC’s Reconciliation Action Plan</w:t>
      </w:r>
    </w:p>
    <w:p w:rsidR="00AD4488" w:rsidRDefault="00AD4488" w:rsidP="00AD4488">
      <w:pPr>
        <w:pStyle w:val="BodyNum"/>
      </w:pPr>
      <w:bookmarkStart w:id="104" w:name="_Ref241317244"/>
      <w:r>
        <w:t>OPC is committed to the process of reconciliation between Indigenous and other Australians and recognises the importance of reconciliation to Australia’s future.</w:t>
      </w:r>
      <w:bookmarkEnd w:id="104"/>
    </w:p>
    <w:p w:rsidR="00AD4488" w:rsidRDefault="00AD4488" w:rsidP="00AD4488">
      <w:pPr>
        <w:pStyle w:val="BodyNum"/>
      </w:pPr>
      <w:r>
        <w:t>OPC’s Reconciliation Action Plan (</w:t>
      </w:r>
      <w:r w:rsidRPr="00761416">
        <w:rPr>
          <w:b/>
          <w:i/>
        </w:rPr>
        <w:t>RAP</w:t>
      </w:r>
      <w:r>
        <w:t>) was developed in consultation with staff to promote reconciliation both within OPC and across the broader Australian community. OPC’s RAP includes strategies for the recruitment and employment of Indigenous Australians and the promotion of an understanding of Indigenous culture and issues among all our staff.</w:t>
      </w:r>
    </w:p>
    <w:p w:rsidR="00AD4488" w:rsidRDefault="00AD4488" w:rsidP="00AD4488">
      <w:pPr>
        <w:pStyle w:val="BodyNum"/>
      </w:pPr>
      <w:r>
        <w:t>During the year, the activities undertaken as part of the RAP included: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rsidR="00613DC1">
        <w:t xml:space="preserve">refreshing the collection </w:t>
      </w:r>
      <w:r>
        <w:t xml:space="preserve">of Indigenous Australian art </w:t>
      </w:r>
      <w:r w:rsidR="00613DC1">
        <w:t xml:space="preserve">to display </w:t>
      </w:r>
      <w:r>
        <w:t>in public areas of OPC</w:t>
      </w:r>
      <w:r w:rsidR="00613DC1">
        <w:t>’s new premises</w:t>
      </w:r>
      <w:r>
        <w:t>;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provision of information on OPC’s RAP to all new employees as part of their induction program.</w:t>
      </w:r>
    </w:p>
    <w:p w:rsidR="00AD4488" w:rsidRDefault="00AD4488" w:rsidP="00AD4488">
      <w:pPr>
        <w:pStyle w:val="Head4"/>
      </w:pPr>
      <w:r>
        <w:t>Breastfeeding Friendly Workplace accreditation</w:t>
      </w:r>
    </w:p>
    <w:p w:rsidR="00AD4488" w:rsidRDefault="00AD4488" w:rsidP="00AD4488">
      <w:pPr>
        <w:pStyle w:val="BodyNum"/>
      </w:pPr>
      <w:bookmarkStart w:id="105" w:name="_Ref272842524"/>
      <w:r>
        <w:t>OPC has undertaken a</w:t>
      </w:r>
      <w:r w:rsidR="00812C1B">
        <w:t>n ongoing</w:t>
      </w:r>
      <w:r>
        <w:t xml:space="preserve"> commitment to provide a supportive environment for breastfeeding women.</w:t>
      </w:r>
      <w:bookmarkEnd w:id="105"/>
    </w:p>
    <w:p w:rsidR="00AD4488" w:rsidRDefault="00330E26" w:rsidP="00F01C34">
      <w:pPr>
        <w:pStyle w:val="BodyNum"/>
      </w:pPr>
      <w:r>
        <w:t>In May 2016</w:t>
      </w:r>
      <w:r w:rsidR="000808D5">
        <w:t xml:space="preserve">, </w:t>
      </w:r>
      <w:r>
        <w:t xml:space="preserve">OPC’s new </w:t>
      </w:r>
      <w:r w:rsidR="009A0C07">
        <w:t>premises</w:t>
      </w:r>
      <w:r>
        <w:t xml:space="preserve"> was</w:t>
      </w:r>
      <w:r w:rsidR="009A0C07">
        <w:t xml:space="preserve"> accredited</w:t>
      </w:r>
      <w:r w:rsidR="006D521B">
        <w:t xml:space="preserve"> as </w:t>
      </w:r>
      <w:r w:rsidR="001D7A25">
        <w:t xml:space="preserve">a </w:t>
      </w:r>
      <w:r w:rsidR="006D521B">
        <w:t>“</w:t>
      </w:r>
      <w:r w:rsidR="00AD4488">
        <w:t>B</w:t>
      </w:r>
      <w:r w:rsidR="006D521B">
        <w:t>reastfeeding Friendly Workplace”</w:t>
      </w:r>
      <w:r w:rsidR="00F55F5C">
        <w:t xml:space="preserve"> by the Australian Breastfeeding Association.</w:t>
      </w:r>
    </w:p>
    <w:p w:rsidR="00AD4488" w:rsidRDefault="00AD4488" w:rsidP="00AD4488">
      <w:pPr>
        <w:pStyle w:val="BodyNum"/>
      </w:pPr>
      <w:r>
        <w:t>OP</w:t>
      </w:r>
      <w:r w:rsidR="006D521B">
        <w:t>C maintains accreditation as a “</w:t>
      </w:r>
      <w:r>
        <w:t>Breastfeeding Friendly Workplace</w:t>
      </w:r>
      <w:r w:rsidR="006D521B">
        <w:t>”</w:t>
      </w:r>
      <w:r w:rsidR="00F55F5C">
        <w:t xml:space="preserve"> </w:t>
      </w:r>
      <w:r>
        <w:t>by providing:</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guidance to staff about our workplace facilities and practices that support women to meet both their work and family commitments;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appropriate facilities that double as parenting rooms;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information to staff about our breastfeeding policies in our induction program and a “comeback pack” for staff commencing maternity leave.</w:t>
      </w:r>
    </w:p>
    <w:p w:rsidR="00AD4488" w:rsidRDefault="00AD4488" w:rsidP="00AD4488">
      <w:pPr>
        <w:pStyle w:val="Head4"/>
      </w:pPr>
      <w:r>
        <w:t>Changes to disability reporting in annual reports</w:t>
      </w:r>
    </w:p>
    <w:p w:rsidR="00AD4488" w:rsidRDefault="00AD4488" w:rsidP="00AD4488">
      <w:pPr>
        <w:pStyle w:val="BodyNum"/>
      </w:pPr>
      <w:bookmarkStart w:id="106" w:name="_Ref144888685"/>
      <w:r>
        <w:t xml:space="preserve">Since 1994, Commonwealth </w:t>
      </w:r>
      <w:r w:rsidR="00B6787F">
        <w:t>non-corporate entities</w:t>
      </w:r>
      <w:r>
        <w:t xml:space="preserve"> have reported on their performance as policy adviser, purchaser, employer, regulator and provider under the Commonwealth Disability Strategy. In 2007-2008, reporting on the employer role was transferred to the APSC’s </w:t>
      </w:r>
      <w:r>
        <w:rPr>
          <w:i/>
        </w:rPr>
        <w:t>State of the Service Report</w:t>
      </w:r>
      <w:r>
        <w:t xml:space="preserve"> and the </w:t>
      </w:r>
      <w:r>
        <w:rPr>
          <w:i/>
        </w:rPr>
        <w:t>APS Statistical Bulletin</w:t>
      </w:r>
      <w:r>
        <w:t xml:space="preserve">. These reports are available at www.apsc.gov.au. From 2010-2011, </w:t>
      </w:r>
      <w:r w:rsidR="00B6787F">
        <w:t>entities have</w:t>
      </w:r>
      <w:r>
        <w:t xml:space="preserve"> no longer </w:t>
      </w:r>
      <w:r w:rsidR="00B6787F">
        <w:t xml:space="preserve">been </w:t>
      </w:r>
      <w:r>
        <w:t>required to report on these functions.</w:t>
      </w:r>
    </w:p>
    <w:p w:rsidR="00AD4488" w:rsidRDefault="00AD4488" w:rsidP="00F01C34">
      <w:pPr>
        <w:pStyle w:val="BodyNum"/>
      </w:pPr>
      <w:r>
        <w:t xml:space="preserve">The Commonwealth Disability Strategy has been overtaken by </w:t>
      </w:r>
      <w:r w:rsidR="00F01C34">
        <w:t>the</w:t>
      </w:r>
      <w:r>
        <w:t xml:space="preserve"> National Disability Strategy</w:t>
      </w:r>
      <w:r w:rsidR="00F01C34">
        <w:t xml:space="preserve"> 2010-2020,</w:t>
      </w:r>
      <w:r>
        <w:t xml:space="preserve"> which sets out a </w:t>
      </w:r>
      <w:r w:rsidR="00031644">
        <w:t>10</w:t>
      </w:r>
      <w:r>
        <w:t xml:space="preserve">-year national policy framework </w:t>
      </w:r>
      <w:r w:rsidR="00F01C34">
        <w:t>to</w:t>
      </w:r>
      <w:r>
        <w:t xml:space="preserve"> improv</w:t>
      </w:r>
      <w:r w:rsidR="00F01C34">
        <w:t>e the</w:t>
      </w:r>
      <w:r>
        <w:t xml:space="preserve"> li</w:t>
      </w:r>
      <w:r w:rsidR="00F01C34">
        <w:t>ves</w:t>
      </w:r>
      <w:r>
        <w:t xml:space="preserve"> </w:t>
      </w:r>
      <w:r w:rsidR="00F01C34">
        <w:t>of people with disability, promote participation and create a more inclusive society</w:t>
      </w:r>
      <w:r w:rsidR="00031644">
        <w:t>. A high-</w:t>
      </w:r>
      <w:r>
        <w:t>level</w:t>
      </w:r>
      <w:r w:rsidR="00F01C34">
        <w:t xml:space="preserve"> </w:t>
      </w:r>
      <w:r w:rsidR="00031644">
        <w:t>2</w:t>
      </w:r>
      <w:r w:rsidR="00F01C34">
        <w:t>-yearly</w:t>
      </w:r>
      <w:r>
        <w:t xml:space="preserve"> report </w:t>
      </w:r>
      <w:r w:rsidR="00F01C34">
        <w:t>will</w:t>
      </w:r>
      <w:r>
        <w:t xml:space="preserve"> track progress</w:t>
      </w:r>
      <w:r w:rsidR="00F01C34">
        <w:t xml:space="preserve"> against each of the </w:t>
      </w:r>
      <w:r w:rsidR="00031644">
        <w:t>6</w:t>
      </w:r>
      <w:r w:rsidR="00F01C34">
        <w:t xml:space="preserve"> outcome areas of the Strategy and present a picture of how</w:t>
      </w:r>
      <w:r>
        <w:t xml:space="preserve"> people with disability</w:t>
      </w:r>
      <w:r w:rsidR="00F01C34">
        <w:t xml:space="preserve"> are faring. The</w:t>
      </w:r>
      <w:r w:rsidR="00031644">
        <w:t xml:space="preserve"> </w:t>
      </w:r>
      <w:r w:rsidR="00F01C34">
        <w:t xml:space="preserve">first of these reports can be found at </w:t>
      </w:r>
      <w:r>
        <w:t>www.</w:t>
      </w:r>
      <w:r w:rsidR="00F01C34">
        <w:t>dss</w:t>
      </w:r>
      <w:r>
        <w:t>.gov.au.</w:t>
      </w:r>
      <w:bookmarkEnd w:id="106"/>
    </w:p>
    <w:p w:rsidR="00AD4488" w:rsidRDefault="00AD4488" w:rsidP="00AD4488">
      <w:pPr>
        <w:pStyle w:val="Head3"/>
      </w:pPr>
      <w:bookmarkStart w:id="107" w:name="_Toc463613750"/>
      <w:r>
        <w:t>Work health and safety</w:t>
      </w:r>
      <w:bookmarkEnd w:id="107"/>
    </w:p>
    <w:p w:rsidR="00AD4488" w:rsidRDefault="00AD4488" w:rsidP="00AD4488">
      <w:pPr>
        <w:pStyle w:val="Head4"/>
      </w:pPr>
      <w:bookmarkStart w:id="108" w:name="_Ref144888880"/>
      <w:r>
        <w:t>Policy</w:t>
      </w:r>
    </w:p>
    <w:p w:rsidR="00AD4488" w:rsidRDefault="00AD4488" w:rsidP="00AD4488">
      <w:pPr>
        <w:pStyle w:val="BodyNum"/>
      </w:pPr>
      <w:bookmarkStart w:id="109" w:name="_Ref334530524"/>
      <w:r>
        <w:t>OPC commits itself to taking, at all times, reasonably practicable steps to ensure the health and safety of its workers (staff and contractors) and visitors to the workplace. In ensuring their health and safety, OPC:</w:t>
      </w:r>
      <w:bookmarkEnd w:id="108"/>
      <w:bookmarkEnd w:id="109"/>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provide</w:t>
      </w:r>
      <w:r w:rsidR="006D521B">
        <w:t>s</w:t>
      </w:r>
      <w:r>
        <w:t xml:space="preserve"> and maintain</w:t>
      </w:r>
      <w:r w:rsidR="006D521B">
        <w:t>s</w:t>
      </w:r>
      <w:r>
        <w:t xml:space="preserve"> a healthy and safe work environment;</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consult</w:t>
      </w:r>
      <w:r w:rsidR="006D521B">
        <w:t>s</w:t>
      </w:r>
      <w:r>
        <w:t xml:space="preserve"> and cooperate</w:t>
      </w:r>
      <w:r w:rsidR="006D521B">
        <w:t>s</w:t>
      </w:r>
      <w:r>
        <w:t xml:space="preserve"> with its workers, their health and safety representatives, and other duty holders, to achieve a healthy and safe workplace;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rsidR="006D521B">
        <w:t>complies</w:t>
      </w:r>
      <w:r>
        <w:t xml:space="preserve"> with the </w:t>
      </w:r>
      <w:r w:rsidRPr="00432334">
        <w:rPr>
          <w:i/>
        </w:rPr>
        <w:t xml:space="preserve">Work </w:t>
      </w:r>
      <w:r>
        <w:rPr>
          <w:i/>
        </w:rPr>
        <w:t>Health and Safety Act 2011</w:t>
      </w:r>
      <w:r>
        <w:t xml:space="preserve"> (</w:t>
      </w:r>
      <w:r>
        <w:rPr>
          <w:b/>
          <w:i/>
        </w:rPr>
        <w:t>WHS Act</w:t>
      </w:r>
      <w:r>
        <w:t>) as a minimum standard, and implement</w:t>
      </w:r>
      <w:r w:rsidR="006D521B">
        <w:t>s</w:t>
      </w:r>
      <w:r>
        <w:t xml:space="preserve"> in full the requi</w:t>
      </w:r>
      <w:r w:rsidR="00944C0F">
        <w:t>rements of the WHS Act and its r</w:t>
      </w:r>
      <w:r>
        <w:t>egulations;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ensure</w:t>
      </w:r>
      <w:r w:rsidR="006D521B">
        <w:t>s</w:t>
      </w:r>
      <w:r>
        <w:t xml:space="preserve"> that appropriate organisational arrangements are in place to facilitate the implementation of the WHS Act;</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provide</w:t>
      </w:r>
      <w:r w:rsidR="006D521B">
        <w:t>s</w:t>
      </w:r>
      <w:r>
        <w:t xml:space="preserve"> appropriate resources to ensure that necessary health and safety programs and activities are established and maintained;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inform</w:t>
      </w:r>
      <w:r w:rsidR="006D521B">
        <w:t>s</w:t>
      </w:r>
      <w:r>
        <w:t xml:space="preserve"> all workers about relevant health and safety matters and provide</w:t>
      </w:r>
      <w:r w:rsidR="006D521B">
        <w:t>s</w:t>
      </w:r>
      <w:r>
        <w:t xml:space="preserve"> that information in languages other than English where this might be necessary.</w:t>
      </w:r>
    </w:p>
    <w:p w:rsidR="00AD4488" w:rsidRDefault="00AD4488" w:rsidP="00AD4488">
      <w:pPr>
        <w:pStyle w:val="Head4"/>
      </w:pPr>
      <w:r>
        <w:t>Health and safety committee</w:t>
      </w:r>
    </w:p>
    <w:p w:rsidR="00AD4488" w:rsidRDefault="00AD4488" w:rsidP="00AD4488">
      <w:pPr>
        <w:pStyle w:val="BodyNum"/>
      </w:pPr>
      <w:r>
        <w:t>The WHS Act requires the establishment of a health and safety committee at the request of a health and safety representative or 5 or more workers at the workplace. If a health and safety committee is not required to be established, other consultation procedures can be established for a workplace.</w:t>
      </w:r>
    </w:p>
    <w:p w:rsidR="00AD4488" w:rsidRDefault="00AD4488" w:rsidP="00AD4488">
      <w:pPr>
        <w:pStyle w:val="BodyNum"/>
      </w:pPr>
      <w:r>
        <w:t xml:space="preserve">In OPC, the WCC fulfils the requirements of the WHS Act with respect to consultation with workgroups on health and safety matters. In addition, the WCC has incorporated the functions of a health and safety committee as a standing agenda item. </w:t>
      </w:r>
      <w:r w:rsidR="004A10D1">
        <w:t>T</w:t>
      </w:r>
      <w:r>
        <w:t>he h</w:t>
      </w:r>
      <w:r w:rsidR="004A10D1">
        <w:t>ealth and safety representative</w:t>
      </w:r>
      <w:r>
        <w:t xml:space="preserve"> attends each WCC meeting.</w:t>
      </w:r>
    </w:p>
    <w:p w:rsidR="00AD4488" w:rsidRDefault="00AD4488" w:rsidP="004D1329">
      <w:pPr>
        <w:pStyle w:val="Head4"/>
      </w:pPr>
      <w:r>
        <w:t>Initiatives taken during the year</w:t>
      </w:r>
    </w:p>
    <w:p w:rsidR="004A10D1" w:rsidRDefault="004A10D1" w:rsidP="00AD4488">
      <w:pPr>
        <w:pStyle w:val="BodyNum"/>
      </w:pPr>
      <w:r>
        <w:t xml:space="preserve">On relocation to the new premises in August 2015, all staff </w:t>
      </w:r>
      <w:r w:rsidR="00EC4491">
        <w:t>received</w:t>
      </w:r>
      <w:r>
        <w:t xml:space="preserve"> a workstation assessment to ensure their furniture and equipment set-up was ergonomically </w:t>
      </w:r>
      <w:r w:rsidR="00487265">
        <w:t>appropriate</w:t>
      </w:r>
      <w:r>
        <w:t xml:space="preserve"> and</w:t>
      </w:r>
      <w:r w:rsidR="00487265">
        <w:t xml:space="preserve"> to</w:t>
      </w:r>
      <w:r>
        <w:t xml:space="preserve"> </w:t>
      </w:r>
      <w:r w:rsidR="00EC4491">
        <w:t>discuss</w:t>
      </w:r>
      <w:r>
        <w:t xml:space="preserve"> any adjustments</w:t>
      </w:r>
      <w:r w:rsidR="00EC4491">
        <w:t xml:space="preserve"> with staff</w:t>
      </w:r>
      <w:r>
        <w:t>.</w:t>
      </w:r>
    </w:p>
    <w:p w:rsidR="00AD4488" w:rsidRDefault="00AD4488" w:rsidP="00AD4488">
      <w:pPr>
        <w:pStyle w:val="BodyNum"/>
      </w:pPr>
      <w:r>
        <w:t xml:space="preserve">A physiotherapist or occupational </w:t>
      </w:r>
      <w:r w:rsidR="00487265">
        <w:t xml:space="preserve">therapist visited OPC throughout the year </w:t>
      </w:r>
      <w:r>
        <w:t xml:space="preserve">to conduct </w:t>
      </w:r>
      <w:r w:rsidR="00487265">
        <w:t xml:space="preserve">further </w:t>
      </w:r>
      <w:r>
        <w:t>workstation assessments</w:t>
      </w:r>
      <w:r w:rsidR="00487265">
        <w:t>, particularly for new members of staff and staff returning from extended leave.</w:t>
      </w:r>
    </w:p>
    <w:p w:rsidR="00AD4488" w:rsidRDefault="00AD4488" w:rsidP="00AD4488">
      <w:pPr>
        <w:pStyle w:val="BodyNum"/>
      </w:pPr>
      <w:r>
        <w:t>During the year, OPC paid for influenza vaccinations</w:t>
      </w:r>
      <w:r w:rsidR="001D7A25">
        <w:t xml:space="preserve"> </w:t>
      </w:r>
      <w:r>
        <w:t>for interested staff.</w:t>
      </w:r>
    </w:p>
    <w:p w:rsidR="00AD4488" w:rsidRDefault="00AD4488" w:rsidP="00AD4488">
      <w:pPr>
        <w:pStyle w:val="BodyNum"/>
      </w:pPr>
      <w:r>
        <w:t>OPC maintained a policy of requiring staff to take an eye test, paid for by OPC, once every 2 years. OPC also provided reimbursement to staff for prescription eyewear up to the value of $5</w:t>
      </w:r>
      <w:r w:rsidR="004A10D1">
        <w:t>3</w:t>
      </w:r>
      <w:r>
        <w:t>0</w:t>
      </w:r>
      <w:r w:rsidR="006D521B">
        <w:t xml:space="preserve"> required</w:t>
      </w:r>
      <w:r>
        <w:t xml:space="preserve"> as a result of the eye tests.</w:t>
      </w:r>
    </w:p>
    <w:p w:rsidR="00AD4488" w:rsidRDefault="00AD4488" w:rsidP="00AD4488">
      <w:pPr>
        <w:pStyle w:val="BodyNum"/>
      </w:pPr>
      <w:r>
        <w:t>During the year, an allowance of $300 was paid to eligible staff to spend on health and wellbeing activities or equipment.</w:t>
      </w:r>
    </w:p>
    <w:p w:rsidR="00AD4488" w:rsidRDefault="00AD4488" w:rsidP="00AD4488">
      <w:pPr>
        <w:pStyle w:val="BodyNum"/>
      </w:pPr>
      <w:r>
        <w:t>The induction program for new members of staff includes a session specifically aimed at enhancing their awareness of the importance of health and safety issues in the workplace and emphasising the responsibilities of both staff and management in that regard.</w:t>
      </w:r>
    </w:p>
    <w:p w:rsidR="00AD4488" w:rsidRDefault="00AD4488" w:rsidP="00AD4488">
      <w:pPr>
        <w:pStyle w:val="BodyNum"/>
      </w:pPr>
      <w:r>
        <w:t>OPC maintains an appropriate collection of publications relating to health and safety in our library.</w:t>
      </w:r>
    </w:p>
    <w:p w:rsidR="00514877" w:rsidRDefault="00514877" w:rsidP="00514877">
      <w:pPr>
        <w:pStyle w:val="Head4"/>
      </w:pPr>
      <w:r>
        <w:t>Health and wellbeing program</w:t>
      </w:r>
    </w:p>
    <w:p w:rsidR="00EC4491" w:rsidRDefault="00487265" w:rsidP="00AD4488">
      <w:pPr>
        <w:pStyle w:val="BodyNum"/>
      </w:pPr>
      <w:r>
        <w:t>During the year, OPC com</w:t>
      </w:r>
      <w:r w:rsidR="008B37A3">
        <w:t>mitted to a new health and wellbeing program</w:t>
      </w:r>
      <w:r w:rsidR="00EC4491">
        <w:t>.</w:t>
      </w:r>
    </w:p>
    <w:p w:rsidR="00487265" w:rsidRDefault="00EC4491" w:rsidP="00AD4488">
      <w:pPr>
        <w:pStyle w:val="BodyNum"/>
      </w:pPr>
      <w:r>
        <w:t>In consultation with staff, and w</w:t>
      </w:r>
      <w:r w:rsidR="008B37A3">
        <w:t xml:space="preserve">ith the assistance of the ACT Government service </w:t>
      </w:r>
      <w:r w:rsidR="008B37A3" w:rsidRPr="00EC4491">
        <w:rPr>
          <w:i/>
        </w:rPr>
        <w:t>Healthier Work</w:t>
      </w:r>
      <w:r w:rsidR="00031644">
        <w:t>, OPC developed a 12-</w:t>
      </w:r>
      <w:r w:rsidR="008B37A3">
        <w:t xml:space="preserve">month Healthier Work </w:t>
      </w:r>
      <w:r w:rsidR="00F8382E">
        <w:t>Plan</w:t>
      </w:r>
      <w:r>
        <w:t xml:space="preserve">, with recognition </w:t>
      </w:r>
      <w:r w:rsidR="00812C1B">
        <w:t xml:space="preserve">to be </w:t>
      </w:r>
      <w:r>
        <w:t xml:space="preserve">received from </w:t>
      </w:r>
      <w:r w:rsidR="00F8382E" w:rsidRPr="00EC4491">
        <w:rPr>
          <w:i/>
        </w:rPr>
        <w:t>Healthier Work</w:t>
      </w:r>
      <w:r>
        <w:t xml:space="preserve"> on 1 </w:t>
      </w:r>
      <w:r w:rsidR="00F8382E">
        <w:t>July 2016.</w:t>
      </w:r>
    </w:p>
    <w:p w:rsidR="00EC4491" w:rsidRDefault="00EC4491" w:rsidP="00AD4488">
      <w:pPr>
        <w:pStyle w:val="BodyNum"/>
      </w:pPr>
      <w:r>
        <w:t xml:space="preserve">The </w:t>
      </w:r>
      <w:r w:rsidR="00514877">
        <w:t xml:space="preserve">new </w:t>
      </w:r>
      <w:r>
        <w:t>Plan will be impleme</w:t>
      </w:r>
      <w:r w:rsidR="00514877">
        <w:t>nted in 2016-</w:t>
      </w:r>
      <w:r w:rsidR="00812C1B">
        <w:t>20</w:t>
      </w:r>
      <w:r w:rsidR="00514877">
        <w:t>17 and will promote and support the health areas of physical activity, healthy eating and social and emotional wellbeing.</w:t>
      </w:r>
    </w:p>
    <w:p w:rsidR="00AD4488" w:rsidRDefault="00AD4488" w:rsidP="00AD4488">
      <w:pPr>
        <w:pStyle w:val="Head4"/>
      </w:pPr>
      <w:r>
        <w:t>Health and safety outcomes</w:t>
      </w:r>
    </w:p>
    <w:p w:rsidR="00AD4488" w:rsidRDefault="00AD4488" w:rsidP="00AD4488">
      <w:pPr>
        <w:pStyle w:val="BodyNum"/>
      </w:pPr>
      <w:r>
        <w:t>The following outcomes were achieved as a result of initiatives taken during the year or in past years:</w:t>
      </w:r>
    </w:p>
    <w:p w:rsidR="00C823D3" w:rsidRPr="00C823D3" w:rsidRDefault="00C823D3" w:rsidP="00C823D3">
      <w:pPr>
        <w:pStyle w:val="AnnualReportBullet"/>
        <w:tabs>
          <w:tab w:val="left" w:pos="360"/>
        </w:tabs>
        <w:ind w:left="360" w:hanging="360"/>
        <w:rPr>
          <w:rFonts w:ascii="Symbol" w:hAnsi="Symbol"/>
        </w:rPr>
      </w:pPr>
      <w:r>
        <w:rPr>
          <w:rFonts w:ascii="Symbol" w:hAnsi="Symbol"/>
        </w:rPr>
        <w:t></w:t>
      </w:r>
      <w:r>
        <w:rPr>
          <w:rFonts w:ascii="Symbol" w:hAnsi="Symbol"/>
        </w:rPr>
        <w:tab/>
      </w:r>
      <w:r>
        <w:t xml:space="preserve">the </w:t>
      </w:r>
      <w:r w:rsidR="00DE027F">
        <w:t xml:space="preserve">provision of electronic sit-stand </w:t>
      </w:r>
      <w:r w:rsidR="008778EA">
        <w:t>workstations</w:t>
      </w:r>
      <w:r w:rsidR="00DE027F">
        <w:t xml:space="preserve"> </w:t>
      </w:r>
      <w:r w:rsidR="008778EA">
        <w:t xml:space="preserve">in the new premises </w:t>
      </w:r>
      <w:r w:rsidR="00DE027F">
        <w:t xml:space="preserve">for all staff </w:t>
      </w:r>
      <w:r w:rsidR="008778EA">
        <w:t>has given staff an accessible option for reducing sedentary behaviour at the</w:t>
      </w:r>
      <w:r w:rsidR="00AE0B90">
        <w:t>ir</w:t>
      </w:r>
      <w:r w:rsidR="008778EA">
        <w:t xml:space="preserve"> desk</w:t>
      </w:r>
      <w:r>
        <w:t>;</w:t>
      </w:r>
    </w:p>
    <w:p w:rsidR="00AD4488" w:rsidRPr="00C823D3" w:rsidRDefault="00AD4488" w:rsidP="00AD4488">
      <w:pPr>
        <w:pStyle w:val="AnnualReportBullet"/>
        <w:tabs>
          <w:tab w:val="left" w:pos="360"/>
        </w:tabs>
        <w:ind w:left="360" w:hanging="360"/>
        <w:rPr>
          <w:rFonts w:ascii="Symbol" w:hAnsi="Symbol"/>
        </w:rPr>
      </w:pPr>
      <w:r>
        <w:rPr>
          <w:rFonts w:ascii="Symbol" w:hAnsi="Symbol"/>
        </w:rPr>
        <w:t></w:t>
      </w:r>
      <w:r>
        <w:rPr>
          <w:rFonts w:ascii="Symbol" w:hAnsi="Symbol"/>
        </w:rPr>
        <w:tab/>
      </w:r>
      <w:r>
        <w:t>improvements were made to workplace safety;</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comprehensive workstation assessments by qualified health professionals ensured good outcomes for staff returning to work from injuries;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staff awareness of the importance of health and safety in the workplace was raised.</w:t>
      </w:r>
    </w:p>
    <w:p w:rsidR="00AD4488" w:rsidRDefault="00AD4488" w:rsidP="00AD4488">
      <w:pPr>
        <w:pStyle w:val="BodyNum"/>
      </w:pPr>
      <w:r>
        <w:t>Although hard to measure, OPC considers that modest outlays on health promotion activities provide good value for money, given the potential lost work time annually due to the effects of health issues.</w:t>
      </w:r>
    </w:p>
    <w:p w:rsidR="00AD4488" w:rsidRDefault="00AD4488" w:rsidP="00AD4488">
      <w:pPr>
        <w:pStyle w:val="Head4"/>
      </w:pPr>
      <w:r>
        <w:t>Notifiable incidents</w:t>
      </w:r>
    </w:p>
    <w:p w:rsidR="00AD4488" w:rsidRPr="004C0F06" w:rsidRDefault="00AD4488" w:rsidP="00AD4488">
      <w:pPr>
        <w:pStyle w:val="BodyNum"/>
      </w:pPr>
      <w:r w:rsidRPr="004C0F06">
        <w:t>There were no</w:t>
      </w:r>
      <w:r>
        <w:t xml:space="preserve"> notifiable</w:t>
      </w:r>
      <w:r w:rsidRPr="004C0F06">
        <w:t xml:space="preserve"> </w:t>
      </w:r>
      <w:r>
        <w:t xml:space="preserve">incidents </w:t>
      </w:r>
      <w:r w:rsidRPr="004C0F06">
        <w:t>during the year requiring notification under section </w:t>
      </w:r>
      <w:r>
        <w:t>3</w:t>
      </w:r>
      <w:r w:rsidRPr="004C0F06">
        <w:t xml:space="preserve">8 of the </w:t>
      </w:r>
      <w:r>
        <w:t>W</w:t>
      </w:r>
      <w:r w:rsidRPr="004C0F06">
        <w:t>HS Act.</w:t>
      </w:r>
    </w:p>
    <w:p w:rsidR="00AD4488" w:rsidRDefault="00AD4488" w:rsidP="00AD4488">
      <w:pPr>
        <w:pStyle w:val="Head4"/>
      </w:pPr>
      <w:r>
        <w:t>Investigations</w:t>
      </w:r>
    </w:p>
    <w:p w:rsidR="00AD4488" w:rsidRDefault="00AD4488" w:rsidP="00AD4488">
      <w:pPr>
        <w:pStyle w:val="BodyNum"/>
        <w:sectPr w:rsidR="00AD4488">
          <w:headerReference w:type="even" r:id="rId69"/>
          <w:headerReference w:type="default" r:id="rId70"/>
          <w:footerReference w:type="even" r:id="rId71"/>
          <w:footerReference w:type="default" r:id="rId72"/>
          <w:type w:val="continuous"/>
          <w:pgSz w:w="11907" w:h="16839" w:code="9"/>
          <w:pgMar w:top="1134" w:right="2410" w:bottom="4253" w:left="2410" w:header="510" w:footer="3402" w:gutter="0"/>
          <w:cols w:num="2" w:space="709"/>
          <w:docGrid w:linePitch="326"/>
        </w:sectPr>
      </w:pPr>
      <w:r>
        <w:t>OPC has not been the subject of any investigation and no notices have been issued to OPC during the year under Part 10 of the WHS Act.</w:t>
      </w:r>
    </w:p>
    <w:p w:rsidR="00AD4488" w:rsidRDefault="00AD4488" w:rsidP="00AD4488">
      <w:pPr>
        <w:sectPr w:rsidR="00AD4488">
          <w:type w:val="continuous"/>
          <w:pgSz w:w="11907" w:h="16839" w:code="9"/>
          <w:pgMar w:top="1134" w:right="2410" w:bottom="4253" w:left="2410" w:header="510" w:footer="3402" w:gutter="0"/>
          <w:cols w:num="2" w:space="709"/>
          <w:docGrid w:linePitch="326"/>
        </w:sectPr>
      </w:pPr>
    </w:p>
    <w:p w:rsidR="00CB554F" w:rsidRDefault="00CB554F">
      <w:pPr>
        <w:sectPr w:rsidR="00CB554F">
          <w:headerReference w:type="even" r:id="rId73"/>
          <w:headerReference w:type="default" r:id="rId74"/>
          <w:footerReference w:type="even" r:id="rId75"/>
          <w:footerReference w:type="default" r:id="rId76"/>
          <w:type w:val="continuous"/>
          <w:pgSz w:w="11907" w:h="16839" w:code="9"/>
          <w:pgMar w:top="1134" w:right="2410" w:bottom="4253" w:left="2410" w:header="510" w:footer="3402" w:gutter="0"/>
          <w:cols w:num="2" w:space="709"/>
          <w:docGrid w:linePitch="326"/>
        </w:sectPr>
      </w:pPr>
    </w:p>
    <w:p w:rsidR="007E5114" w:rsidRDefault="007E5114" w:rsidP="007E5114">
      <w:pPr>
        <w:pStyle w:val="Head2"/>
        <w:sectPr w:rsidR="007E5114">
          <w:headerReference w:type="even" r:id="rId77"/>
          <w:headerReference w:type="default" r:id="rId78"/>
          <w:footerReference w:type="even" r:id="rId79"/>
          <w:footerReference w:type="default" r:id="rId80"/>
          <w:pgSz w:w="11907" w:h="16839" w:code="9"/>
          <w:pgMar w:top="1134" w:right="2410" w:bottom="4253" w:left="2410" w:header="510" w:footer="3402" w:gutter="0"/>
          <w:cols w:space="709"/>
          <w:docGrid w:linePitch="326"/>
        </w:sectPr>
      </w:pPr>
      <w:bookmarkStart w:id="110" w:name="_Toc463613751"/>
      <w:r>
        <w:t>Chapter 5—Purchasing and consultants</w:t>
      </w:r>
      <w:bookmarkEnd w:id="110"/>
    </w:p>
    <w:p w:rsidR="007E5114" w:rsidRDefault="007E5114" w:rsidP="007E5114">
      <w:pPr>
        <w:pStyle w:val="Head3"/>
      </w:pPr>
      <w:bookmarkStart w:id="111" w:name="_Toc463613752"/>
      <w:r>
        <w:t>Purchasing</w:t>
      </w:r>
      <w:bookmarkEnd w:id="111"/>
    </w:p>
    <w:p w:rsidR="003A5458" w:rsidRDefault="001D7A25" w:rsidP="003A5458">
      <w:pPr>
        <w:pStyle w:val="BodyNum"/>
      </w:pPr>
      <w:bookmarkStart w:id="112" w:name="_Ref113169325"/>
      <w:r>
        <w:t>D</w:t>
      </w:r>
      <w:r w:rsidR="009B6B05">
        <w:t>uring the year,</w:t>
      </w:r>
      <w:r w:rsidR="007E5114">
        <w:t xml:space="preserve"> </w:t>
      </w:r>
      <w:r>
        <w:t>OPC finalised the construction services for the fit-out of OPC’s new premises.</w:t>
      </w:r>
      <w:r w:rsidR="003A5458">
        <w:t xml:space="preserve"> Two open tenders were </w:t>
      </w:r>
      <w:r w:rsidR="00753EC0">
        <w:t>published</w:t>
      </w:r>
      <w:r w:rsidR="003A5458">
        <w:t xml:space="preserve"> for cleaning and printing services.</w:t>
      </w:r>
    </w:p>
    <w:p w:rsidR="007E5114" w:rsidRDefault="00753EC0" w:rsidP="007E5114">
      <w:pPr>
        <w:pStyle w:val="BodyNum"/>
      </w:pPr>
      <w:r>
        <w:t>T</w:t>
      </w:r>
      <w:r w:rsidR="001D7A25">
        <w:t xml:space="preserve">he majority of other </w:t>
      </w:r>
      <w:r w:rsidR="007E5114">
        <w:t>purchasing</w:t>
      </w:r>
      <w:r w:rsidR="001D7A25">
        <w:t xml:space="preserve"> continued to be</w:t>
      </w:r>
      <w:r w:rsidR="007E5114">
        <w:t xml:space="preserve"> confined to simple procurement processes. </w:t>
      </w:r>
      <w:bookmarkEnd w:id="112"/>
      <w:r w:rsidR="007E5114">
        <w:t>Given the nature and extent of OPC’s procurement activity, there is no current need to establish an accredited procurement unit within OPC.</w:t>
      </w:r>
    </w:p>
    <w:p w:rsidR="007E5114" w:rsidRDefault="007E5114" w:rsidP="007E5114">
      <w:pPr>
        <w:pStyle w:val="BodyNum"/>
      </w:pPr>
      <w:r>
        <w:t>OPC continues to consider cooperative agency procurement as an option when procuring property and services. A number of contracts are in place where a cooperative arrangement has been used, with OPC benefiting from support and savings, and reduced procurement costs</w:t>
      </w:r>
      <w:r w:rsidR="004D7BCC">
        <w:t>,</w:t>
      </w:r>
      <w:r>
        <w:t xml:space="preserve"> by accessing contracts from larger portfolio agencies.</w:t>
      </w:r>
    </w:p>
    <w:p w:rsidR="007E5114" w:rsidRDefault="007E5114" w:rsidP="007E5114">
      <w:pPr>
        <w:pStyle w:val="BodyNum"/>
      </w:pPr>
      <w:r>
        <w:t>OPC has complied with the core policies and practices as identified in the</w:t>
      </w:r>
      <w:r w:rsidR="004D7BCC">
        <w:t xml:space="preserve"> Commonwealth Procurement Rules and</w:t>
      </w:r>
      <w:r>
        <w:t xml:space="preserve"> OPC’s </w:t>
      </w:r>
      <w:r w:rsidR="001D7A25">
        <w:t>Accountable Authority</w:t>
      </w:r>
      <w:r>
        <w:t xml:space="preserve"> Instructions a</w:t>
      </w:r>
      <w:r w:rsidR="009B6B05">
        <w:t>nd Office Procedural Circulars.</w:t>
      </w:r>
    </w:p>
    <w:p w:rsidR="007E5114" w:rsidRDefault="007E5114" w:rsidP="007E5114">
      <w:pPr>
        <w:pStyle w:val="BodyNum"/>
      </w:pPr>
      <w:r>
        <w:t>OPC’s Annual Procurement Plan for the 201</w:t>
      </w:r>
      <w:r w:rsidR="00753EC0">
        <w:t>6</w:t>
      </w:r>
      <w:r>
        <w:t>-201</w:t>
      </w:r>
      <w:r w:rsidR="00753EC0">
        <w:t>7</w:t>
      </w:r>
      <w:r>
        <w:t xml:space="preserve"> financial year was published on</w:t>
      </w:r>
      <w:r w:rsidR="00944C0F">
        <w:t xml:space="preserve"> the</w:t>
      </w:r>
      <w:r>
        <w:t xml:space="preserve"> AusTender</w:t>
      </w:r>
      <w:r w:rsidR="00944C0F">
        <w:t xml:space="preserve"> website at www.tenders.gov.au</w:t>
      </w:r>
      <w:r>
        <w:t xml:space="preserve"> in June 201</w:t>
      </w:r>
      <w:r w:rsidR="00197736">
        <w:t>6</w:t>
      </w:r>
      <w:r>
        <w:t>.</w:t>
      </w:r>
    </w:p>
    <w:p w:rsidR="001D7A25" w:rsidRDefault="001D7A25" w:rsidP="001D7A25">
      <w:pPr>
        <w:pStyle w:val="Head3"/>
      </w:pPr>
      <w:bookmarkStart w:id="113" w:name="_Toc463613753"/>
      <w:r>
        <w:t>Procurement initiatives to support small business</w:t>
      </w:r>
      <w:bookmarkEnd w:id="113"/>
    </w:p>
    <w:p w:rsidR="001D7A25" w:rsidRDefault="001D7A25" w:rsidP="001D7A25">
      <w:pPr>
        <w:pStyle w:val="BodyNum"/>
      </w:pPr>
      <w:r>
        <w:t>OPC supports small business participation in the Commonwealth Government procurement market. Small and Medium Enterprises (</w:t>
      </w:r>
      <w:r w:rsidRPr="001D7A25">
        <w:rPr>
          <w:b/>
          <w:i/>
        </w:rPr>
        <w:t>SME</w:t>
      </w:r>
      <w:r>
        <w:t>)</w:t>
      </w:r>
      <w:r w:rsidR="00591D8E">
        <w:t xml:space="preserve"> and Small Enterprise participation statistics are available on the Department of Finance’s website at www.finance.gov.au/procurement/statistics-on-commonwealth-purchasing-contracts/.</w:t>
      </w:r>
    </w:p>
    <w:p w:rsidR="001D7A25" w:rsidRDefault="00591D8E" w:rsidP="007E5114">
      <w:pPr>
        <w:pStyle w:val="BodyNum"/>
      </w:pPr>
      <w:r>
        <w:t>OPC’s procurement practices support SMEs by using the Commonwealth Contracting Suite for low-risk procurements valued under $200,000 and the use of electronic systems and processes used to facilitate on-time payment performance, including the use of payment cards.</w:t>
      </w:r>
    </w:p>
    <w:p w:rsidR="007E5114" w:rsidRDefault="007E5114" w:rsidP="007E5114">
      <w:pPr>
        <w:pStyle w:val="Head3"/>
      </w:pPr>
      <w:bookmarkStart w:id="114" w:name="_Toc463613754"/>
      <w:r>
        <w:t>Consultants</w:t>
      </w:r>
      <w:bookmarkEnd w:id="114"/>
    </w:p>
    <w:p w:rsidR="002D48EF" w:rsidRDefault="007E5114" w:rsidP="007E5114">
      <w:pPr>
        <w:pStyle w:val="BodyNum"/>
      </w:pPr>
      <w:bookmarkStart w:id="115" w:name="_Ref113168706"/>
      <w:r>
        <w:t>OPC engages consultants where it lacks specialist expertise or when independent research, review or assessment is required. Consultants are typically engaged to</w:t>
      </w:r>
      <w:r w:rsidR="004D7BCC">
        <w:t>:</w:t>
      </w:r>
    </w:p>
    <w:p w:rsidR="002D48EF" w:rsidRDefault="002D48EF" w:rsidP="002D48EF">
      <w:pPr>
        <w:pStyle w:val="AnnualReportBullet"/>
        <w:tabs>
          <w:tab w:val="left" w:pos="360"/>
        </w:tabs>
        <w:ind w:left="360" w:hanging="360"/>
      </w:pPr>
      <w:r>
        <w:rPr>
          <w:rFonts w:ascii="Symbol" w:hAnsi="Symbol"/>
        </w:rPr>
        <w:t></w:t>
      </w:r>
      <w:r>
        <w:rPr>
          <w:rFonts w:ascii="Symbol" w:hAnsi="Symbol"/>
        </w:rPr>
        <w:tab/>
      </w:r>
      <w:r w:rsidR="007E5114">
        <w:t>investigate or diagn</w:t>
      </w:r>
      <w:r>
        <w:t>ose a defined issue or problem;</w:t>
      </w:r>
    </w:p>
    <w:p w:rsidR="002D48EF" w:rsidRDefault="002D48EF" w:rsidP="002D48EF">
      <w:pPr>
        <w:pStyle w:val="AnnualReportBullet"/>
        <w:tabs>
          <w:tab w:val="left" w:pos="360"/>
        </w:tabs>
        <w:ind w:left="360" w:hanging="360"/>
      </w:pPr>
      <w:r>
        <w:rPr>
          <w:rFonts w:ascii="Symbol" w:hAnsi="Symbol"/>
        </w:rPr>
        <w:t></w:t>
      </w:r>
      <w:r>
        <w:rPr>
          <w:rFonts w:ascii="Symbol" w:hAnsi="Symbol"/>
        </w:rPr>
        <w:tab/>
      </w:r>
      <w:r w:rsidR="007E5114">
        <w:t>carry out def</w:t>
      </w:r>
      <w:r>
        <w:t>ined reviews or evaluations; or</w:t>
      </w:r>
    </w:p>
    <w:p w:rsidR="007E5114" w:rsidRPr="002D48EF" w:rsidRDefault="002D48EF" w:rsidP="002D48EF">
      <w:pPr>
        <w:pStyle w:val="AnnualReportBullet"/>
        <w:tabs>
          <w:tab w:val="left" w:pos="360"/>
        </w:tabs>
        <w:ind w:left="360" w:hanging="360"/>
        <w:rPr>
          <w:rFonts w:ascii="Symbol" w:hAnsi="Symbol"/>
        </w:rPr>
      </w:pPr>
      <w:r>
        <w:rPr>
          <w:rFonts w:ascii="Symbol" w:hAnsi="Symbol"/>
        </w:rPr>
        <w:t></w:t>
      </w:r>
      <w:r>
        <w:rPr>
          <w:rFonts w:ascii="Symbol" w:hAnsi="Symbol"/>
        </w:rPr>
        <w:tab/>
      </w:r>
      <w:r w:rsidR="007E5114">
        <w:t>provide independent advice, information or creative sol</w:t>
      </w:r>
      <w:r w:rsidR="00944C0F">
        <w:t>utions to assist OPC’s decision-</w:t>
      </w:r>
      <w:r w:rsidR="007E5114">
        <w:t>making.</w:t>
      </w:r>
      <w:bookmarkEnd w:id="115"/>
    </w:p>
    <w:p w:rsidR="007E5114" w:rsidRDefault="007E5114" w:rsidP="007E5114">
      <w:pPr>
        <w:pStyle w:val="BodyNum"/>
      </w:pPr>
      <w:r>
        <w:t xml:space="preserve">Prior to engaging consultants, OPC takes into account the skills and resources required for the task, the skills available internally, and the cost-effectiveness of engaging external expertise. The decision to engage a consultant is made in accordance with the </w:t>
      </w:r>
      <w:r w:rsidR="00B50968">
        <w:rPr>
          <w:i/>
        </w:rPr>
        <w:t>Public Governance, Performance and Accountability</w:t>
      </w:r>
      <w:r w:rsidRPr="00263859">
        <w:rPr>
          <w:i/>
        </w:rPr>
        <w:t xml:space="preserve"> Act </w:t>
      </w:r>
      <w:r w:rsidR="00B50968">
        <w:rPr>
          <w:i/>
        </w:rPr>
        <w:t>2013</w:t>
      </w:r>
      <w:r>
        <w:t>, related regulations, the Commonwealth Procurement Rules and relevant internal policies.</w:t>
      </w:r>
    </w:p>
    <w:p w:rsidR="007E5114" w:rsidRDefault="007E5114" w:rsidP="007E5114">
      <w:pPr>
        <w:pStyle w:val="BodyNum"/>
      </w:pPr>
      <w:r>
        <w:t>During 201</w:t>
      </w:r>
      <w:r w:rsidR="00197736">
        <w:t>5</w:t>
      </w:r>
      <w:r>
        <w:t>-201</w:t>
      </w:r>
      <w:r w:rsidR="00197736">
        <w:t>6</w:t>
      </w:r>
      <w:r>
        <w:t xml:space="preserve">, </w:t>
      </w:r>
      <w:r w:rsidR="00E429E5">
        <w:t>one</w:t>
      </w:r>
      <w:r>
        <w:t xml:space="preserve"> new consultancy contra</w:t>
      </w:r>
      <w:r w:rsidR="00E429E5">
        <w:t>ct</w:t>
      </w:r>
      <w:r>
        <w:t xml:space="preserve"> for </w:t>
      </w:r>
      <w:r w:rsidR="00E429E5">
        <w:t>internal audit services was</w:t>
      </w:r>
      <w:r>
        <w:t xml:space="preserve"> entered into</w:t>
      </w:r>
      <w:r w:rsidR="007B6847">
        <w:t xml:space="preserve"> with estimated expenditure of $150,000 (including GST) over 3 years. There </w:t>
      </w:r>
      <w:r w:rsidR="00131DE7">
        <w:t>was nil</w:t>
      </w:r>
      <w:r w:rsidR="007B6847">
        <w:t xml:space="preserve"> actual expenditure for </w:t>
      </w:r>
      <w:r w:rsidR="00131DE7">
        <w:t>this consultancy contract</w:t>
      </w:r>
      <w:r w:rsidR="007B6847">
        <w:t xml:space="preserve"> during 2015-2016</w:t>
      </w:r>
      <w:r>
        <w:t>.</w:t>
      </w:r>
    </w:p>
    <w:p w:rsidR="007E5114" w:rsidRPr="00632B36" w:rsidRDefault="007E5114" w:rsidP="007E5114">
      <w:pPr>
        <w:pStyle w:val="BodyNum"/>
      </w:pPr>
      <w:r w:rsidRPr="00632B36">
        <w:t xml:space="preserve">The </w:t>
      </w:r>
      <w:r>
        <w:t xml:space="preserve">procurement method </w:t>
      </w:r>
      <w:r w:rsidRPr="00632B36">
        <w:t xml:space="preserve">for the </w:t>
      </w:r>
      <w:r w:rsidR="00E429E5">
        <w:t>consultancy contract</w:t>
      </w:r>
      <w:r>
        <w:t xml:space="preserve"> was</w:t>
      </w:r>
      <w:r w:rsidRPr="00632B36">
        <w:t xml:space="preserve"> by </w:t>
      </w:r>
      <w:r w:rsidR="007B6847">
        <w:t>prequalified</w:t>
      </w:r>
      <w:r>
        <w:t xml:space="preserve"> tender </w:t>
      </w:r>
      <w:r w:rsidR="007B6847">
        <w:t>from a shortlist of potential suppliers that responded to an initial open approach to market on AusTender.</w:t>
      </w:r>
    </w:p>
    <w:p w:rsidR="007E5114" w:rsidRDefault="007E5114" w:rsidP="007E5114">
      <w:pPr>
        <w:pStyle w:val="BodyNum"/>
      </w:pPr>
      <w:r>
        <w:t xml:space="preserve">In addition, </w:t>
      </w:r>
      <w:r w:rsidR="00487870">
        <w:t>one</w:t>
      </w:r>
      <w:r>
        <w:t xml:space="preserve"> ongoing consultancy contract for internal audit services </w:t>
      </w:r>
      <w:r w:rsidR="007B6847">
        <w:t>was</w:t>
      </w:r>
      <w:r>
        <w:t xml:space="preserve"> active during the 201</w:t>
      </w:r>
      <w:r w:rsidR="007B6847">
        <w:t>5</w:t>
      </w:r>
      <w:r>
        <w:t>-201</w:t>
      </w:r>
      <w:r w:rsidR="007B6847">
        <w:t>6</w:t>
      </w:r>
      <w:r>
        <w:t xml:space="preserve"> year, involving </w:t>
      </w:r>
      <w:r w:rsidR="00131DE7">
        <w:t>nil</w:t>
      </w:r>
      <w:r w:rsidR="007B6847">
        <w:t xml:space="preserve"> </w:t>
      </w:r>
      <w:r w:rsidR="00131DE7">
        <w:t>total actual expenditure</w:t>
      </w:r>
      <w:r>
        <w:t>.</w:t>
      </w:r>
    </w:p>
    <w:p w:rsidR="007E5114" w:rsidRDefault="007E5114" w:rsidP="007E5114">
      <w:pPr>
        <w:pStyle w:val="BodyNum"/>
        <w:sectPr w:rsidR="007E5114">
          <w:headerReference w:type="even" r:id="rId81"/>
          <w:headerReference w:type="default" r:id="rId82"/>
          <w:footerReference w:type="even" r:id="rId83"/>
          <w:footerReference w:type="default" r:id="rId84"/>
          <w:type w:val="continuous"/>
          <w:pgSz w:w="11907" w:h="16839" w:code="9"/>
          <w:pgMar w:top="1134" w:right="2410" w:bottom="4253" w:left="2410" w:header="510" w:footer="3402" w:gutter="0"/>
          <w:cols w:num="2" w:space="709"/>
          <w:docGrid w:linePitch="326"/>
        </w:sectPr>
      </w:pPr>
      <w:r>
        <w:t>Annual reports contain information about actual expenditure on contracts for consultancies. Information on the value of contracts and consultancies is available on the AusTender website at www.tenders.gov.au or from the OPC Documents menu on OPC’s website at www.opc.gov.au.</w:t>
      </w:r>
    </w:p>
    <w:p w:rsidR="007E5114" w:rsidRPr="00DD4DD8" w:rsidRDefault="007E5114" w:rsidP="007E5114">
      <w:pPr>
        <w:rPr>
          <w:sz w:val="16"/>
          <w:szCs w:val="16"/>
        </w:rPr>
      </w:pPr>
    </w:p>
    <w:p w:rsidR="00CB554F" w:rsidRDefault="00CB554F">
      <w:pPr>
        <w:sectPr w:rsidR="00CB554F">
          <w:headerReference w:type="even" r:id="rId85"/>
          <w:headerReference w:type="default" r:id="rId86"/>
          <w:footerReference w:type="even" r:id="rId87"/>
          <w:footerReference w:type="default" r:id="rId88"/>
          <w:type w:val="continuous"/>
          <w:pgSz w:w="11907" w:h="16839" w:code="9"/>
          <w:pgMar w:top="1134" w:right="2410" w:bottom="4253" w:left="2410" w:header="510" w:footer="3402" w:gutter="0"/>
          <w:cols w:num="2" w:space="709"/>
          <w:docGrid w:linePitch="326"/>
        </w:sectPr>
      </w:pPr>
    </w:p>
    <w:p w:rsidR="00F358F9" w:rsidRDefault="00F358F9" w:rsidP="00F358F9">
      <w:pPr>
        <w:pStyle w:val="Head2"/>
        <w:sectPr w:rsidR="00F358F9">
          <w:headerReference w:type="default" r:id="rId89"/>
          <w:footerReference w:type="default" r:id="rId90"/>
          <w:pgSz w:w="11907" w:h="16839" w:code="9"/>
          <w:pgMar w:top="1134" w:right="2410" w:bottom="4253" w:left="2410" w:header="510" w:footer="3402" w:gutter="0"/>
          <w:cols w:space="709"/>
          <w:docGrid w:linePitch="326"/>
        </w:sectPr>
      </w:pPr>
      <w:bookmarkStart w:id="116" w:name="_Toc463613755"/>
      <w:r>
        <w:t>Chapter 6—Miscellaneous</w:t>
      </w:r>
      <w:bookmarkEnd w:id="116"/>
    </w:p>
    <w:p w:rsidR="00F358F9" w:rsidRDefault="00F358F9" w:rsidP="00F358F9">
      <w:pPr>
        <w:pStyle w:val="Head3"/>
      </w:pPr>
      <w:bookmarkStart w:id="117" w:name="_Toc463613756"/>
      <w:r>
        <w:t>Freedom of information</w:t>
      </w:r>
      <w:bookmarkEnd w:id="117"/>
    </w:p>
    <w:p w:rsidR="00F358F9" w:rsidRPr="00AD12AA" w:rsidRDefault="00F358F9" w:rsidP="00F358F9">
      <w:pPr>
        <w:pStyle w:val="BodyNum"/>
      </w:pPr>
      <w:bookmarkStart w:id="118" w:name="_Ref113169149"/>
      <w:r w:rsidRPr="00AD12AA">
        <w:t xml:space="preserve">Agencies subject to the </w:t>
      </w:r>
      <w:r w:rsidRPr="000E5B22">
        <w:rPr>
          <w:i/>
        </w:rPr>
        <w:t>Freedom of Information Act 1982</w:t>
      </w:r>
      <w:r w:rsidRPr="00AD12AA">
        <w:t xml:space="preserve"> (</w:t>
      </w:r>
      <w:r w:rsidRPr="00EC0372">
        <w:rPr>
          <w:b/>
          <w:i/>
        </w:rPr>
        <w:t>FOI Act</w:t>
      </w:r>
      <w:r w:rsidRPr="00AD12AA">
        <w:t>) are required to publish information to the public as part of the Information Publication Scheme (</w:t>
      </w:r>
      <w:r w:rsidRPr="00EC0372">
        <w:rPr>
          <w:b/>
          <w:i/>
        </w:rPr>
        <w:t>IPS</w:t>
      </w:r>
      <w:r>
        <w:t xml:space="preserve">). </w:t>
      </w:r>
      <w:r w:rsidRPr="00AD12AA">
        <w:t xml:space="preserve">This requirement is in Part II of the </w:t>
      </w:r>
      <w:r>
        <w:t xml:space="preserve">FOI </w:t>
      </w:r>
      <w:r w:rsidRPr="00AD12AA">
        <w:t>Act and has replaced the former requirement to publish a section 8 statement in an annual report. Each agency must display on its website a plan showing what information it publishes in accordance with the IPS requirements.</w:t>
      </w:r>
    </w:p>
    <w:p w:rsidR="00F358F9" w:rsidRDefault="00F358F9" w:rsidP="00F358F9">
      <w:pPr>
        <w:pStyle w:val="Head3"/>
      </w:pPr>
      <w:bookmarkStart w:id="119" w:name="_Toc463613757"/>
      <w:bookmarkEnd w:id="118"/>
      <w:r>
        <w:t>Advertising and market research etc.</w:t>
      </w:r>
      <w:bookmarkEnd w:id="119"/>
    </w:p>
    <w:p w:rsidR="00F358F9" w:rsidRPr="00AD12AA" w:rsidRDefault="00F358F9" w:rsidP="00F358F9">
      <w:pPr>
        <w:pStyle w:val="BodyNum"/>
      </w:pPr>
      <w:bookmarkStart w:id="120" w:name="_Ref113168612"/>
      <w:r w:rsidRPr="00AD12AA">
        <w:t xml:space="preserve">The following information is required to be given by section 311A of the </w:t>
      </w:r>
      <w:r w:rsidRPr="000E5B22">
        <w:rPr>
          <w:i/>
        </w:rPr>
        <w:t>Commonwealth Electoral Act 1918</w:t>
      </w:r>
      <w:r w:rsidRPr="00AD12AA">
        <w:t>.</w:t>
      </w:r>
      <w:bookmarkEnd w:id="120"/>
    </w:p>
    <w:p w:rsidR="00F358F9" w:rsidRDefault="00F358F9" w:rsidP="00F358F9">
      <w:pPr>
        <w:pStyle w:val="BodyNum"/>
      </w:pPr>
      <w:bookmarkStart w:id="121" w:name="_Ref113167172"/>
      <w:r>
        <w:t>During 201</w:t>
      </w:r>
      <w:r w:rsidR="007A3DA9">
        <w:t>5</w:t>
      </w:r>
      <w:r>
        <w:t>-201</w:t>
      </w:r>
      <w:r w:rsidR="007A3DA9">
        <w:t>6</w:t>
      </w:r>
      <w:r>
        <w:t>, n</w:t>
      </w:r>
      <w:r w:rsidRPr="00AD12AA">
        <w:t>o money was paid by, or on behalf of, OPC to any</w:t>
      </w:r>
      <w:r w:rsidR="004D7BCC">
        <w:t xml:space="preserve"> advertising agency,</w:t>
      </w:r>
      <w:r w:rsidRPr="00AD12AA">
        <w:t xml:space="preserve"> market research organisation, polling organisation, direct mail organisation or media advertising organisation.</w:t>
      </w:r>
    </w:p>
    <w:p w:rsidR="00F358F9" w:rsidRDefault="00F358F9" w:rsidP="00F358F9">
      <w:pPr>
        <w:pStyle w:val="Head3"/>
      </w:pPr>
      <w:bookmarkStart w:id="122" w:name="_Toc463613758"/>
      <w:bookmarkEnd w:id="121"/>
      <w:r>
        <w:t>Ecologically sustainable development and environmental performance</w:t>
      </w:r>
      <w:bookmarkEnd w:id="122"/>
    </w:p>
    <w:p w:rsidR="00F358F9" w:rsidRDefault="00F358F9" w:rsidP="00F358F9">
      <w:pPr>
        <w:pStyle w:val="BodyNum"/>
      </w:pPr>
      <w:bookmarkStart w:id="123" w:name="_Ref113168763"/>
      <w:r>
        <w:t xml:space="preserve">Reporting required by section 516A of the </w:t>
      </w:r>
      <w:r>
        <w:rPr>
          <w:i/>
        </w:rPr>
        <w:t>Environment Protection and Biodiversity Conservation Act 1999</w:t>
      </w:r>
      <w:r>
        <w:t xml:space="preserve"> is set out in Appendix C.</w:t>
      </w:r>
      <w:bookmarkEnd w:id="123"/>
    </w:p>
    <w:p w:rsidR="00F358F9" w:rsidRDefault="00F358F9" w:rsidP="00F358F9">
      <w:pPr>
        <w:pStyle w:val="Head3"/>
      </w:pPr>
      <w:bookmarkStart w:id="124" w:name="_Toc463613759"/>
      <w:r>
        <w:t>Additional information</w:t>
      </w:r>
      <w:bookmarkEnd w:id="124"/>
    </w:p>
    <w:p w:rsidR="00F358F9" w:rsidRPr="00AD12AA" w:rsidRDefault="00F358F9" w:rsidP="00F358F9">
      <w:pPr>
        <w:pStyle w:val="BodyNum"/>
      </w:pPr>
      <w:bookmarkStart w:id="125" w:name="_Ref113168722"/>
      <w:r w:rsidRPr="00AD12AA">
        <w:t xml:space="preserve">The contact officer for additional information about OPC is the General Manager, Ms Susan </w:t>
      </w:r>
      <w:r w:rsidR="00591D8E">
        <w:t>Roberts</w:t>
      </w:r>
      <w:r w:rsidRPr="00AD12AA">
        <w:t>, who can be contacted by telephone on (02) 6</w:t>
      </w:r>
      <w:r w:rsidR="00591D8E">
        <w:t>12</w:t>
      </w:r>
      <w:r w:rsidRPr="00AD12AA">
        <w:t>0 1486, by fax on (02) 6</w:t>
      </w:r>
      <w:r w:rsidR="00591D8E">
        <w:t>12</w:t>
      </w:r>
      <w:r w:rsidRPr="00AD12AA">
        <w:t>0 1403 and by email at admin@opc.gov.au.</w:t>
      </w:r>
      <w:bookmarkEnd w:id="125"/>
    </w:p>
    <w:p w:rsidR="00AD12AA" w:rsidRPr="00AD12AA" w:rsidRDefault="00F358F9" w:rsidP="00F358F9">
      <w:pPr>
        <w:pStyle w:val="BodyNum"/>
      </w:pPr>
      <w:bookmarkStart w:id="126" w:name="_Ref113264713"/>
      <w:r w:rsidRPr="00AD12AA">
        <w:t>OP</w:t>
      </w:r>
      <w:bookmarkStart w:id="127" w:name="opcCurrentLocation"/>
      <w:bookmarkEnd w:id="127"/>
      <w:r w:rsidRPr="00AD12AA">
        <w:t>C</w:t>
      </w:r>
      <w:r>
        <w:t>’</w:t>
      </w:r>
      <w:r w:rsidRPr="00AD12AA">
        <w:t>s website address is www.opc.gov.au. This report is available on that site at www.opc.gov.au/about/documents.htm.</w:t>
      </w:r>
      <w:bookmarkEnd w:id="126"/>
    </w:p>
    <w:p w:rsidR="00CB554F" w:rsidRDefault="00CB554F" w:rsidP="00A80292">
      <w:pPr>
        <w:pStyle w:val="BodyNum"/>
        <w:sectPr w:rsidR="00CB554F">
          <w:headerReference w:type="even" r:id="rId91"/>
          <w:headerReference w:type="default" r:id="rId92"/>
          <w:footerReference w:type="even" r:id="rId93"/>
          <w:footerReference w:type="default" r:id="rId94"/>
          <w:type w:val="continuous"/>
          <w:pgSz w:w="11907" w:h="16839" w:code="9"/>
          <w:pgMar w:top="1134" w:right="2410" w:bottom="4253" w:left="2410" w:header="510" w:footer="3402" w:gutter="0"/>
          <w:cols w:num="2" w:space="709"/>
          <w:docGrid w:linePitch="326"/>
        </w:sectPr>
      </w:pPr>
    </w:p>
    <w:p w:rsidR="00CB554F" w:rsidRDefault="00CB554F">
      <w:pPr>
        <w:pStyle w:val="Head2"/>
        <w:sectPr w:rsidR="00CB554F">
          <w:type w:val="continuous"/>
          <w:pgSz w:w="11907" w:h="16839" w:code="9"/>
          <w:pgMar w:top="1134" w:right="2410" w:bottom="4253" w:left="2410" w:header="510" w:footer="3402" w:gutter="0"/>
          <w:cols w:num="2" w:space="709"/>
          <w:docGrid w:linePitch="326"/>
        </w:sectPr>
      </w:pPr>
    </w:p>
    <w:p w:rsidR="00CB554F" w:rsidRDefault="00CB554F">
      <w:pPr>
        <w:pStyle w:val="Head2"/>
      </w:pPr>
      <w:bookmarkStart w:id="128" w:name="_Toc463613760"/>
      <w:r>
        <w:t>Appendix A—</w:t>
      </w:r>
      <w:r w:rsidR="00DB5203">
        <w:t>Entity</w:t>
      </w:r>
      <w:r w:rsidR="00950334">
        <w:t xml:space="preserve"> </w:t>
      </w:r>
      <w:r>
        <w:t xml:space="preserve">resource </w:t>
      </w:r>
      <w:r w:rsidR="00950334">
        <w:t xml:space="preserve">statement and </w:t>
      </w:r>
      <w:r w:rsidR="00167D7B">
        <w:t xml:space="preserve">Expenses </w:t>
      </w:r>
      <w:r w:rsidR="00A23768">
        <w:t>by</w:t>
      </w:r>
      <w:r w:rsidR="00950334">
        <w:t xml:space="preserve"> </w:t>
      </w:r>
      <w:r>
        <w:t>outcome</w:t>
      </w:r>
      <w:bookmarkEnd w:id="128"/>
    </w:p>
    <w:p w:rsidR="00364A43" w:rsidRDefault="00C66759" w:rsidP="00364A43">
      <w:pPr>
        <w:pStyle w:val="Head4"/>
        <w:spacing w:after="0"/>
      </w:pPr>
      <w:r>
        <w:t>Entity</w:t>
      </w:r>
      <w:r w:rsidR="006B2223">
        <w:t xml:space="preserve"> resource statement</w:t>
      </w:r>
    </w:p>
    <w:tbl>
      <w:tblPr>
        <w:tblW w:w="7245" w:type="dxa"/>
        <w:tblInd w:w="93" w:type="dxa"/>
        <w:tblLook w:val="04A0" w:firstRow="1" w:lastRow="0" w:firstColumn="1" w:lastColumn="0" w:noHBand="0" w:noVBand="1"/>
      </w:tblPr>
      <w:tblGrid>
        <w:gridCol w:w="3134"/>
        <w:gridCol w:w="1417"/>
        <w:gridCol w:w="1276"/>
        <w:gridCol w:w="1418"/>
      </w:tblGrid>
      <w:tr w:rsidR="00B40940" w:rsidRPr="00364A43" w:rsidTr="008610A0">
        <w:trPr>
          <w:trHeight w:val="1275"/>
        </w:trPr>
        <w:tc>
          <w:tcPr>
            <w:tcW w:w="3134" w:type="dxa"/>
            <w:tcBorders>
              <w:top w:val="single" w:sz="12" w:space="0" w:color="auto"/>
              <w:left w:val="nil"/>
              <w:bottom w:val="nil"/>
              <w:right w:val="nil"/>
            </w:tcBorders>
            <w:shd w:val="clear" w:color="auto" w:fill="auto"/>
            <w:noWrap/>
            <w:vAlign w:val="bottom"/>
            <w:hideMark/>
          </w:tcPr>
          <w:p w:rsidR="00B40940" w:rsidRPr="00364A43" w:rsidRDefault="00B40940" w:rsidP="00364A43">
            <w:pPr>
              <w:pStyle w:val="TableBodyText"/>
              <w:rPr>
                <w:rFonts w:ascii="Arial" w:hAnsi="Arial" w:cs="Arial"/>
                <w:color w:val="0000FF"/>
                <w:sz w:val="18"/>
                <w:szCs w:val="18"/>
              </w:rPr>
            </w:pPr>
            <w:r w:rsidRPr="00364A43">
              <w:rPr>
                <w:rFonts w:ascii="Arial" w:hAnsi="Arial" w:cs="Arial"/>
                <w:color w:val="0000FF"/>
                <w:sz w:val="18"/>
                <w:szCs w:val="18"/>
              </w:rPr>
              <w:t> </w:t>
            </w:r>
          </w:p>
        </w:tc>
        <w:tc>
          <w:tcPr>
            <w:tcW w:w="1417" w:type="dxa"/>
            <w:tcBorders>
              <w:top w:val="single" w:sz="12" w:space="0" w:color="auto"/>
              <w:left w:val="nil"/>
              <w:bottom w:val="single" w:sz="4" w:space="0" w:color="auto"/>
              <w:right w:val="nil"/>
            </w:tcBorders>
            <w:shd w:val="clear" w:color="auto" w:fill="auto"/>
            <w:vAlign w:val="bottom"/>
            <w:hideMark/>
          </w:tcPr>
          <w:p w:rsidR="00B40940" w:rsidRPr="00364A43" w:rsidRDefault="00B40940" w:rsidP="00A23768">
            <w:pPr>
              <w:pStyle w:val="TableBodyText"/>
              <w:jc w:val="right"/>
              <w:rPr>
                <w:rFonts w:ascii="Arial" w:hAnsi="Arial" w:cs="Arial"/>
                <w:b/>
                <w:color w:val="0000FF"/>
                <w:sz w:val="18"/>
                <w:szCs w:val="18"/>
              </w:rPr>
            </w:pPr>
            <w:r w:rsidRPr="00364A43">
              <w:rPr>
                <w:rFonts w:ascii="Arial" w:hAnsi="Arial" w:cs="Arial"/>
                <w:b/>
                <w:color w:val="0000FF"/>
                <w:sz w:val="18"/>
                <w:szCs w:val="18"/>
              </w:rPr>
              <w:t xml:space="preserve">Actual </w:t>
            </w:r>
            <w:r w:rsidR="006B2223">
              <w:rPr>
                <w:rFonts w:ascii="Arial" w:hAnsi="Arial" w:cs="Arial"/>
                <w:b/>
                <w:color w:val="0000FF"/>
                <w:sz w:val="18"/>
                <w:szCs w:val="18"/>
              </w:rPr>
              <w:t>a</w:t>
            </w:r>
            <w:r w:rsidRPr="00364A43">
              <w:rPr>
                <w:rFonts w:ascii="Arial" w:hAnsi="Arial" w:cs="Arial"/>
                <w:b/>
                <w:color w:val="0000FF"/>
                <w:sz w:val="18"/>
                <w:szCs w:val="18"/>
              </w:rPr>
              <w:t xml:space="preserve">vailable </w:t>
            </w:r>
            <w:r w:rsidR="006B2223">
              <w:rPr>
                <w:rFonts w:ascii="Arial" w:hAnsi="Arial" w:cs="Arial"/>
                <w:b/>
                <w:color w:val="0000FF"/>
                <w:sz w:val="18"/>
                <w:szCs w:val="18"/>
              </w:rPr>
              <w:t>a</w:t>
            </w:r>
            <w:r w:rsidRPr="00364A43">
              <w:rPr>
                <w:rFonts w:ascii="Arial" w:hAnsi="Arial" w:cs="Arial"/>
                <w:b/>
                <w:color w:val="0000FF"/>
                <w:sz w:val="18"/>
                <w:szCs w:val="18"/>
              </w:rPr>
              <w:t>pprop-riation for 20</w:t>
            </w:r>
            <w:r>
              <w:rPr>
                <w:rFonts w:ascii="Arial" w:hAnsi="Arial" w:cs="Arial"/>
                <w:b/>
                <w:color w:val="0000FF"/>
                <w:sz w:val="18"/>
                <w:szCs w:val="18"/>
              </w:rPr>
              <w:t>1</w:t>
            </w:r>
            <w:r w:rsidR="00A23768">
              <w:rPr>
                <w:rFonts w:ascii="Arial" w:hAnsi="Arial" w:cs="Arial"/>
                <w:b/>
                <w:color w:val="0000FF"/>
                <w:sz w:val="18"/>
                <w:szCs w:val="18"/>
              </w:rPr>
              <w:t>5</w:t>
            </w:r>
            <w:r w:rsidRPr="00364A43">
              <w:rPr>
                <w:rFonts w:ascii="Arial" w:hAnsi="Arial" w:cs="Arial"/>
                <w:b/>
                <w:color w:val="0000FF"/>
                <w:sz w:val="18"/>
                <w:szCs w:val="18"/>
              </w:rPr>
              <w:t>-</w:t>
            </w:r>
            <w:r>
              <w:rPr>
                <w:rFonts w:ascii="Arial" w:hAnsi="Arial" w:cs="Arial"/>
                <w:b/>
                <w:color w:val="0000FF"/>
                <w:sz w:val="18"/>
                <w:szCs w:val="18"/>
              </w:rPr>
              <w:t>1</w:t>
            </w:r>
            <w:r w:rsidR="00A23768">
              <w:rPr>
                <w:rFonts w:ascii="Arial" w:hAnsi="Arial" w:cs="Arial"/>
                <w:b/>
                <w:color w:val="0000FF"/>
                <w:sz w:val="18"/>
                <w:szCs w:val="18"/>
              </w:rPr>
              <w:t>6</w:t>
            </w:r>
            <w:r w:rsidRPr="00364A43">
              <w:rPr>
                <w:rFonts w:ascii="Arial" w:hAnsi="Arial" w:cs="Arial"/>
                <w:b/>
                <w:color w:val="0000FF"/>
                <w:sz w:val="18"/>
                <w:szCs w:val="18"/>
              </w:rPr>
              <w:br/>
            </w:r>
            <w:r w:rsidRPr="00151EAE">
              <w:rPr>
                <w:rFonts w:ascii="Arial" w:hAnsi="Arial" w:cs="Arial"/>
                <w:b/>
                <w:color w:val="0000FF"/>
                <w:sz w:val="18"/>
                <w:szCs w:val="18"/>
              </w:rPr>
              <w:t>$’000</w:t>
            </w:r>
          </w:p>
        </w:tc>
        <w:tc>
          <w:tcPr>
            <w:tcW w:w="1276" w:type="dxa"/>
            <w:tcBorders>
              <w:top w:val="single" w:sz="12" w:space="0" w:color="auto"/>
              <w:left w:val="nil"/>
              <w:bottom w:val="single" w:sz="4" w:space="0" w:color="auto"/>
              <w:right w:val="nil"/>
            </w:tcBorders>
            <w:shd w:val="clear" w:color="auto" w:fill="auto"/>
            <w:vAlign w:val="bottom"/>
            <w:hideMark/>
          </w:tcPr>
          <w:p w:rsidR="00B40940" w:rsidRPr="00364A43" w:rsidRDefault="00B40940" w:rsidP="00A23768">
            <w:pPr>
              <w:pStyle w:val="TableBodyText"/>
              <w:jc w:val="right"/>
              <w:rPr>
                <w:rFonts w:ascii="Arial" w:hAnsi="Arial" w:cs="Arial"/>
                <w:b/>
                <w:color w:val="0000FF"/>
                <w:sz w:val="18"/>
                <w:szCs w:val="18"/>
              </w:rPr>
            </w:pPr>
            <w:r>
              <w:rPr>
                <w:rFonts w:ascii="Arial" w:hAnsi="Arial" w:cs="Arial"/>
                <w:b/>
                <w:color w:val="0000FF"/>
                <w:sz w:val="18"/>
                <w:szCs w:val="18"/>
              </w:rPr>
              <w:t>Payments</w:t>
            </w:r>
            <w:r>
              <w:rPr>
                <w:rFonts w:ascii="Arial" w:hAnsi="Arial" w:cs="Arial"/>
                <w:b/>
                <w:color w:val="0000FF"/>
                <w:sz w:val="18"/>
                <w:szCs w:val="18"/>
              </w:rPr>
              <w:br/>
            </w:r>
            <w:r w:rsidR="006B2223">
              <w:rPr>
                <w:rFonts w:ascii="Arial" w:hAnsi="Arial" w:cs="Arial"/>
                <w:b/>
                <w:color w:val="0000FF"/>
                <w:sz w:val="18"/>
                <w:szCs w:val="18"/>
              </w:rPr>
              <w:t>m</w:t>
            </w:r>
            <w:r>
              <w:rPr>
                <w:rFonts w:ascii="Arial" w:hAnsi="Arial" w:cs="Arial"/>
                <w:b/>
                <w:color w:val="0000FF"/>
                <w:sz w:val="18"/>
                <w:szCs w:val="18"/>
              </w:rPr>
              <w:t>ade</w:t>
            </w:r>
            <w:r>
              <w:rPr>
                <w:rFonts w:ascii="Arial" w:hAnsi="Arial" w:cs="Arial"/>
                <w:b/>
                <w:color w:val="0000FF"/>
                <w:sz w:val="18"/>
                <w:szCs w:val="18"/>
              </w:rPr>
              <w:br/>
              <w:t>201</w:t>
            </w:r>
            <w:r w:rsidR="00A23768">
              <w:rPr>
                <w:rFonts w:ascii="Arial" w:hAnsi="Arial" w:cs="Arial"/>
                <w:b/>
                <w:color w:val="0000FF"/>
                <w:sz w:val="18"/>
                <w:szCs w:val="18"/>
              </w:rPr>
              <w:t>5</w:t>
            </w:r>
            <w:r w:rsidRPr="00364A43">
              <w:rPr>
                <w:rFonts w:ascii="Arial" w:hAnsi="Arial" w:cs="Arial"/>
                <w:b/>
                <w:color w:val="0000FF"/>
                <w:sz w:val="18"/>
                <w:szCs w:val="18"/>
              </w:rPr>
              <w:t>-</w:t>
            </w:r>
            <w:r>
              <w:rPr>
                <w:rFonts w:ascii="Arial" w:hAnsi="Arial" w:cs="Arial"/>
                <w:b/>
                <w:color w:val="0000FF"/>
                <w:sz w:val="18"/>
                <w:szCs w:val="18"/>
              </w:rPr>
              <w:t>1</w:t>
            </w:r>
            <w:r w:rsidR="00A23768">
              <w:rPr>
                <w:rFonts w:ascii="Arial" w:hAnsi="Arial" w:cs="Arial"/>
                <w:b/>
                <w:color w:val="0000FF"/>
                <w:sz w:val="18"/>
                <w:szCs w:val="18"/>
              </w:rPr>
              <w:t>6</w:t>
            </w:r>
            <w:r w:rsidRPr="00364A43">
              <w:rPr>
                <w:rFonts w:ascii="Arial" w:hAnsi="Arial" w:cs="Arial"/>
                <w:b/>
                <w:color w:val="0000FF"/>
                <w:sz w:val="18"/>
                <w:szCs w:val="18"/>
              </w:rPr>
              <w:br/>
            </w:r>
            <w:r w:rsidRPr="00151EAE">
              <w:rPr>
                <w:rFonts w:ascii="Arial" w:hAnsi="Arial" w:cs="Arial"/>
                <w:b/>
                <w:color w:val="0000FF"/>
                <w:sz w:val="18"/>
                <w:szCs w:val="18"/>
              </w:rPr>
              <w:t>$’000</w:t>
            </w:r>
          </w:p>
        </w:tc>
        <w:tc>
          <w:tcPr>
            <w:tcW w:w="1418" w:type="dxa"/>
            <w:tcBorders>
              <w:top w:val="single" w:sz="12" w:space="0" w:color="auto"/>
              <w:left w:val="nil"/>
              <w:bottom w:val="single" w:sz="4" w:space="0" w:color="auto"/>
              <w:right w:val="nil"/>
            </w:tcBorders>
            <w:shd w:val="clear" w:color="auto" w:fill="auto"/>
            <w:vAlign w:val="bottom"/>
            <w:hideMark/>
          </w:tcPr>
          <w:p w:rsidR="00B40940" w:rsidRPr="00364A43" w:rsidRDefault="006B2223" w:rsidP="00A23768">
            <w:pPr>
              <w:pStyle w:val="TableBodyText"/>
              <w:jc w:val="right"/>
              <w:rPr>
                <w:rFonts w:ascii="Arial" w:hAnsi="Arial" w:cs="Arial"/>
                <w:b/>
                <w:color w:val="0000FF"/>
                <w:sz w:val="18"/>
                <w:szCs w:val="18"/>
              </w:rPr>
            </w:pPr>
            <w:r>
              <w:rPr>
                <w:rFonts w:ascii="Arial" w:hAnsi="Arial" w:cs="Arial"/>
                <w:b/>
                <w:color w:val="0000FF"/>
                <w:sz w:val="18"/>
                <w:szCs w:val="18"/>
              </w:rPr>
              <w:t>Balance r</w:t>
            </w:r>
            <w:r w:rsidR="00B40940" w:rsidRPr="00364A43">
              <w:rPr>
                <w:rFonts w:ascii="Arial" w:hAnsi="Arial" w:cs="Arial"/>
                <w:b/>
                <w:color w:val="0000FF"/>
                <w:sz w:val="18"/>
                <w:szCs w:val="18"/>
              </w:rPr>
              <w:t>emaining</w:t>
            </w:r>
            <w:r w:rsidR="00151EAE">
              <w:rPr>
                <w:rFonts w:ascii="Arial" w:hAnsi="Arial" w:cs="Arial"/>
                <w:b/>
                <w:color w:val="0000FF"/>
                <w:sz w:val="18"/>
                <w:szCs w:val="18"/>
              </w:rPr>
              <w:t xml:space="preserve"> 201</w:t>
            </w:r>
            <w:r w:rsidR="00A23768">
              <w:rPr>
                <w:rFonts w:ascii="Arial" w:hAnsi="Arial" w:cs="Arial"/>
                <w:b/>
                <w:color w:val="0000FF"/>
                <w:sz w:val="18"/>
                <w:szCs w:val="18"/>
              </w:rPr>
              <w:t>5</w:t>
            </w:r>
            <w:r w:rsidR="00151EAE">
              <w:rPr>
                <w:rFonts w:ascii="Arial" w:hAnsi="Arial" w:cs="Arial"/>
                <w:b/>
                <w:color w:val="0000FF"/>
                <w:sz w:val="18"/>
                <w:szCs w:val="18"/>
              </w:rPr>
              <w:t>-1</w:t>
            </w:r>
            <w:r w:rsidR="00A23768">
              <w:rPr>
                <w:rFonts w:ascii="Arial" w:hAnsi="Arial" w:cs="Arial"/>
                <w:b/>
                <w:color w:val="0000FF"/>
                <w:sz w:val="18"/>
                <w:szCs w:val="18"/>
              </w:rPr>
              <w:t>6</w:t>
            </w:r>
            <w:r w:rsidR="00C66759">
              <w:rPr>
                <w:rFonts w:ascii="Arial" w:hAnsi="Arial" w:cs="Arial"/>
                <w:b/>
                <w:color w:val="0000FF"/>
                <w:sz w:val="18"/>
                <w:szCs w:val="18"/>
                <w:vertAlign w:val="superscript"/>
              </w:rPr>
              <w:t>2</w:t>
            </w:r>
            <w:r w:rsidR="00B40940">
              <w:rPr>
                <w:rFonts w:ascii="Arial" w:hAnsi="Arial" w:cs="Arial"/>
                <w:b/>
                <w:color w:val="0000FF"/>
                <w:sz w:val="18"/>
                <w:szCs w:val="18"/>
              </w:rPr>
              <w:br/>
            </w:r>
            <w:r w:rsidR="00B40940" w:rsidRPr="00151EAE">
              <w:rPr>
                <w:rFonts w:ascii="Arial" w:hAnsi="Arial" w:cs="Arial"/>
                <w:b/>
                <w:color w:val="0000FF"/>
                <w:sz w:val="18"/>
                <w:szCs w:val="18"/>
              </w:rPr>
              <w:t>$’000</w:t>
            </w:r>
          </w:p>
        </w:tc>
      </w:tr>
      <w:tr w:rsidR="00364A43" w:rsidRPr="00364A43" w:rsidTr="00364A43">
        <w:trPr>
          <w:trHeight w:val="300"/>
        </w:trPr>
        <w:tc>
          <w:tcPr>
            <w:tcW w:w="3134" w:type="dxa"/>
            <w:tcBorders>
              <w:top w:val="nil"/>
              <w:left w:val="nil"/>
              <w:bottom w:val="nil"/>
              <w:right w:val="nil"/>
            </w:tcBorders>
            <w:shd w:val="clear" w:color="auto" w:fill="auto"/>
            <w:noWrap/>
            <w:vAlign w:val="bottom"/>
            <w:hideMark/>
          </w:tcPr>
          <w:p w:rsidR="00364A43" w:rsidRPr="00364A43" w:rsidRDefault="00364A43" w:rsidP="00364A43">
            <w:pPr>
              <w:pStyle w:val="TableBodyText"/>
              <w:rPr>
                <w:rFonts w:ascii="Arial" w:hAnsi="Arial" w:cs="Arial"/>
                <w:b/>
                <w:color w:val="0000FF"/>
                <w:sz w:val="18"/>
                <w:szCs w:val="18"/>
              </w:rPr>
            </w:pPr>
            <w:r w:rsidRPr="00364A43">
              <w:rPr>
                <w:rFonts w:ascii="Arial" w:hAnsi="Arial" w:cs="Arial"/>
                <w:b/>
                <w:color w:val="0000FF"/>
                <w:sz w:val="18"/>
                <w:szCs w:val="18"/>
              </w:rPr>
              <w:t>ORDINARY ANNUAL SERVICES</w:t>
            </w:r>
          </w:p>
        </w:tc>
        <w:tc>
          <w:tcPr>
            <w:tcW w:w="1417" w:type="dxa"/>
            <w:tcBorders>
              <w:top w:val="nil"/>
              <w:left w:val="nil"/>
              <w:bottom w:val="nil"/>
              <w:right w:val="nil"/>
            </w:tcBorders>
            <w:shd w:val="clear" w:color="auto" w:fill="auto"/>
            <w:noWrap/>
            <w:vAlign w:val="center"/>
            <w:hideMark/>
          </w:tcPr>
          <w:p w:rsidR="00364A43" w:rsidRPr="00364A43" w:rsidRDefault="00364A43" w:rsidP="00364A43">
            <w:pPr>
              <w:pStyle w:val="TableBodyText"/>
              <w:jc w:val="right"/>
              <w:rPr>
                <w:rFonts w:ascii="Arial" w:hAnsi="Arial" w:cs="Arial"/>
                <w:color w:val="0000FF"/>
                <w:sz w:val="18"/>
                <w:szCs w:val="18"/>
              </w:rPr>
            </w:pPr>
          </w:p>
        </w:tc>
        <w:tc>
          <w:tcPr>
            <w:tcW w:w="1276" w:type="dxa"/>
            <w:tcBorders>
              <w:top w:val="nil"/>
              <w:left w:val="nil"/>
              <w:bottom w:val="nil"/>
              <w:right w:val="nil"/>
            </w:tcBorders>
            <w:shd w:val="clear" w:color="auto" w:fill="auto"/>
            <w:noWrap/>
            <w:vAlign w:val="center"/>
            <w:hideMark/>
          </w:tcPr>
          <w:p w:rsidR="00364A43" w:rsidRPr="00364A43" w:rsidRDefault="00364A43" w:rsidP="00364A43">
            <w:pPr>
              <w:pStyle w:val="TableBodyText"/>
              <w:jc w:val="right"/>
              <w:rPr>
                <w:rFonts w:ascii="Arial" w:hAnsi="Arial" w:cs="Arial"/>
                <w:color w:val="0000FF"/>
                <w:sz w:val="18"/>
                <w:szCs w:val="18"/>
              </w:rPr>
            </w:pPr>
          </w:p>
        </w:tc>
        <w:tc>
          <w:tcPr>
            <w:tcW w:w="1418" w:type="dxa"/>
            <w:tcBorders>
              <w:top w:val="nil"/>
              <w:left w:val="nil"/>
              <w:bottom w:val="nil"/>
              <w:right w:val="nil"/>
            </w:tcBorders>
            <w:shd w:val="clear" w:color="auto" w:fill="auto"/>
            <w:noWrap/>
            <w:vAlign w:val="center"/>
            <w:hideMark/>
          </w:tcPr>
          <w:p w:rsidR="00364A43" w:rsidRPr="00364A43" w:rsidRDefault="00364A43" w:rsidP="00364A43">
            <w:pPr>
              <w:pStyle w:val="TableBodyText"/>
              <w:jc w:val="right"/>
              <w:rPr>
                <w:rFonts w:ascii="Arial" w:hAnsi="Arial" w:cs="Arial"/>
                <w:color w:val="0000FF"/>
                <w:sz w:val="18"/>
                <w:szCs w:val="18"/>
              </w:rPr>
            </w:pPr>
          </w:p>
        </w:tc>
      </w:tr>
      <w:tr w:rsidR="00364A43" w:rsidRPr="00364A43" w:rsidTr="00364A43">
        <w:trPr>
          <w:trHeight w:val="300"/>
        </w:trPr>
        <w:tc>
          <w:tcPr>
            <w:tcW w:w="3134" w:type="dxa"/>
            <w:tcBorders>
              <w:top w:val="nil"/>
              <w:left w:val="nil"/>
              <w:bottom w:val="nil"/>
              <w:right w:val="nil"/>
            </w:tcBorders>
            <w:shd w:val="clear" w:color="auto" w:fill="auto"/>
            <w:noWrap/>
            <w:vAlign w:val="bottom"/>
            <w:hideMark/>
          </w:tcPr>
          <w:p w:rsidR="00364A43" w:rsidRPr="00364A43" w:rsidRDefault="00937758" w:rsidP="00364A43">
            <w:pPr>
              <w:pStyle w:val="TableBodyText"/>
              <w:rPr>
                <w:rFonts w:ascii="Arial" w:hAnsi="Arial" w:cs="Arial"/>
                <w:b/>
                <w:color w:val="0000FF"/>
                <w:sz w:val="18"/>
                <w:szCs w:val="18"/>
              </w:rPr>
            </w:pPr>
            <w:r>
              <w:rPr>
                <w:rFonts w:ascii="Arial" w:hAnsi="Arial" w:cs="Arial"/>
                <w:b/>
                <w:color w:val="0000FF"/>
                <w:sz w:val="18"/>
                <w:szCs w:val="18"/>
              </w:rPr>
              <w:t>Departmental appropriation</w:t>
            </w:r>
          </w:p>
        </w:tc>
        <w:tc>
          <w:tcPr>
            <w:tcW w:w="1417" w:type="dxa"/>
            <w:tcBorders>
              <w:top w:val="nil"/>
              <w:left w:val="nil"/>
              <w:bottom w:val="nil"/>
              <w:right w:val="nil"/>
            </w:tcBorders>
            <w:shd w:val="clear" w:color="auto" w:fill="auto"/>
            <w:vAlign w:val="center"/>
            <w:hideMark/>
          </w:tcPr>
          <w:p w:rsidR="00364A43" w:rsidRPr="00364A43" w:rsidRDefault="00364A43" w:rsidP="00364A43">
            <w:pPr>
              <w:pStyle w:val="TableBodyText"/>
              <w:jc w:val="right"/>
              <w:rPr>
                <w:rFonts w:ascii="Arial" w:hAnsi="Arial" w:cs="Arial"/>
                <w:color w:val="0000FF"/>
                <w:sz w:val="18"/>
                <w:szCs w:val="18"/>
              </w:rPr>
            </w:pPr>
          </w:p>
        </w:tc>
        <w:tc>
          <w:tcPr>
            <w:tcW w:w="1276" w:type="dxa"/>
            <w:tcBorders>
              <w:top w:val="nil"/>
              <w:left w:val="nil"/>
              <w:bottom w:val="nil"/>
              <w:right w:val="nil"/>
            </w:tcBorders>
            <w:shd w:val="clear" w:color="auto" w:fill="auto"/>
            <w:vAlign w:val="center"/>
            <w:hideMark/>
          </w:tcPr>
          <w:p w:rsidR="00364A43" w:rsidRPr="00364A43" w:rsidRDefault="00364A43" w:rsidP="00364A43">
            <w:pPr>
              <w:pStyle w:val="TableBodyText"/>
              <w:jc w:val="right"/>
              <w:rPr>
                <w:rFonts w:ascii="Arial" w:hAnsi="Arial" w:cs="Arial"/>
                <w:color w:val="0000FF"/>
                <w:sz w:val="18"/>
                <w:szCs w:val="18"/>
              </w:rPr>
            </w:pPr>
          </w:p>
        </w:tc>
        <w:tc>
          <w:tcPr>
            <w:tcW w:w="1418" w:type="dxa"/>
            <w:tcBorders>
              <w:top w:val="nil"/>
              <w:left w:val="nil"/>
              <w:bottom w:val="nil"/>
              <w:right w:val="nil"/>
            </w:tcBorders>
            <w:shd w:val="clear" w:color="auto" w:fill="auto"/>
            <w:vAlign w:val="center"/>
            <w:hideMark/>
          </w:tcPr>
          <w:p w:rsidR="00364A43" w:rsidRPr="00364A43" w:rsidRDefault="00364A43" w:rsidP="00364A43">
            <w:pPr>
              <w:pStyle w:val="TableBodyText"/>
              <w:jc w:val="right"/>
              <w:rPr>
                <w:rFonts w:ascii="Arial" w:hAnsi="Arial" w:cs="Arial"/>
                <w:color w:val="0000FF"/>
                <w:sz w:val="18"/>
                <w:szCs w:val="18"/>
              </w:rPr>
            </w:pPr>
          </w:p>
        </w:tc>
      </w:tr>
      <w:tr w:rsidR="00B40940" w:rsidRPr="00364A43" w:rsidTr="00364A43">
        <w:trPr>
          <w:trHeight w:val="300"/>
        </w:trPr>
        <w:tc>
          <w:tcPr>
            <w:tcW w:w="3134" w:type="dxa"/>
            <w:tcBorders>
              <w:top w:val="nil"/>
              <w:left w:val="nil"/>
              <w:bottom w:val="nil"/>
              <w:right w:val="nil"/>
            </w:tcBorders>
            <w:shd w:val="clear" w:color="auto" w:fill="auto"/>
            <w:noWrap/>
            <w:vAlign w:val="bottom"/>
            <w:hideMark/>
          </w:tcPr>
          <w:p w:rsidR="00B40940" w:rsidRPr="00364A43" w:rsidRDefault="00B40940" w:rsidP="00A23768">
            <w:pPr>
              <w:pStyle w:val="TableBodyText"/>
              <w:ind w:left="191"/>
              <w:rPr>
                <w:rFonts w:ascii="Arial" w:hAnsi="Arial" w:cs="Arial"/>
                <w:color w:val="0000FF"/>
                <w:sz w:val="18"/>
                <w:szCs w:val="18"/>
              </w:rPr>
            </w:pPr>
            <w:r w:rsidRPr="00364A43">
              <w:rPr>
                <w:rFonts w:ascii="Arial" w:hAnsi="Arial" w:cs="Arial"/>
                <w:color w:val="0000FF"/>
                <w:sz w:val="18"/>
                <w:szCs w:val="18"/>
              </w:rPr>
              <w:t>Prior year appropriation</w:t>
            </w:r>
            <w:r w:rsidR="00A23768">
              <w:rPr>
                <w:rFonts w:ascii="Arial" w:hAnsi="Arial" w:cs="Arial"/>
                <w:color w:val="0000FF"/>
                <w:sz w:val="18"/>
                <w:szCs w:val="18"/>
              </w:rPr>
              <w:t>s</w:t>
            </w:r>
          </w:p>
        </w:tc>
        <w:tc>
          <w:tcPr>
            <w:tcW w:w="1417" w:type="dxa"/>
            <w:tcBorders>
              <w:top w:val="nil"/>
              <w:left w:val="nil"/>
              <w:bottom w:val="nil"/>
              <w:right w:val="nil"/>
            </w:tcBorders>
            <w:shd w:val="clear" w:color="auto" w:fill="auto"/>
            <w:noWrap/>
            <w:vAlign w:val="center"/>
            <w:hideMark/>
          </w:tcPr>
          <w:p w:rsidR="00B40940" w:rsidRPr="007F6CA3" w:rsidRDefault="00E670F1" w:rsidP="00E670F1">
            <w:pPr>
              <w:pStyle w:val="TableBodyText"/>
              <w:jc w:val="right"/>
              <w:rPr>
                <w:rFonts w:ascii="Arial" w:hAnsi="Arial" w:cs="Arial"/>
                <w:color w:val="0000FF"/>
                <w:sz w:val="18"/>
                <w:szCs w:val="18"/>
              </w:rPr>
            </w:pPr>
            <w:r>
              <w:rPr>
                <w:rFonts w:ascii="Arial" w:hAnsi="Arial" w:cs="Arial"/>
                <w:color w:val="0000FF"/>
                <w:sz w:val="18"/>
                <w:szCs w:val="18"/>
              </w:rPr>
              <w:t>16,230</w:t>
            </w:r>
          </w:p>
        </w:tc>
        <w:tc>
          <w:tcPr>
            <w:tcW w:w="1276" w:type="dxa"/>
            <w:tcBorders>
              <w:top w:val="nil"/>
              <w:left w:val="nil"/>
              <w:bottom w:val="nil"/>
              <w:right w:val="nil"/>
            </w:tcBorders>
            <w:shd w:val="clear" w:color="auto" w:fill="auto"/>
            <w:noWrap/>
            <w:vAlign w:val="center"/>
            <w:hideMark/>
          </w:tcPr>
          <w:p w:rsidR="00B40940" w:rsidRPr="007F6CA3" w:rsidRDefault="003D2CB1" w:rsidP="005E5AC6">
            <w:pPr>
              <w:pStyle w:val="TableBodyText"/>
              <w:jc w:val="right"/>
              <w:rPr>
                <w:rFonts w:ascii="Arial" w:hAnsi="Arial" w:cs="Arial"/>
                <w:color w:val="0000FF"/>
                <w:sz w:val="18"/>
                <w:szCs w:val="18"/>
              </w:rPr>
            </w:pPr>
            <w:r>
              <w:rPr>
                <w:rFonts w:ascii="Arial" w:hAnsi="Arial" w:cs="Arial"/>
                <w:color w:val="0000FF"/>
                <w:sz w:val="18"/>
                <w:szCs w:val="18"/>
              </w:rPr>
              <w:t>16,230</w:t>
            </w:r>
          </w:p>
        </w:tc>
        <w:tc>
          <w:tcPr>
            <w:tcW w:w="1418" w:type="dxa"/>
            <w:tcBorders>
              <w:top w:val="nil"/>
              <w:left w:val="nil"/>
              <w:bottom w:val="nil"/>
              <w:right w:val="nil"/>
            </w:tcBorders>
            <w:shd w:val="clear" w:color="auto" w:fill="auto"/>
            <w:vAlign w:val="center"/>
            <w:hideMark/>
          </w:tcPr>
          <w:p w:rsidR="00B40940" w:rsidRPr="007F6CA3" w:rsidRDefault="003D2CB1" w:rsidP="00E670F1">
            <w:pPr>
              <w:pStyle w:val="TableBodyText"/>
              <w:jc w:val="right"/>
              <w:rPr>
                <w:rFonts w:ascii="Arial" w:hAnsi="Arial" w:cs="Arial"/>
                <w:color w:val="0000FF"/>
                <w:sz w:val="18"/>
                <w:szCs w:val="18"/>
              </w:rPr>
            </w:pPr>
            <w:r>
              <w:rPr>
                <w:rFonts w:ascii="Arial" w:hAnsi="Arial" w:cs="Arial"/>
                <w:color w:val="0000FF"/>
                <w:sz w:val="18"/>
                <w:szCs w:val="18"/>
              </w:rPr>
              <w:t>-</w:t>
            </w:r>
          </w:p>
        </w:tc>
      </w:tr>
      <w:tr w:rsidR="00B40940" w:rsidRPr="00364A43" w:rsidTr="00364A43">
        <w:trPr>
          <w:trHeight w:val="300"/>
        </w:trPr>
        <w:tc>
          <w:tcPr>
            <w:tcW w:w="3134" w:type="dxa"/>
            <w:tcBorders>
              <w:top w:val="nil"/>
              <w:left w:val="nil"/>
              <w:bottom w:val="nil"/>
              <w:right w:val="nil"/>
            </w:tcBorders>
            <w:shd w:val="clear" w:color="auto" w:fill="auto"/>
            <w:noWrap/>
            <w:vAlign w:val="bottom"/>
            <w:hideMark/>
          </w:tcPr>
          <w:p w:rsidR="00B40940" w:rsidRPr="00364A43" w:rsidRDefault="00B40940" w:rsidP="00C66759">
            <w:pPr>
              <w:pStyle w:val="TableBodyText"/>
              <w:ind w:left="191"/>
              <w:rPr>
                <w:rFonts w:ascii="Arial" w:hAnsi="Arial" w:cs="Arial"/>
                <w:color w:val="0000FF"/>
                <w:sz w:val="18"/>
                <w:szCs w:val="18"/>
              </w:rPr>
            </w:pPr>
            <w:r w:rsidRPr="00364A43">
              <w:rPr>
                <w:rFonts w:ascii="Arial" w:hAnsi="Arial" w:cs="Arial"/>
                <w:color w:val="0000FF"/>
                <w:sz w:val="18"/>
                <w:szCs w:val="18"/>
              </w:rPr>
              <w:t>Departmental appropriation</w:t>
            </w:r>
            <w:r>
              <w:rPr>
                <w:rFonts w:ascii="Arial" w:hAnsi="Arial" w:cs="Arial"/>
                <w:color w:val="0000FF"/>
                <w:sz w:val="18"/>
                <w:szCs w:val="18"/>
              </w:rPr>
              <w:t xml:space="preserve"> </w:t>
            </w:r>
            <w:r w:rsidR="00C66759">
              <w:rPr>
                <w:rFonts w:ascii="Arial" w:hAnsi="Arial" w:cs="Arial"/>
                <w:color w:val="0000FF"/>
                <w:sz w:val="18"/>
                <w:szCs w:val="18"/>
                <w:vertAlign w:val="superscript"/>
              </w:rPr>
              <w:t>1</w:t>
            </w:r>
            <w:r>
              <w:rPr>
                <w:rFonts w:ascii="Arial" w:hAnsi="Arial" w:cs="Arial"/>
                <w:color w:val="0000FF"/>
                <w:sz w:val="18"/>
                <w:szCs w:val="18"/>
              </w:rPr>
              <w:t xml:space="preserve"> </w:t>
            </w:r>
          </w:p>
        </w:tc>
        <w:tc>
          <w:tcPr>
            <w:tcW w:w="1417" w:type="dxa"/>
            <w:tcBorders>
              <w:top w:val="nil"/>
              <w:left w:val="nil"/>
              <w:bottom w:val="nil"/>
              <w:right w:val="nil"/>
            </w:tcBorders>
            <w:shd w:val="clear" w:color="auto" w:fill="auto"/>
            <w:vAlign w:val="center"/>
            <w:hideMark/>
          </w:tcPr>
          <w:p w:rsidR="00B40940" w:rsidRPr="00DF6305" w:rsidRDefault="00E670F1" w:rsidP="00E670F1">
            <w:pPr>
              <w:pStyle w:val="TableBodyText"/>
              <w:jc w:val="right"/>
              <w:rPr>
                <w:rFonts w:ascii="Arial" w:hAnsi="Arial" w:cs="Arial"/>
                <w:color w:val="0000FF"/>
                <w:sz w:val="18"/>
                <w:szCs w:val="18"/>
              </w:rPr>
            </w:pPr>
            <w:r>
              <w:rPr>
                <w:rFonts w:ascii="Arial" w:hAnsi="Arial" w:cs="Arial"/>
                <w:color w:val="0000FF"/>
                <w:sz w:val="18"/>
                <w:szCs w:val="18"/>
              </w:rPr>
              <w:t>14,627</w:t>
            </w:r>
          </w:p>
        </w:tc>
        <w:tc>
          <w:tcPr>
            <w:tcW w:w="1276" w:type="dxa"/>
            <w:tcBorders>
              <w:top w:val="nil"/>
              <w:left w:val="nil"/>
              <w:bottom w:val="nil"/>
              <w:right w:val="nil"/>
            </w:tcBorders>
            <w:shd w:val="clear" w:color="auto" w:fill="auto"/>
            <w:vAlign w:val="center"/>
            <w:hideMark/>
          </w:tcPr>
          <w:p w:rsidR="00B40940" w:rsidRPr="00DF6305" w:rsidRDefault="003D2CB1" w:rsidP="003D2CB1">
            <w:pPr>
              <w:pStyle w:val="TableBodyText"/>
              <w:jc w:val="right"/>
              <w:rPr>
                <w:rFonts w:ascii="Arial" w:hAnsi="Arial" w:cs="Arial"/>
                <w:color w:val="0000FF"/>
                <w:sz w:val="18"/>
                <w:szCs w:val="18"/>
              </w:rPr>
            </w:pPr>
            <w:r>
              <w:rPr>
                <w:rFonts w:ascii="Arial" w:hAnsi="Arial" w:cs="Arial"/>
                <w:color w:val="0000FF"/>
                <w:sz w:val="18"/>
                <w:szCs w:val="18"/>
              </w:rPr>
              <w:t>100</w:t>
            </w:r>
          </w:p>
        </w:tc>
        <w:tc>
          <w:tcPr>
            <w:tcW w:w="1418" w:type="dxa"/>
            <w:tcBorders>
              <w:top w:val="nil"/>
              <w:left w:val="nil"/>
              <w:bottom w:val="nil"/>
              <w:right w:val="nil"/>
            </w:tcBorders>
            <w:shd w:val="clear" w:color="auto" w:fill="auto"/>
            <w:vAlign w:val="center"/>
            <w:hideMark/>
          </w:tcPr>
          <w:p w:rsidR="00B40940" w:rsidRPr="00DF6305" w:rsidRDefault="003D2CB1" w:rsidP="003D2CB1">
            <w:pPr>
              <w:pStyle w:val="TableBodyText"/>
              <w:jc w:val="right"/>
              <w:rPr>
                <w:rFonts w:ascii="Arial" w:hAnsi="Arial" w:cs="Arial"/>
                <w:color w:val="0000FF"/>
                <w:sz w:val="18"/>
                <w:szCs w:val="18"/>
              </w:rPr>
            </w:pPr>
            <w:r>
              <w:rPr>
                <w:rFonts w:ascii="Arial" w:hAnsi="Arial" w:cs="Arial"/>
                <w:color w:val="0000FF"/>
                <w:sz w:val="18"/>
                <w:szCs w:val="18"/>
              </w:rPr>
              <w:t>14,527</w:t>
            </w:r>
          </w:p>
        </w:tc>
      </w:tr>
      <w:tr w:rsidR="00B40940" w:rsidRPr="00364A43" w:rsidTr="006B2223">
        <w:trPr>
          <w:trHeight w:val="300"/>
        </w:trPr>
        <w:tc>
          <w:tcPr>
            <w:tcW w:w="3134" w:type="dxa"/>
            <w:tcBorders>
              <w:top w:val="nil"/>
              <w:left w:val="nil"/>
              <w:bottom w:val="nil"/>
              <w:right w:val="nil"/>
            </w:tcBorders>
            <w:shd w:val="clear" w:color="auto" w:fill="auto"/>
            <w:noWrap/>
            <w:vAlign w:val="bottom"/>
            <w:hideMark/>
          </w:tcPr>
          <w:p w:rsidR="00B40940" w:rsidRPr="00364A43" w:rsidRDefault="00B40940" w:rsidP="00C66759">
            <w:pPr>
              <w:pStyle w:val="TableBodyText"/>
              <w:ind w:left="191"/>
              <w:rPr>
                <w:rFonts w:ascii="Arial" w:hAnsi="Arial" w:cs="Arial"/>
                <w:color w:val="0000FF"/>
                <w:sz w:val="18"/>
                <w:szCs w:val="18"/>
              </w:rPr>
            </w:pPr>
            <w:r>
              <w:rPr>
                <w:rFonts w:ascii="Arial" w:hAnsi="Arial" w:cs="Arial"/>
                <w:color w:val="0000FF"/>
                <w:sz w:val="18"/>
                <w:szCs w:val="18"/>
              </w:rPr>
              <w:t>s</w:t>
            </w:r>
            <w:r w:rsidRPr="00364A43">
              <w:rPr>
                <w:rFonts w:ascii="Arial" w:hAnsi="Arial" w:cs="Arial"/>
                <w:color w:val="0000FF"/>
                <w:sz w:val="18"/>
                <w:szCs w:val="18"/>
              </w:rPr>
              <w:t xml:space="preserve"> </w:t>
            </w:r>
            <w:r w:rsidR="00C66759">
              <w:rPr>
                <w:rFonts w:ascii="Arial" w:hAnsi="Arial" w:cs="Arial"/>
                <w:color w:val="0000FF"/>
                <w:sz w:val="18"/>
                <w:szCs w:val="18"/>
              </w:rPr>
              <w:t>74</w:t>
            </w:r>
            <w:r w:rsidRPr="00364A43">
              <w:rPr>
                <w:rFonts w:ascii="Arial" w:hAnsi="Arial" w:cs="Arial"/>
                <w:color w:val="0000FF"/>
                <w:sz w:val="18"/>
                <w:szCs w:val="18"/>
              </w:rPr>
              <w:t xml:space="preserve"> </w:t>
            </w:r>
            <w:r w:rsidR="00C66759">
              <w:rPr>
                <w:rFonts w:ascii="Arial" w:hAnsi="Arial" w:cs="Arial"/>
                <w:color w:val="0000FF"/>
                <w:sz w:val="18"/>
                <w:szCs w:val="18"/>
              </w:rPr>
              <w:t xml:space="preserve">retained revenue </w:t>
            </w:r>
            <w:r w:rsidRPr="00364A43">
              <w:rPr>
                <w:rFonts w:ascii="Arial" w:hAnsi="Arial" w:cs="Arial"/>
                <w:color w:val="0000FF"/>
                <w:sz w:val="18"/>
                <w:szCs w:val="18"/>
              </w:rPr>
              <w:t>receipts</w:t>
            </w:r>
          </w:p>
        </w:tc>
        <w:tc>
          <w:tcPr>
            <w:tcW w:w="1417" w:type="dxa"/>
            <w:tcBorders>
              <w:top w:val="nil"/>
              <w:left w:val="nil"/>
              <w:bottom w:val="single" w:sz="4" w:space="0" w:color="auto"/>
              <w:right w:val="nil"/>
            </w:tcBorders>
            <w:shd w:val="clear" w:color="auto" w:fill="auto"/>
            <w:vAlign w:val="center"/>
            <w:hideMark/>
          </w:tcPr>
          <w:p w:rsidR="00B40940" w:rsidRPr="00DF6305" w:rsidRDefault="00E670F1" w:rsidP="00A23768">
            <w:pPr>
              <w:pStyle w:val="TableBodyText"/>
              <w:jc w:val="right"/>
              <w:rPr>
                <w:rFonts w:ascii="Arial" w:hAnsi="Arial" w:cs="Arial"/>
                <w:color w:val="0000FF"/>
                <w:sz w:val="18"/>
                <w:szCs w:val="18"/>
              </w:rPr>
            </w:pPr>
            <w:r>
              <w:rPr>
                <w:rFonts w:ascii="Arial" w:hAnsi="Arial" w:cs="Arial"/>
                <w:color w:val="0000FF"/>
                <w:sz w:val="18"/>
                <w:szCs w:val="18"/>
              </w:rPr>
              <w:t>7,625</w:t>
            </w:r>
          </w:p>
        </w:tc>
        <w:tc>
          <w:tcPr>
            <w:tcW w:w="1276" w:type="dxa"/>
            <w:tcBorders>
              <w:top w:val="nil"/>
              <w:left w:val="nil"/>
              <w:bottom w:val="single" w:sz="4" w:space="0" w:color="auto"/>
              <w:right w:val="nil"/>
            </w:tcBorders>
            <w:shd w:val="clear" w:color="auto" w:fill="auto"/>
            <w:vAlign w:val="center"/>
            <w:hideMark/>
          </w:tcPr>
          <w:p w:rsidR="00B40940" w:rsidRPr="00DF6305" w:rsidRDefault="003D2CB1" w:rsidP="003D2CB1">
            <w:pPr>
              <w:pStyle w:val="TableBodyText"/>
              <w:jc w:val="right"/>
              <w:rPr>
                <w:rFonts w:ascii="Arial" w:hAnsi="Arial" w:cs="Arial"/>
                <w:color w:val="0000FF"/>
                <w:sz w:val="18"/>
                <w:szCs w:val="18"/>
              </w:rPr>
            </w:pPr>
            <w:r>
              <w:rPr>
                <w:rFonts w:ascii="Arial" w:hAnsi="Arial" w:cs="Arial"/>
                <w:color w:val="0000FF"/>
                <w:sz w:val="18"/>
                <w:szCs w:val="18"/>
              </w:rPr>
              <w:t>7,625</w:t>
            </w:r>
          </w:p>
        </w:tc>
        <w:tc>
          <w:tcPr>
            <w:tcW w:w="1418" w:type="dxa"/>
            <w:tcBorders>
              <w:top w:val="nil"/>
              <w:left w:val="nil"/>
              <w:bottom w:val="single" w:sz="4" w:space="0" w:color="auto"/>
              <w:right w:val="nil"/>
            </w:tcBorders>
            <w:shd w:val="clear" w:color="auto" w:fill="auto"/>
            <w:vAlign w:val="center"/>
            <w:hideMark/>
          </w:tcPr>
          <w:p w:rsidR="00B40940" w:rsidRPr="00DF6305" w:rsidRDefault="003D2CB1" w:rsidP="003D2CB1">
            <w:pPr>
              <w:pStyle w:val="TableBodyText"/>
              <w:jc w:val="right"/>
              <w:rPr>
                <w:rFonts w:ascii="Arial" w:hAnsi="Arial" w:cs="Arial"/>
                <w:color w:val="0000FF"/>
                <w:sz w:val="18"/>
                <w:szCs w:val="18"/>
              </w:rPr>
            </w:pPr>
            <w:r>
              <w:rPr>
                <w:rFonts w:ascii="Arial" w:hAnsi="Arial" w:cs="Arial"/>
                <w:color w:val="0000FF"/>
                <w:sz w:val="18"/>
                <w:szCs w:val="18"/>
              </w:rPr>
              <w:t>-</w:t>
            </w:r>
          </w:p>
        </w:tc>
      </w:tr>
      <w:tr w:rsidR="00EC700F" w:rsidRPr="00364A43" w:rsidTr="00F241D9">
        <w:trPr>
          <w:trHeight w:val="300"/>
        </w:trPr>
        <w:tc>
          <w:tcPr>
            <w:tcW w:w="3134" w:type="dxa"/>
            <w:tcBorders>
              <w:top w:val="nil"/>
              <w:left w:val="nil"/>
              <w:bottom w:val="nil"/>
              <w:right w:val="nil"/>
            </w:tcBorders>
            <w:shd w:val="clear" w:color="auto" w:fill="auto"/>
            <w:noWrap/>
            <w:vAlign w:val="center"/>
            <w:hideMark/>
          </w:tcPr>
          <w:p w:rsidR="00EC700F" w:rsidRPr="00364A43" w:rsidRDefault="00EC700F" w:rsidP="00F241D9">
            <w:pPr>
              <w:pStyle w:val="TableBodyText"/>
              <w:rPr>
                <w:rFonts w:ascii="Arial" w:hAnsi="Arial" w:cs="Arial"/>
                <w:b/>
                <w:color w:val="0000FF"/>
                <w:sz w:val="18"/>
                <w:szCs w:val="18"/>
              </w:rPr>
            </w:pPr>
            <w:r w:rsidRPr="00364A43">
              <w:rPr>
                <w:rFonts w:ascii="Arial" w:hAnsi="Arial" w:cs="Arial"/>
                <w:b/>
                <w:color w:val="0000FF"/>
                <w:sz w:val="18"/>
                <w:szCs w:val="18"/>
              </w:rPr>
              <w:t>Total ordinary annual services</w:t>
            </w:r>
          </w:p>
        </w:tc>
        <w:tc>
          <w:tcPr>
            <w:tcW w:w="1417" w:type="dxa"/>
            <w:tcBorders>
              <w:top w:val="single" w:sz="4" w:space="0" w:color="auto"/>
              <w:left w:val="nil"/>
              <w:bottom w:val="single" w:sz="4" w:space="0" w:color="auto"/>
              <w:right w:val="nil"/>
            </w:tcBorders>
            <w:shd w:val="clear" w:color="auto" w:fill="auto"/>
            <w:noWrap/>
            <w:vAlign w:val="center"/>
            <w:hideMark/>
          </w:tcPr>
          <w:p w:rsidR="00EC700F" w:rsidRPr="00DF6305" w:rsidRDefault="003D2CB1" w:rsidP="00A23768">
            <w:pPr>
              <w:pStyle w:val="TableBodyText"/>
              <w:jc w:val="right"/>
              <w:rPr>
                <w:rFonts w:ascii="Arial" w:hAnsi="Arial" w:cs="Arial"/>
                <w:b/>
                <w:color w:val="0000FF"/>
                <w:sz w:val="18"/>
                <w:szCs w:val="18"/>
              </w:rPr>
            </w:pPr>
            <w:r>
              <w:rPr>
                <w:rFonts w:ascii="Arial" w:hAnsi="Arial" w:cs="Arial"/>
                <w:b/>
                <w:color w:val="0000FF"/>
                <w:sz w:val="18"/>
                <w:szCs w:val="18"/>
              </w:rPr>
              <w:t>38,482</w:t>
            </w:r>
          </w:p>
        </w:tc>
        <w:tc>
          <w:tcPr>
            <w:tcW w:w="1276" w:type="dxa"/>
            <w:tcBorders>
              <w:top w:val="single" w:sz="4" w:space="0" w:color="auto"/>
              <w:left w:val="nil"/>
              <w:bottom w:val="single" w:sz="4" w:space="0" w:color="auto"/>
              <w:right w:val="nil"/>
            </w:tcBorders>
            <w:shd w:val="clear" w:color="auto" w:fill="auto"/>
            <w:noWrap/>
            <w:vAlign w:val="center"/>
            <w:hideMark/>
          </w:tcPr>
          <w:p w:rsidR="00EC700F" w:rsidRPr="00DF6305" w:rsidRDefault="003D2CB1" w:rsidP="00A23768">
            <w:pPr>
              <w:pStyle w:val="TableBodyText"/>
              <w:jc w:val="right"/>
              <w:rPr>
                <w:rFonts w:ascii="Arial" w:hAnsi="Arial" w:cs="Arial"/>
                <w:b/>
                <w:color w:val="0000FF"/>
                <w:sz w:val="18"/>
                <w:szCs w:val="18"/>
              </w:rPr>
            </w:pPr>
            <w:r>
              <w:rPr>
                <w:rFonts w:ascii="Arial" w:hAnsi="Arial" w:cs="Arial"/>
                <w:b/>
                <w:color w:val="0000FF"/>
                <w:sz w:val="18"/>
                <w:szCs w:val="18"/>
              </w:rPr>
              <w:t>23,955</w:t>
            </w:r>
          </w:p>
        </w:tc>
        <w:tc>
          <w:tcPr>
            <w:tcW w:w="1418" w:type="dxa"/>
            <w:tcBorders>
              <w:top w:val="single" w:sz="4" w:space="0" w:color="auto"/>
              <w:left w:val="nil"/>
              <w:bottom w:val="single" w:sz="4" w:space="0" w:color="auto"/>
              <w:right w:val="nil"/>
            </w:tcBorders>
            <w:shd w:val="clear" w:color="auto" w:fill="auto"/>
            <w:noWrap/>
            <w:vAlign w:val="center"/>
            <w:hideMark/>
          </w:tcPr>
          <w:p w:rsidR="00EC700F" w:rsidRPr="00DF6305" w:rsidRDefault="003D2CB1" w:rsidP="003D2CB1">
            <w:pPr>
              <w:pStyle w:val="TableBodyText"/>
              <w:jc w:val="right"/>
              <w:rPr>
                <w:rFonts w:ascii="Arial" w:hAnsi="Arial" w:cs="Arial"/>
                <w:b/>
                <w:color w:val="0000FF"/>
                <w:sz w:val="18"/>
                <w:szCs w:val="18"/>
              </w:rPr>
            </w:pPr>
            <w:r>
              <w:rPr>
                <w:rFonts w:ascii="Arial" w:hAnsi="Arial" w:cs="Arial"/>
                <w:b/>
                <w:color w:val="0000FF"/>
                <w:sz w:val="18"/>
                <w:szCs w:val="18"/>
              </w:rPr>
              <w:t>14,527</w:t>
            </w:r>
          </w:p>
        </w:tc>
      </w:tr>
      <w:tr w:rsidR="00EC700F" w:rsidRPr="00364A43" w:rsidTr="00F241D9">
        <w:trPr>
          <w:trHeight w:val="300"/>
        </w:trPr>
        <w:tc>
          <w:tcPr>
            <w:tcW w:w="3134" w:type="dxa"/>
            <w:tcBorders>
              <w:top w:val="nil"/>
              <w:left w:val="nil"/>
              <w:bottom w:val="single" w:sz="12" w:space="0" w:color="auto"/>
              <w:right w:val="nil"/>
            </w:tcBorders>
            <w:shd w:val="clear" w:color="auto" w:fill="auto"/>
            <w:noWrap/>
            <w:vAlign w:val="center"/>
            <w:hideMark/>
          </w:tcPr>
          <w:p w:rsidR="00EC700F" w:rsidRPr="00364A43" w:rsidRDefault="00EC700F" w:rsidP="00C66759">
            <w:pPr>
              <w:pStyle w:val="TableBodyText"/>
              <w:rPr>
                <w:rFonts w:ascii="Arial" w:hAnsi="Arial" w:cs="Arial"/>
                <w:b/>
                <w:color w:val="0000FF"/>
                <w:sz w:val="18"/>
                <w:szCs w:val="18"/>
              </w:rPr>
            </w:pPr>
            <w:r w:rsidRPr="00364A43">
              <w:rPr>
                <w:rFonts w:ascii="Arial" w:hAnsi="Arial" w:cs="Arial"/>
                <w:b/>
                <w:color w:val="0000FF"/>
                <w:sz w:val="18"/>
                <w:szCs w:val="18"/>
              </w:rPr>
              <w:t xml:space="preserve">Total </w:t>
            </w:r>
            <w:r>
              <w:rPr>
                <w:rFonts w:ascii="Arial" w:hAnsi="Arial" w:cs="Arial"/>
                <w:b/>
                <w:color w:val="0000FF"/>
                <w:sz w:val="18"/>
                <w:szCs w:val="18"/>
              </w:rPr>
              <w:t xml:space="preserve">net </w:t>
            </w:r>
            <w:r w:rsidRPr="00364A43">
              <w:rPr>
                <w:rFonts w:ascii="Arial" w:hAnsi="Arial" w:cs="Arial"/>
                <w:b/>
                <w:color w:val="0000FF"/>
                <w:sz w:val="18"/>
                <w:szCs w:val="18"/>
              </w:rPr>
              <w:t>resourcing</w:t>
            </w:r>
            <w:r>
              <w:rPr>
                <w:rFonts w:ascii="Arial" w:hAnsi="Arial" w:cs="Arial"/>
                <w:b/>
                <w:color w:val="0000FF"/>
                <w:sz w:val="18"/>
                <w:szCs w:val="18"/>
              </w:rPr>
              <w:t xml:space="preserve"> </w:t>
            </w:r>
            <w:r w:rsidR="00A23768">
              <w:rPr>
                <w:rFonts w:ascii="Arial" w:hAnsi="Arial" w:cs="Arial"/>
                <w:b/>
                <w:color w:val="0000FF"/>
                <w:sz w:val="18"/>
                <w:szCs w:val="18"/>
              </w:rPr>
              <w:t>and payments for entity</w:t>
            </w:r>
          </w:p>
        </w:tc>
        <w:tc>
          <w:tcPr>
            <w:tcW w:w="1417" w:type="dxa"/>
            <w:tcBorders>
              <w:top w:val="nil"/>
              <w:left w:val="nil"/>
              <w:bottom w:val="single" w:sz="12" w:space="0" w:color="auto"/>
              <w:right w:val="nil"/>
            </w:tcBorders>
            <w:shd w:val="clear" w:color="auto" w:fill="auto"/>
            <w:noWrap/>
            <w:vAlign w:val="center"/>
            <w:hideMark/>
          </w:tcPr>
          <w:p w:rsidR="00EC700F" w:rsidRPr="00DF6305" w:rsidRDefault="003D2CB1" w:rsidP="003D2CB1">
            <w:pPr>
              <w:pStyle w:val="TableBodyText"/>
              <w:jc w:val="right"/>
              <w:rPr>
                <w:rFonts w:ascii="Arial" w:hAnsi="Arial" w:cs="Arial"/>
                <w:b/>
                <w:color w:val="0000FF"/>
                <w:sz w:val="18"/>
                <w:szCs w:val="18"/>
              </w:rPr>
            </w:pPr>
            <w:r>
              <w:rPr>
                <w:rFonts w:ascii="Arial" w:hAnsi="Arial" w:cs="Arial"/>
                <w:b/>
                <w:color w:val="0000FF"/>
                <w:sz w:val="18"/>
                <w:szCs w:val="18"/>
              </w:rPr>
              <w:t>38,482</w:t>
            </w:r>
          </w:p>
        </w:tc>
        <w:tc>
          <w:tcPr>
            <w:tcW w:w="1276" w:type="dxa"/>
            <w:tcBorders>
              <w:top w:val="nil"/>
              <w:left w:val="nil"/>
              <w:bottom w:val="single" w:sz="12" w:space="0" w:color="auto"/>
              <w:right w:val="nil"/>
            </w:tcBorders>
            <w:shd w:val="clear" w:color="auto" w:fill="auto"/>
            <w:noWrap/>
            <w:vAlign w:val="center"/>
            <w:hideMark/>
          </w:tcPr>
          <w:p w:rsidR="00EC700F" w:rsidRPr="00DF6305" w:rsidRDefault="003D2CB1" w:rsidP="00A23768">
            <w:pPr>
              <w:pStyle w:val="TableBodyText"/>
              <w:jc w:val="right"/>
              <w:rPr>
                <w:rFonts w:ascii="Arial" w:hAnsi="Arial" w:cs="Arial"/>
                <w:b/>
                <w:color w:val="0000FF"/>
                <w:sz w:val="18"/>
                <w:szCs w:val="18"/>
              </w:rPr>
            </w:pPr>
            <w:r>
              <w:rPr>
                <w:rFonts w:ascii="Arial" w:hAnsi="Arial" w:cs="Arial"/>
                <w:b/>
                <w:color w:val="0000FF"/>
                <w:sz w:val="18"/>
                <w:szCs w:val="18"/>
              </w:rPr>
              <w:t>23,955</w:t>
            </w:r>
          </w:p>
        </w:tc>
        <w:tc>
          <w:tcPr>
            <w:tcW w:w="1418" w:type="dxa"/>
            <w:tcBorders>
              <w:top w:val="nil"/>
              <w:left w:val="nil"/>
              <w:bottom w:val="single" w:sz="12" w:space="0" w:color="auto"/>
              <w:right w:val="nil"/>
            </w:tcBorders>
            <w:shd w:val="clear" w:color="auto" w:fill="auto"/>
            <w:noWrap/>
            <w:vAlign w:val="center"/>
            <w:hideMark/>
          </w:tcPr>
          <w:p w:rsidR="00EC700F" w:rsidRPr="00DF6305" w:rsidRDefault="003D2CB1" w:rsidP="00A23768">
            <w:pPr>
              <w:pStyle w:val="TableBodyText"/>
              <w:jc w:val="right"/>
              <w:rPr>
                <w:rFonts w:ascii="Arial" w:hAnsi="Arial" w:cs="Arial"/>
                <w:b/>
                <w:color w:val="0000FF"/>
                <w:sz w:val="18"/>
                <w:szCs w:val="18"/>
              </w:rPr>
            </w:pPr>
            <w:r>
              <w:rPr>
                <w:rFonts w:ascii="Arial" w:hAnsi="Arial" w:cs="Arial"/>
                <w:b/>
                <w:color w:val="0000FF"/>
                <w:sz w:val="18"/>
                <w:szCs w:val="18"/>
              </w:rPr>
              <w:t>14,527</w:t>
            </w:r>
          </w:p>
        </w:tc>
      </w:tr>
    </w:tbl>
    <w:p w:rsidR="007F6CA3" w:rsidRPr="00EC700F" w:rsidRDefault="00C66759" w:rsidP="007F6CA3">
      <w:pPr>
        <w:spacing w:before="240" w:line="300" w:lineRule="exact"/>
        <w:rPr>
          <w:rFonts w:ascii="Arial" w:hAnsi="Arial"/>
          <w:caps/>
          <w:sz w:val="20"/>
        </w:rPr>
      </w:pPr>
      <w:r>
        <w:rPr>
          <w:rFonts w:ascii="Arial" w:hAnsi="Arial"/>
          <w:sz w:val="20"/>
          <w:vertAlign w:val="superscript"/>
        </w:rPr>
        <w:t>1</w:t>
      </w:r>
      <w:r w:rsidR="007F6CA3" w:rsidRPr="00EC700F">
        <w:rPr>
          <w:rFonts w:ascii="Arial" w:hAnsi="Arial"/>
          <w:sz w:val="20"/>
        </w:rPr>
        <w:t xml:space="preserve"> </w:t>
      </w:r>
      <w:r w:rsidR="007F6CA3">
        <w:rPr>
          <w:rFonts w:ascii="Arial" w:hAnsi="Arial"/>
          <w:sz w:val="20"/>
        </w:rPr>
        <w:t>Includes</w:t>
      </w:r>
      <w:r w:rsidR="007F6CA3" w:rsidRPr="00EC700F">
        <w:rPr>
          <w:rFonts w:ascii="Arial" w:hAnsi="Arial"/>
          <w:sz w:val="20"/>
        </w:rPr>
        <w:t xml:space="preserve"> an amount of $</w:t>
      </w:r>
      <w:r w:rsidR="003D2CB1">
        <w:rPr>
          <w:rFonts w:ascii="Arial" w:hAnsi="Arial"/>
          <w:sz w:val="20"/>
        </w:rPr>
        <w:t xml:space="preserve">0.488 </w:t>
      </w:r>
      <w:r w:rsidR="007F6CA3" w:rsidRPr="00EC700F">
        <w:rPr>
          <w:rFonts w:ascii="Arial" w:hAnsi="Arial"/>
          <w:sz w:val="20"/>
        </w:rPr>
        <w:t>million for the Departmental Capital Budget. For accounting purposes</w:t>
      </w:r>
      <w:r w:rsidR="007F6CA3">
        <w:rPr>
          <w:rFonts w:ascii="Arial" w:hAnsi="Arial"/>
          <w:sz w:val="20"/>
        </w:rPr>
        <w:t>,</w:t>
      </w:r>
      <w:r w:rsidR="007F6CA3" w:rsidRPr="00EC700F">
        <w:rPr>
          <w:rFonts w:ascii="Arial" w:hAnsi="Arial"/>
          <w:sz w:val="20"/>
        </w:rPr>
        <w:t xml:space="preserve"> this amount has been designated as </w:t>
      </w:r>
      <w:r w:rsidR="004D7BCC">
        <w:rPr>
          <w:rFonts w:ascii="Arial" w:hAnsi="Arial"/>
          <w:sz w:val="20"/>
        </w:rPr>
        <w:t>“contributions by owners”</w:t>
      </w:r>
      <w:r w:rsidR="007F6CA3" w:rsidRPr="00EC700F">
        <w:rPr>
          <w:rFonts w:ascii="Arial" w:hAnsi="Arial"/>
          <w:sz w:val="20"/>
        </w:rPr>
        <w:t>.</w:t>
      </w:r>
    </w:p>
    <w:p w:rsidR="00EC700F" w:rsidRPr="00EC700F" w:rsidRDefault="00C66759" w:rsidP="00EC700F">
      <w:pPr>
        <w:spacing w:before="240" w:line="300" w:lineRule="exact"/>
        <w:rPr>
          <w:rFonts w:ascii="Arial" w:hAnsi="Arial"/>
          <w:sz w:val="20"/>
        </w:rPr>
      </w:pPr>
      <w:r>
        <w:rPr>
          <w:rFonts w:ascii="Arial" w:hAnsi="Arial"/>
          <w:sz w:val="20"/>
          <w:vertAlign w:val="superscript"/>
        </w:rPr>
        <w:t>2</w:t>
      </w:r>
      <w:r w:rsidR="00EC700F" w:rsidRPr="00EC700F">
        <w:rPr>
          <w:rFonts w:ascii="Arial" w:hAnsi="Arial"/>
          <w:sz w:val="20"/>
          <w:vertAlign w:val="superscript"/>
        </w:rPr>
        <w:t xml:space="preserve"> </w:t>
      </w:r>
      <w:r w:rsidR="00EC700F" w:rsidRPr="00EC700F">
        <w:rPr>
          <w:rFonts w:ascii="Arial" w:hAnsi="Arial"/>
          <w:sz w:val="20"/>
        </w:rPr>
        <w:t xml:space="preserve">The remaining balance is made up of the operating </w:t>
      </w:r>
      <w:r w:rsidR="00E640A6">
        <w:rPr>
          <w:rFonts w:ascii="Arial" w:hAnsi="Arial"/>
          <w:sz w:val="20"/>
        </w:rPr>
        <w:t>surplus attributable to OPC</w:t>
      </w:r>
      <w:r w:rsidR="00EC700F" w:rsidRPr="00EC700F">
        <w:rPr>
          <w:rFonts w:ascii="Arial" w:hAnsi="Arial"/>
          <w:sz w:val="20"/>
        </w:rPr>
        <w:t xml:space="preserve"> and </w:t>
      </w:r>
      <w:r w:rsidR="00DF6305">
        <w:rPr>
          <w:rFonts w:ascii="Arial" w:hAnsi="Arial"/>
          <w:sz w:val="20"/>
        </w:rPr>
        <w:t xml:space="preserve">outstanding </w:t>
      </w:r>
      <w:r w:rsidR="00EC700F" w:rsidRPr="00EC700F">
        <w:rPr>
          <w:rFonts w:ascii="Arial" w:hAnsi="Arial"/>
          <w:sz w:val="20"/>
        </w:rPr>
        <w:t>liabilities.</w:t>
      </w:r>
      <w:r w:rsidR="00EC700F" w:rsidRPr="00EC700F">
        <w:rPr>
          <w:rFonts w:ascii="Arial" w:hAnsi="Arial"/>
          <w:sz w:val="20"/>
        </w:rPr>
        <w:br w:type="page"/>
      </w:r>
    </w:p>
    <w:p w:rsidR="00950334" w:rsidRDefault="002E13FA" w:rsidP="002E13FA">
      <w:pPr>
        <w:pStyle w:val="Head4"/>
        <w:spacing w:after="0"/>
        <w:rPr>
          <w:b w:val="0"/>
          <w:sz w:val="16"/>
        </w:rPr>
      </w:pPr>
      <w:r>
        <w:t>Ex</w:t>
      </w:r>
      <w:r w:rsidR="00D422B1">
        <w:t xml:space="preserve">penses </w:t>
      </w:r>
      <w:r w:rsidR="00582377">
        <w:t>for</w:t>
      </w:r>
      <w:r w:rsidR="00D422B1">
        <w:t xml:space="preserve"> Outcome 1</w:t>
      </w:r>
    </w:p>
    <w:tbl>
      <w:tblPr>
        <w:tblW w:w="7245" w:type="dxa"/>
        <w:tblInd w:w="93" w:type="dxa"/>
        <w:tblLayout w:type="fixed"/>
        <w:tblLook w:val="04A0" w:firstRow="1" w:lastRow="0" w:firstColumn="1" w:lastColumn="0" w:noHBand="0" w:noVBand="1"/>
      </w:tblPr>
      <w:tblGrid>
        <w:gridCol w:w="4126"/>
        <w:gridCol w:w="992"/>
        <w:gridCol w:w="1134"/>
        <w:gridCol w:w="993"/>
      </w:tblGrid>
      <w:tr w:rsidR="00EC700F" w:rsidRPr="00364A43" w:rsidTr="00D008F4">
        <w:trPr>
          <w:trHeight w:val="315"/>
        </w:trPr>
        <w:tc>
          <w:tcPr>
            <w:tcW w:w="4126" w:type="dxa"/>
            <w:tcBorders>
              <w:top w:val="single" w:sz="12" w:space="0" w:color="auto"/>
              <w:left w:val="nil"/>
              <w:bottom w:val="single" w:sz="12" w:space="0" w:color="auto"/>
              <w:right w:val="nil"/>
            </w:tcBorders>
            <w:vAlign w:val="center"/>
            <w:hideMark/>
          </w:tcPr>
          <w:p w:rsidR="00EC700F" w:rsidRPr="00364A43" w:rsidRDefault="002E13FA" w:rsidP="003D5FCA">
            <w:pPr>
              <w:spacing w:line="260" w:lineRule="atLeast"/>
              <w:rPr>
                <w:rFonts w:ascii="Arial" w:hAnsi="Arial" w:cs="Arial"/>
                <w:b/>
                <w:bCs/>
                <w:color w:val="0000FF"/>
                <w:sz w:val="18"/>
                <w:szCs w:val="18"/>
              </w:rPr>
            </w:pPr>
            <w:r>
              <w:rPr>
                <w:rFonts w:ascii="Arial" w:hAnsi="Arial" w:cs="Arial"/>
                <w:b/>
                <w:bCs/>
                <w:color w:val="0000FF"/>
                <w:sz w:val="18"/>
                <w:szCs w:val="18"/>
              </w:rPr>
              <w:t>Outcome 1—A body of Commonwealth laws and instruments that give effect to intended policy, and that are coherent, readable and readily accessible, through the drafting and publication of those laws and instruments</w:t>
            </w:r>
          </w:p>
        </w:tc>
        <w:tc>
          <w:tcPr>
            <w:tcW w:w="992" w:type="dxa"/>
            <w:tcBorders>
              <w:top w:val="single" w:sz="12" w:space="0" w:color="auto"/>
              <w:left w:val="nil"/>
              <w:bottom w:val="single" w:sz="12" w:space="0" w:color="auto"/>
              <w:right w:val="nil"/>
            </w:tcBorders>
            <w:shd w:val="clear" w:color="auto" w:fill="auto"/>
            <w:noWrap/>
            <w:vAlign w:val="bottom"/>
            <w:hideMark/>
          </w:tcPr>
          <w:p w:rsidR="00EC700F" w:rsidRPr="00364A43" w:rsidRDefault="00151EAE" w:rsidP="00582377">
            <w:pPr>
              <w:spacing w:line="260" w:lineRule="atLeast"/>
              <w:jc w:val="right"/>
              <w:rPr>
                <w:rFonts w:ascii="Arial" w:hAnsi="Arial" w:cs="Arial"/>
                <w:b/>
                <w:bCs/>
                <w:color w:val="0000FF"/>
                <w:sz w:val="18"/>
                <w:szCs w:val="18"/>
              </w:rPr>
            </w:pPr>
            <w:r>
              <w:rPr>
                <w:rFonts w:ascii="Arial" w:hAnsi="Arial" w:cs="Arial"/>
                <w:b/>
                <w:bCs/>
                <w:color w:val="0000FF"/>
                <w:sz w:val="18"/>
                <w:szCs w:val="18"/>
              </w:rPr>
              <w:t xml:space="preserve">Budget </w:t>
            </w:r>
            <w:r w:rsidR="00EC700F">
              <w:rPr>
                <w:rFonts w:ascii="Arial" w:hAnsi="Arial" w:cs="Arial"/>
                <w:b/>
                <w:bCs/>
                <w:color w:val="0000FF"/>
                <w:sz w:val="18"/>
                <w:szCs w:val="18"/>
              </w:rPr>
              <w:t>201</w:t>
            </w:r>
            <w:r w:rsidR="00582377">
              <w:rPr>
                <w:rFonts w:ascii="Arial" w:hAnsi="Arial" w:cs="Arial"/>
                <w:b/>
                <w:bCs/>
                <w:color w:val="0000FF"/>
                <w:sz w:val="18"/>
                <w:szCs w:val="18"/>
              </w:rPr>
              <w:t>5</w:t>
            </w:r>
            <w:r w:rsidR="00EC700F">
              <w:rPr>
                <w:rFonts w:ascii="Arial" w:hAnsi="Arial" w:cs="Arial"/>
                <w:b/>
                <w:bCs/>
                <w:color w:val="0000FF"/>
                <w:sz w:val="18"/>
                <w:szCs w:val="18"/>
              </w:rPr>
              <w:noBreakHyphen/>
              <w:t>1</w:t>
            </w:r>
            <w:r w:rsidR="00582377">
              <w:rPr>
                <w:rFonts w:ascii="Arial" w:hAnsi="Arial" w:cs="Arial"/>
                <w:b/>
                <w:bCs/>
                <w:color w:val="0000FF"/>
                <w:sz w:val="18"/>
                <w:szCs w:val="18"/>
              </w:rPr>
              <w:t>6</w:t>
            </w:r>
            <w:r w:rsidR="00EC700F">
              <w:rPr>
                <w:rFonts w:ascii="Arial" w:hAnsi="Arial" w:cs="Arial"/>
                <w:color w:val="0000FF"/>
                <w:sz w:val="18"/>
                <w:szCs w:val="18"/>
                <w:vertAlign w:val="superscript"/>
              </w:rPr>
              <w:t>1</w:t>
            </w:r>
            <w:r>
              <w:rPr>
                <w:rFonts w:ascii="Arial" w:hAnsi="Arial" w:cs="Arial"/>
                <w:color w:val="0000FF"/>
                <w:sz w:val="18"/>
                <w:szCs w:val="18"/>
                <w:vertAlign w:val="superscript"/>
              </w:rPr>
              <w:t xml:space="preserve"> </w:t>
            </w:r>
            <w:r w:rsidR="00582377">
              <w:rPr>
                <w:rFonts w:ascii="Arial" w:hAnsi="Arial" w:cs="Arial"/>
                <w:b/>
                <w:bCs/>
                <w:color w:val="0000FF"/>
                <w:sz w:val="18"/>
                <w:szCs w:val="18"/>
              </w:rPr>
              <w:t>$’000</w:t>
            </w:r>
            <w:r w:rsidR="00EC700F" w:rsidRPr="00364A43">
              <w:rPr>
                <w:rFonts w:ascii="Arial" w:hAnsi="Arial" w:cs="Arial"/>
                <w:b/>
                <w:bCs/>
                <w:color w:val="0000FF"/>
                <w:sz w:val="18"/>
                <w:szCs w:val="18"/>
              </w:rPr>
              <w:t xml:space="preserve"> </w:t>
            </w:r>
          </w:p>
        </w:tc>
        <w:tc>
          <w:tcPr>
            <w:tcW w:w="1134" w:type="dxa"/>
            <w:tcBorders>
              <w:top w:val="single" w:sz="12" w:space="0" w:color="auto"/>
              <w:left w:val="nil"/>
              <w:bottom w:val="single" w:sz="12" w:space="0" w:color="auto"/>
              <w:right w:val="nil"/>
            </w:tcBorders>
            <w:shd w:val="clear" w:color="auto" w:fill="auto"/>
            <w:noWrap/>
            <w:vAlign w:val="bottom"/>
            <w:hideMark/>
          </w:tcPr>
          <w:p w:rsidR="00EC700F" w:rsidRPr="00364A43" w:rsidRDefault="00151EAE" w:rsidP="00582377">
            <w:pPr>
              <w:spacing w:line="260" w:lineRule="atLeast"/>
              <w:jc w:val="right"/>
              <w:rPr>
                <w:rFonts w:ascii="Arial" w:hAnsi="Arial" w:cs="Arial"/>
                <w:b/>
                <w:bCs/>
                <w:color w:val="0000FF"/>
                <w:sz w:val="18"/>
                <w:szCs w:val="18"/>
              </w:rPr>
            </w:pPr>
            <w:r>
              <w:rPr>
                <w:rFonts w:ascii="Arial" w:hAnsi="Arial" w:cs="Arial"/>
                <w:b/>
                <w:bCs/>
                <w:color w:val="0000FF"/>
                <w:sz w:val="18"/>
                <w:szCs w:val="18"/>
              </w:rPr>
              <w:t xml:space="preserve">Actual expenses </w:t>
            </w:r>
            <w:r w:rsidR="00EC700F">
              <w:rPr>
                <w:rFonts w:ascii="Arial" w:hAnsi="Arial" w:cs="Arial"/>
                <w:b/>
                <w:bCs/>
                <w:color w:val="0000FF"/>
                <w:sz w:val="18"/>
                <w:szCs w:val="18"/>
              </w:rPr>
              <w:t>201</w:t>
            </w:r>
            <w:r w:rsidR="00582377">
              <w:rPr>
                <w:rFonts w:ascii="Arial" w:hAnsi="Arial" w:cs="Arial"/>
                <w:b/>
                <w:bCs/>
                <w:color w:val="0000FF"/>
                <w:sz w:val="18"/>
                <w:szCs w:val="18"/>
              </w:rPr>
              <w:t>5</w:t>
            </w:r>
            <w:r w:rsidR="00EC700F">
              <w:rPr>
                <w:rFonts w:ascii="Arial" w:hAnsi="Arial" w:cs="Arial"/>
                <w:b/>
                <w:bCs/>
                <w:color w:val="0000FF"/>
                <w:sz w:val="18"/>
                <w:szCs w:val="18"/>
              </w:rPr>
              <w:noBreakHyphen/>
              <w:t>1</w:t>
            </w:r>
            <w:r w:rsidR="00582377">
              <w:rPr>
                <w:rFonts w:ascii="Arial" w:hAnsi="Arial" w:cs="Arial"/>
                <w:b/>
                <w:bCs/>
                <w:color w:val="0000FF"/>
                <w:sz w:val="18"/>
                <w:szCs w:val="18"/>
              </w:rPr>
              <w:t xml:space="preserve">6 </w:t>
            </w:r>
            <w:r>
              <w:rPr>
                <w:rFonts w:ascii="Arial" w:hAnsi="Arial" w:cs="Arial"/>
                <w:b/>
                <w:bCs/>
                <w:color w:val="0000FF"/>
                <w:sz w:val="18"/>
                <w:szCs w:val="18"/>
              </w:rPr>
              <w:t>$’000</w:t>
            </w:r>
          </w:p>
        </w:tc>
        <w:tc>
          <w:tcPr>
            <w:tcW w:w="993" w:type="dxa"/>
            <w:tcBorders>
              <w:top w:val="single" w:sz="12" w:space="0" w:color="auto"/>
              <w:left w:val="nil"/>
              <w:bottom w:val="single" w:sz="12" w:space="0" w:color="auto"/>
              <w:right w:val="nil"/>
            </w:tcBorders>
            <w:shd w:val="clear" w:color="auto" w:fill="auto"/>
            <w:noWrap/>
            <w:vAlign w:val="bottom"/>
            <w:hideMark/>
          </w:tcPr>
          <w:p w:rsidR="00EC700F" w:rsidRPr="00364A43" w:rsidRDefault="00151EAE" w:rsidP="00582377">
            <w:pPr>
              <w:spacing w:line="260" w:lineRule="atLeast"/>
              <w:jc w:val="right"/>
              <w:rPr>
                <w:rFonts w:ascii="Arial" w:hAnsi="Arial" w:cs="Arial"/>
                <w:b/>
                <w:bCs/>
                <w:color w:val="0000FF"/>
                <w:sz w:val="18"/>
                <w:szCs w:val="18"/>
              </w:rPr>
            </w:pPr>
            <w:r>
              <w:rPr>
                <w:rFonts w:ascii="Arial" w:hAnsi="Arial" w:cs="Arial"/>
                <w:b/>
                <w:bCs/>
                <w:color w:val="0000FF"/>
                <w:sz w:val="18"/>
                <w:szCs w:val="18"/>
              </w:rPr>
              <w:t xml:space="preserve">Variance </w:t>
            </w:r>
            <w:r w:rsidR="00EC700F">
              <w:rPr>
                <w:rFonts w:ascii="Arial" w:hAnsi="Arial" w:cs="Arial"/>
                <w:b/>
                <w:bCs/>
                <w:color w:val="0000FF"/>
                <w:sz w:val="18"/>
                <w:szCs w:val="18"/>
              </w:rPr>
              <w:t>201</w:t>
            </w:r>
            <w:r w:rsidR="00582377">
              <w:rPr>
                <w:rFonts w:ascii="Arial" w:hAnsi="Arial" w:cs="Arial"/>
                <w:b/>
                <w:bCs/>
                <w:color w:val="0000FF"/>
                <w:sz w:val="18"/>
                <w:szCs w:val="18"/>
              </w:rPr>
              <w:t>5</w:t>
            </w:r>
            <w:r w:rsidR="00EC700F">
              <w:rPr>
                <w:rFonts w:ascii="Arial" w:hAnsi="Arial" w:cs="Arial"/>
                <w:b/>
                <w:bCs/>
                <w:color w:val="0000FF"/>
                <w:sz w:val="18"/>
                <w:szCs w:val="18"/>
              </w:rPr>
              <w:noBreakHyphen/>
              <w:t>1</w:t>
            </w:r>
            <w:r w:rsidR="00582377">
              <w:rPr>
                <w:rFonts w:ascii="Arial" w:hAnsi="Arial" w:cs="Arial"/>
                <w:b/>
                <w:bCs/>
                <w:color w:val="0000FF"/>
                <w:sz w:val="18"/>
                <w:szCs w:val="18"/>
              </w:rPr>
              <w:t>6 $’000</w:t>
            </w:r>
            <w:r w:rsidR="00EC700F" w:rsidRPr="00364A43">
              <w:rPr>
                <w:rFonts w:ascii="Arial" w:hAnsi="Arial" w:cs="Arial"/>
                <w:b/>
                <w:bCs/>
                <w:color w:val="0000FF"/>
                <w:sz w:val="18"/>
                <w:szCs w:val="18"/>
              </w:rPr>
              <w:t xml:space="preserve"> </w:t>
            </w:r>
          </w:p>
        </w:tc>
      </w:tr>
      <w:tr w:rsidR="00364A43" w:rsidRPr="00364A43" w:rsidTr="00D008F4">
        <w:trPr>
          <w:trHeight w:val="285"/>
        </w:trPr>
        <w:tc>
          <w:tcPr>
            <w:tcW w:w="4126" w:type="dxa"/>
            <w:tcBorders>
              <w:top w:val="single" w:sz="12" w:space="0" w:color="auto"/>
              <w:left w:val="nil"/>
              <w:bottom w:val="nil"/>
              <w:right w:val="nil"/>
            </w:tcBorders>
            <w:shd w:val="clear" w:color="auto" w:fill="auto"/>
            <w:hideMark/>
          </w:tcPr>
          <w:p w:rsidR="00364A43" w:rsidRPr="00364A43" w:rsidRDefault="00364A43" w:rsidP="00364A43">
            <w:pPr>
              <w:rPr>
                <w:rFonts w:ascii="Arial" w:hAnsi="Arial" w:cs="Arial"/>
                <w:b/>
                <w:bCs/>
                <w:color w:val="0000FF"/>
                <w:sz w:val="18"/>
                <w:szCs w:val="18"/>
              </w:rPr>
            </w:pPr>
          </w:p>
        </w:tc>
        <w:tc>
          <w:tcPr>
            <w:tcW w:w="992" w:type="dxa"/>
            <w:tcBorders>
              <w:top w:val="single" w:sz="12" w:space="0" w:color="auto"/>
              <w:left w:val="nil"/>
              <w:bottom w:val="nil"/>
              <w:right w:val="nil"/>
            </w:tcBorders>
            <w:shd w:val="clear" w:color="auto" w:fill="auto"/>
            <w:noWrap/>
            <w:hideMark/>
          </w:tcPr>
          <w:p w:rsidR="00364A43" w:rsidRPr="00364A43" w:rsidRDefault="00364A43" w:rsidP="00151EAE">
            <w:pPr>
              <w:jc w:val="right"/>
              <w:rPr>
                <w:rFonts w:ascii="Arial" w:hAnsi="Arial" w:cs="Arial"/>
                <w:color w:val="0000FF"/>
                <w:sz w:val="18"/>
                <w:szCs w:val="18"/>
              </w:rPr>
            </w:pPr>
            <w:r w:rsidRPr="00364A43">
              <w:rPr>
                <w:rFonts w:ascii="Arial" w:hAnsi="Arial" w:cs="Arial"/>
                <w:color w:val="0000FF"/>
                <w:sz w:val="18"/>
                <w:szCs w:val="18"/>
              </w:rPr>
              <w:t>(a)</w:t>
            </w:r>
          </w:p>
        </w:tc>
        <w:tc>
          <w:tcPr>
            <w:tcW w:w="1134" w:type="dxa"/>
            <w:tcBorders>
              <w:top w:val="single" w:sz="12" w:space="0" w:color="auto"/>
              <w:left w:val="nil"/>
              <w:bottom w:val="nil"/>
              <w:right w:val="nil"/>
            </w:tcBorders>
            <w:shd w:val="clear" w:color="auto" w:fill="auto"/>
            <w:noWrap/>
            <w:hideMark/>
          </w:tcPr>
          <w:p w:rsidR="00364A43" w:rsidRPr="00364A43" w:rsidRDefault="00364A43" w:rsidP="002E13FA">
            <w:pPr>
              <w:jc w:val="right"/>
              <w:rPr>
                <w:rFonts w:ascii="Arial" w:hAnsi="Arial" w:cs="Arial"/>
                <w:color w:val="0000FF"/>
                <w:sz w:val="18"/>
                <w:szCs w:val="18"/>
              </w:rPr>
            </w:pPr>
            <w:r w:rsidRPr="00364A43">
              <w:rPr>
                <w:rFonts w:ascii="Arial" w:hAnsi="Arial" w:cs="Arial"/>
                <w:color w:val="0000FF"/>
                <w:sz w:val="18"/>
                <w:szCs w:val="18"/>
              </w:rPr>
              <w:t>(b)</w:t>
            </w:r>
          </w:p>
        </w:tc>
        <w:tc>
          <w:tcPr>
            <w:tcW w:w="993" w:type="dxa"/>
            <w:tcBorders>
              <w:top w:val="single" w:sz="12" w:space="0" w:color="auto"/>
              <w:left w:val="nil"/>
              <w:bottom w:val="nil"/>
              <w:right w:val="nil"/>
            </w:tcBorders>
            <w:shd w:val="clear" w:color="auto" w:fill="auto"/>
            <w:noWrap/>
            <w:hideMark/>
          </w:tcPr>
          <w:p w:rsidR="00364A43" w:rsidRPr="00364A43" w:rsidRDefault="00364A43" w:rsidP="002E13FA">
            <w:pPr>
              <w:jc w:val="right"/>
              <w:rPr>
                <w:rFonts w:ascii="Arial" w:hAnsi="Arial" w:cs="Arial"/>
                <w:color w:val="0000FF"/>
                <w:sz w:val="18"/>
                <w:szCs w:val="18"/>
              </w:rPr>
            </w:pPr>
            <w:r w:rsidRPr="00364A43">
              <w:rPr>
                <w:rFonts w:ascii="Arial" w:hAnsi="Arial" w:cs="Arial"/>
                <w:color w:val="0000FF"/>
                <w:sz w:val="18"/>
                <w:szCs w:val="18"/>
              </w:rPr>
              <w:t>(a) - (b)</w:t>
            </w:r>
          </w:p>
        </w:tc>
      </w:tr>
      <w:tr w:rsidR="00364A43" w:rsidRPr="00364A43" w:rsidTr="002E13FA">
        <w:trPr>
          <w:trHeight w:val="525"/>
        </w:trPr>
        <w:tc>
          <w:tcPr>
            <w:tcW w:w="4126" w:type="dxa"/>
            <w:tcBorders>
              <w:top w:val="nil"/>
              <w:left w:val="nil"/>
              <w:bottom w:val="nil"/>
              <w:right w:val="nil"/>
            </w:tcBorders>
            <w:shd w:val="clear" w:color="auto" w:fill="auto"/>
            <w:hideMark/>
          </w:tcPr>
          <w:p w:rsidR="004C7FC2" w:rsidRPr="00364A43" w:rsidRDefault="00CD5F72" w:rsidP="002E13FA">
            <w:pPr>
              <w:rPr>
                <w:rFonts w:ascii="Arial" w:hAnsi="Arial" w:cs="Arial"/>
                <w:color w:val="0000FF"/>
                <w:sz w:val="18"/>
                <w:szCs w:val="18"/>
              </w:rPr>
            </w:pPr>
            <w:r>
              <w:rPr>
                <w:rFonts w:ascii="Arial" w:hAnsi="Arial" w:cs="Arial"/>
                <w:b/>
                <w:color w:val="0000FF"/>
                <w:sz w:val="18"/>
                <w:szCs w:val="18"/>
              </w:rPr>
              <w:t>Program</w:t>
            </w:r>
            <w:r w:rsidR="004C7FC2" w:rsidRPr="004C7FC2">
              <w:rPr>
                <w:rFonts w:ascii="Arial" w:hAnsi="Arial" w:cs="Arial"/>
                <w:b/>
                <w:color w:val="0000FF"/>
                <w:sz w:val="18"/>
                <w:szCs w:val="18"/>
              </w:rPr>
              <w:t xml:space="preserve"> 1.1: Legislative drafting</w:t>
            </w:r>
            <w:r w:rsidR="00EC700F">
              <w:rPr>
                <w:rFonts w:ascii="Arial" w:hAnsi="Arial" w:cs="Arial"/>
                <w:b/>
                <w:color w:val="0000FF"/>
                <w:sz w:val="18"/>
                <w:szCs w:val="18"/>
              </w:rPr>
              <w:t xml:space="preserve"> and publication</w:t>
            </w:r>
          </w:p>
        </w:tc>
        <w:tc>
          <w:tcPr>
            <w:tcW w:w="992" w:type="dxa"/>
            <w:tcBorders>
              <w:top w:val="nil"/>
              <w:left w:val="nil"/>
              <w:bottom w:val="nil"/>
              <w:right w:val="nil"/>
            </w:tcBorders>
            <w:shd w:val="clear" w:color="auto" w:fill="auto"/>
            <w:hideMark/>
          </w:tcPr>
          <w:p w:rsidR="00364A43" w:rsidRPr="00364A43" w:rsidRDefault="00364A43" w:rsidP="00364A43">
            <w:pPr>
              <w:jc w:val="right"/>
              <w:rPr>
                <w:rFonts w:ascii="Arial" w:hAnsi="Arial" w:cs="Arial"/>
                <w:color w:val="0000FF"/>
                <w:sz w:val="18"/>
                <w:szCs w:val="18"/>
              </w:rPr>
            </w:pPr>
            <w:r w:rsidRPr="00364A43">
              <w:rPr>
                <w:rFonts w:ascii="Arial" w:hAnsi="Arial" w:cs="Arial"/>
                <w:color w:val="0000FF"/>
                <w:sz w:val="18"/>
                <w:szCs w:val="18"/>
              </w:rPr>
              <w:t xml:space="preserve"> </w:t>
            </w:r>
          </w:p>
        </w:tc>
        <w:tc>
          <w:tcPr>
            <w:tcW w:w="1134" w:type="dxa"/>
            <w:tcBorders>
              <w:top w:val="nil"/>
              <w:left w:val="nil"/>
              <w:bottom w:val="nil"/>
              <w:right w:val="nil"/>
            </w:tcBorders>
            <w:shd w:val="clear" w:color="auto" w:fill="auto"/>
            <w:hideMark/>
          </w:tcPr>
          <w:p w:rsidR="00364A43" w:rsidRPr="00364A43" w:rsidRDefault="00364A43" w:rsidP="00364A43">
            <w:pPr>
              <w:jc w:val="right"/>
              <w:rPr>
                <w:rFonts w:ascii="Arial" w:hAnsi="Arial" w:cs="Arial"/>
                <w:color w:val="0000FF"/>
                <w:sz w:val="18"/>
                <w:szCs w:val="18"/>
              </w:rPr>
            </w:pPr>
            <w:r w:rsidRPr="00364A43">
              <w:rPr>
                <w:rFonts w:ascii="Arial" w:hAnsi="Arial" w:cs="Arial"/>
                <w:color w:val="0000FF"/>
                <w:sz w:val="18"/>
                <w:szCs w:val="18"/>
              </w:rPr>
              <w:t xml:space="preserve"> </w:t>
            </w:r>
          </w:p>
        </w:tc>
        <w:tc>
          <w:tcPr>
            <w:tcW w:w="993" w:type="dxa"/>
            <w:tcBorders>
              <w:top w:val="nil"/>
              <w:left w:val="nil"/>
              <w:bottom w:val="nil"/>
              <w:right w:val="nil"/>
            </w:tcBorders>
            <w:shd w:val="clear" w:color="auto" w:fill="auto"/>
            <w:hideMark/>
          </w:tcPr>
          <w:p w:rsidR="00364A43" w:rsidRPr="00364A43" w:rsidRDefault="00364A43" w:rsidP="00364A43">
            <w:pPr>
              <w:jc w:val="right"/>
              <w:rPr>
                <w:rFonts w:ascii="Arial" w:hAnsi="Arial" w:cs="Arial"/>
                <w:color w:val="0000FF"/>
                <w:sz w:val="18"/>
                <w:szCs w:val="18"/>
              </w:rPr>
            </w:pPr>
            <w:r w:rsidRPr="00364A43">
              <w:rPr>
                <w:rFonts w:ascii="Arial" w:hAnsi="Arial" w:cs="Arial"/>
                <w:color w:val="0000FF"/>
                <w:sz w:val="18"/>
                <w:szCs w:val="18"/>
              </w:rPr>
              <w:t xml:space="preserve"> </w:t>
            </w:r>
          </w:p>
        </w:tc>
      </w:tr>
      <w:tr w:rsidR="002E13FA" w:rsidRPr="00364A43" w:rsidTr="002E13FA">
        <w:trPr>
          <w:trHeight w:val="279"/>
        </w:trPr>
        <w:tc>
          <w:tcPr>
            <w:tcW w:w="4126" w:type="dxa"/>
            <w:tcBorders>
              <w:top w:val="nil"/>
              <w:left w:val="nil"/>
              <w:bottom w:val="nil"/>
              <w:right w:val="nil"/>
            </w:tcBorders>
            <w:shd w:val="clear" w:color="auto" w:fill="auto"/>
          </w:tcPr>
          <w:p w:rsidR="002E13FA" w:rsidRPr="00364A43" w:rsidRDefault="002E13FA" w:rsidP="00F241D9">
            <w:pPr>
              <w:rPr>
                <w:rFonts w:ascii="Arial" w:hAnsi="Arial" w:cs="Arial"/>
                <w:color w:val="0000FF"/>
                <w:sz w:val="18"/>
                <w:szCs w:val="18"/>
              </w:rPr>
            </w:pPr>
            <w:r>
              <w:rPr>
                <w:rFonts w:ascii="Arial" w:hAnsi="Arial" w:cs="Arial"/>
                <w:color w:val="0000FF"/>
                <w:sz w:val="18"/>
                <w:szCs w:val="18"/>
              </w:rPr>
              <w:t>Departmental expenses</w:t>
            </w:r>
          </w:p>
        </w:tc>
        <w:tc>
          <w:tcPr>
            <w:tcW w:w="992" w:type="dxa"/>
            <w:tcBorders>
              <w:top w:val="nil"/>
              <w:left w:val="nil"/>
              <w:bottom w:val="nil"/>
              <w:right w:val="nil"/>
            </w:tcBorders>
            <w:shd w:val="clear" w:color="auto" w:fill="auto"/>
          </w:tcPr>
          <w:p w:rsidR="002E13FA" w:rsidRPr="00364A43" w:rsidRDefault="002E13FA" w:rsidP="00614CF3">
            <w:pPr>
              <w:jc w:val="right"/>
              <w:rPr>
                <w:rFonts w:ascii="Arial" w:hAnsi="Arial" w:cs="Arial"/>
                <w:color w:val="0000FF"/>
                <w:sz w:val="18"/>
                <w:szCs w:val="18"/>
              </w:rPr>
            </w:pPr>
          </w:p>
        </w:tc>
        <w:tc>
          <w:tcPr>
            <w:tcW w:w="1134" w:type="dxa"/>
            <w:tcBorders>
              <w:top w:val="nil"/>
              <w:left w:val="nil"/>
              <w:bottom w:val="nil"/>
              <w:right w:val="nil"/>
            </w:tcBorders>
            <w:shd w:val="clear" w:color="auto" w:fill="auto"/>
          </w:tcPr>
          <w:p w:rsidR="002E13FA" w:rsidRPr="00364A43" w:rsidRDefault="002E13FA" w:rsidP="008610A0">
            <w:pPr>
              <w:jc w:val="right"/>
              <w:rPr>
                <w:rFonts w:ascii="Arial" w:hAnsi="Arial" w:cs="Arial"/>
                <w:color w:val="0000FF"/>
                <w:sz w:val="18"/>
                <w:szCs w:val="18"/>
              </w:rPr>
            </w:pPr>
          </w:p>
        </w:tc>
        <w:tc>
          <w:tcPr>
            <w:tcW w:w="993" w:type="dxa"/>
            <w:tcBorders>
              <w:top w:val="nil"/>
              <w:left w:val="nil"/>
              <w:bottom w:val="nil"/>
              <w:right w:val="nil"/>
            </w:tcBorders>
            <w:shd w:val="clear" w:color="auto" w:fill="auto"/>
          </w:tcPr>
          <w:p w:rsidR="002E13FA" w:rsidRPr="00364A43" w:rsidRDefault="002E13FA" w:rsidP="00937758">
            <w:pPr>
              <w:jc w:val="right"/>
              <w:rPr>
                <w:rFonts w:ascii="Arial" w:hAnsi="Arial" w:cs="Arial"/>
                <w:color w:val="0000FF"/>
                <w:sz w:val="18"/>
                <w:szCs w:val="18"/>
              </w:rPr>
            </w:pPr>
          </w:p>
        </w:tc>
      </w:tr>
      <w:tr w:rsidR="00364A43" w:rsidRPr="00364A43" w:rsidTr="00BB38CC">
        <w:trPr>
          <w:trHeight w:val="179"/>
        </w:trPr>
        <w:tc>
          <w:tcPr>
            <w:tcW w:w="4126" w:type="dxa"/>
            <w:tcBorders>
              <w:top w:val="nil"/>
              <w:left w:val="nil"/>
              <w:bottom w:val="nil"/>
              <w:right w:val="nil"/>
            </w:tcBorders>
            <w:shd w:val="clear" w:color="auto" w:fill="auto"/>
            <w:hideMark/>
          </w:tcPr>
          <w:p w:rsidR="00364A43" w:rsidRPr="00364A43" w:rsidRDefault="00364A43" w:rsidP="00F241D9">
            <w:pPr>
              <w:rPr>
                <w:rFonts w:ascii="Arial" w:hAnsi="Arial" w:cs="Arial"/>
                <w:color w:val="0000FF"/>
                <w:sz w:val="18"/>
                <w:szCs w:val="18"/>
              </w:rPr>
            </w:pPr>
            <w:r w:rsidRPr="00364A43">
              <w:rPr>
                <w:rFonts w:ascii="Arial" w:hAnsi="Arial" w:cs="Arial"/>
                <w:color w:val="0000FF"/>
                <w:sz w:val="18"/>
                <w:szCs w:val="18"/>
              </w:rPr>
              <w:t xml:space="preserve">   </w:t>
            </w:r>
            <w:r w:rsidR="004C7FC2" w:rsidRPr="006B2223">
              <w:rPr>
                <w:rFonts w:ascii="Arial" w:hAnsi="Arial" w:cs="Arial"/>
                <w:color w:val="0000FF"/>
                <w:sz w:val="18"/>
                <w:szCs w:val="18"/>
                <w:lang w:val="en-US"/>
              </w:rPr>
              <w:t xml:space="preserve">Ordinary </w:t>
            </w:r>
            <w:r w:rsidR="00937758" w:rsidRPr="006B2223">
              <w:rPr>
                <w:rFonts w:ascii="Arial" w:hAnsi="Arial" w:cs="Arial"/>
                <w:color w:val="0000FF"/>
                <w:sz w:val="18"/>
                <w:szCs w:val="18"/>
                <w:lang w:val="en-US"/>
              </w:rPr>
              <w:t xml:space="preserve">annual </w:t>
            </w:r>
            <w:r w:rsidR="004C7FC2" w:rsidRPr="006B2223">
              <w:rPr>
                <w:rFonts w:ascii="Arial" w:hAnsi="Arial" w:cs="Arial"/>
                <w:color w:val="0000FF"/>
                <w:sz w:val="18"/>
                <w:szCs w:val="18"/>
                <w:lang w:val="en-US"/>
              </w:rPr>
              <w:t>services (Appropriation Bill</w:t>
            </w:r>
          </w:p>
        </w:tc>
        <w:tc>
          <w:tcPr>
            <w:tcW w:w="992" w:type="dxa"/>
            <w:tcBorders>
              <w:top w:val="nil"/>
              <w:left w:val="nil"/>
              <w:bottom w:val="nil"/>
              <w:right w:val="nil"/>
            </w:tcBorders>
            <w:shd w:val="clear" w:color="auto" w:fill="auto"/>
            <w:hideMark/>
          </w:tcPr>
          <w:p w:rsidR="00364A43" w:rsidRPr="00364A43" w:rsidRDefault="00364A43" w:rsidP="00614CF3">
            <w:pPr>
              <w:jc w:val="right"/>
              <w:rPr>
                <w:rFonts w:ascii="Arial" w:hAnsi="Arial" w:cs="Arial"/>
                <w:color w:val="0000FF"/>
                <w:sz w:val="18"/>
                <w:szCs w:val="18"/>
              </w:rPr>
            </w:pPr>
          </w:p>
        </w:tc>
        <w:tc>
          <w:tcPr>
            <w:tcW w:w="1134" w:type="dxa"/>
            <w:tcBorders>
              <w:top w:val="nil"/>
              <w:left w:val="nil"/>
              <w:bottom w:val="nil"/>
              <w:right w:val="nil"/>
            </w:tcBorders>
            <w:shd w:val="clear" w:color="auto" w:fill="auto"/>
            <w:hideMark/>
          </w:tcPr>
          <w:p w:rsidR="0010089E" w:rsidRPr="00364A43" w:rsidRDefault="0010089E" w:rsidP="008610A0">
            <w:pPr>
              <w:jc w:val="right"/>
              <w:rPr>
                <w:rFonts w:ascii="Arial" w:hAnsi="Arial" w:cs="Arial"/>
                <w:color w:val="0000FF"/>
                <w:sz w:val="18"/>
                <w:szCs w:val="18"/>
              </w:rPr>
            </w:pPr>
          </w:p>
        </w:tc>
        <w:tc>
          <w:tcPr>
            <w:tcW w:w="993" w:type="dxa"/>
            <w:tcBorders>
              <w:top w:val="nil"/>
              <w:left w:val="nil"/>
              <w:bottom w:val="nil"/>
              <w:right w:val="nil"/>
            </w:tcBorders>
            <w:shd w:val="clear" w:color="auto" w:fill="auto"/>
            <w:hideMark/>
          </w:tcPr>
          <w:p w:rsidR="00364A43" w:rsidRPr="00364A43" w:rsidRDefault="00364A43" w:rsidP="00937758">
            <w:pPr>
              <w:jc w:val="right"/>
              <w:rPr>
                <w:rFonts w:ascii="Arial" w:hAnsi="Arial" w:cs="Arial"/>
                <w:color w:val="0000FF"/>
                <w:sz w:val="18"/>
                <w:szCs w:val="18"/>
              </w:rPr>
            </w:pPr>
          </w:p>
        </w:tc>
      </w:tr>
      <w:tr w:rsidR="008610A0" w:rsidRPr="002E22E0" w:rsidTr="00BB38CC">
        <w:trPr>
          <w:trHeight w:val="268"/>
        </w:trPr>
        <w:tc>
          <w:tcPr>
            <w:tcW w:w="4126" w:type="dxa"/>
            <w:tcBorders>
              <w:top w:val="nil"/>
              <w:left w:val="nil"/>
              <w:bottom w:val="nil"/>
              <w:right w:val="nil"/>
            </w:tcBorders>
            <w:shd w:val="clear" w:color="auto" w:fill="auto"/>
          </w:tcPr>
          <w:p w:rsidR="008610A0" w:rsidRPr="00364A43" w:rsidRDefault="008610A0" w:rsidP="00F241D9">
            <w:pPr>
              <w:rPr>
                <w:rFonts w:ascii="Arial" w:hAnsi="Arial" w:cs="Arial"/>
                <w:color w:val="0000FF"/>
                <w:sz w:val="18"/>
                <w:szCs w:val="18"/>
              </w:rPr>
            </w:pPr>
            <w:r>
              <w:rPr>
                <w:rFonts w:ascii="Arial" w:hAnsi="Arial" w:cs="Arial"/>
                <w:color w:val="0000FF"/>
                <w:sz w:val="18"/>
                <w:szCs w:val="18"/>
              </w:rPr>
              <w:t xml:space="preserve">   No. 1)</w:t>
            </w:r>
          </w:p>
        </w:tc>
        <w:tc>
          <w:tcPr>
            <w:tcW w:w="992" w:type="dxa"/>
            <w:tcBorders>
              <w:top w:val="nil"/>
              <w:left w:val="nil"/>
              <w:bottom w:val="nil"/>
              <w:right w:val="nil"/>
            </w:tcBorders>
            <w:shd w:val="clear" w:color="auto" w:fill="auto"/>
          </w:tcPr>
          <w:p w:rsidR="008610A0" w:rsidRPr="00DF6297" w:rsidRDefault="007C4FEA" w:rsidP="007C4FEA">
            <w:pPr>
              <w:jc w:val="right"/>
              <w:rPr>
                <w:rFonts w:ascii="Arial" w:hAnsi="Arial" w:cs="Arial"/>
                <w:color w:val="0000FF"/>
                <w:sz w:val="18"/>
                <w:szCs w:val="18"/>
              </w:rPr>
            </w:pPr>
            <w:r>
              <w:rPr>
                <w:rFonts w:ascii="Arial" w:hAnsi="Arial" w:cs="Arial"/>
                <w:color w:val="0000FF"/>
                <w:sz w:val="18"/>
                <w:szCs w:val="18"/>
              </w:rPr>
              <w:t>14</w:t>
            </w:r>
            <w:r w:rsidR="00C01EBB">
              <w:rPr>
                <w:rFonts w:ascii="Arial" w:hAnsi="Arial" w:cs="Arial"/>
                <w:color w:val="0000FF"/>
                <w:sz w:val="18"/>
                <w:szCs w:val="18"/>
              </w:rPr>
              <w:t>,</w:t>
            </w:r>
            <w:r>
              <w:rPr>
                <w:rFonts w:ascii="Arial" w:hAnsi="Arial" w:cs="Arial"/>
                <w:color w:val="0000FF"/>
                <w:sz w:val="18"/>
                <w:szCs w:val="18"/>
              </w:rPr>
              <w:t>707</w:t>
            </w:r>
          </w:p>
        </w:tc>
        <w:tc>
          <w:tcPr>
            <w:tcW w:w="1134" w:type="dxa"/>
            <w:tcBorders>
              <w:top w:val="nil"/>
              <w:left w:val="nil"/>
              <w:bottom w:val="nil"/>
              <w:right w:val="nil"/>
            </w:tcBorders>
            <w:shd w:val="clear" w:color="auto" w:fill="auto"/>
          </w:tcPr>
          <w:p w:rsidR="008610A0" w:rsidRPr="00DF6305" w:rsidRDefault="00D61439" w:rsidP="007C4FEA">
            <w:pPr>
              <w:jc w:val="right"/>
              <w:rPr>
                <w:rFonts w:ascii="Arial" w:hAnsi="Arial" w:cs="Arial"/>
                <w:color w:val="0000FF"/>
                <w:sz w:val="18"/>
                <w:szCs w:val="18"/>
              </w:rPr>
            </w:pPr>
            <w:r>
              <w:rPr>
                <w:rFonts w:ascii="Arial" w:hAnsi="Arial" w:cs="Arial"/>
                <w:color w:val="0000FF"/>
                <w:sz w:val="18"/>
                <w:szCs w:val="18"/>
              </w:rPr>
              <w:t>13,130</w:t>
            </w:r>
          </w:p>
        </w:tc>
        <w:tc>
          <w:tcPr>
            <w:tcW w:w="993" w:type="dxa"/>
            <w:tcBorders>
              <w:top w:val="nil"/>
              <w:left w:val="nil"/>
              <w:bottom w:val="nil"/>
              <w:right w:val="nil"/>
            </w:tcBorders>
            <w:shd w:val="clear" w:color="auto" w:fill="auto"/>
          </w:tcPr>
          <w:p w:rsidR="008610A0" w:rsidRPr="00DF6305" w:rsidRDefault="00D61439" w:rsidP="00937758">
            <w:pPr>
              <w:jc w:val="right"/>
              <w:rPr>
                <w:rFonts w:ascii="Arial" w:hAnsi="Arial" w:cs="Arial"/>
                <w:color w:val="0000FF"/>
                <w:sz w:val="18"/>
                <w:szCs w:val="18"/>
              </w:rPr>
            </w:pPr>
            <w:r>
              <w:rPr>
                <w:rFonts w:ascii="Arial" w:hAnsi="Arial" w:cs="Arial"/>
                <w:color w:val="0000FF"/>
                <w:sz w:val="18"/>
                <w:szCs w:val="18"/>
              </w:rPr>
              <w:t>1,577</w:t>
            </w:r>
          </w:p>
        </w:tc>
      </w:tr>
      <w:tr w:rsidR="00364A43" w:rsidRPr="002E22E0" w:rsidTr="00BB38CC">
        <w:trPr>
          <w:trHeight w:val="130"/>
        </w:trPr>
        <w:tc>
          <w:tcPr>
            <w:tcW w:w="4126" w:type="dxa"/>
            <w:tcBorders>
              <w:top w:val="nil"/>
              <w:left w:val="nil"/>
              <w:bottom w:val="nil"/>
              <w:right w:val="nil"/>
            </w:tcBorders>
            <w:shd w:val="clear" w:color="auto" w:fill="auto"/>
            <w:hideMark/>
          </w:tcPr>
          <w:p w:rsidR="00364A43" w:rsidRPr="00364A43" w:rsidRDefault="00364A43" w:rsidP="00C01EBB">
            <w:pPr>
              <w:rPr>
                <w:rFonts w:ascii="Arial" w:hAnsi="Arial" w:cs="Arial"/>
                <w:color w:val="0000FF"/>
                <w:sz w:val="18"/>
                <w:szCs w:val="18"/>
              </w:rPr>
            </w:pPr>
            <w:r w:rsidRPr="00364A43">
              <w:rPr>
                <w:rFonts w:ascii="Arial" w:hAnsi="Arial" w:cs="Arial"/>
                <w:color w:val="0000FF"/>
                <w:sz w:val="18"/>
                <w:szCs w:val="18"/>
              </w:rPr>
              <w:t xml:space="preserve">   </w:t>
            </w:r>
            <w:r w:rsidR="00C01EBB">
              <w:rPr>
                <w:rFonts w:ascii="Arial" w:hAnsi="Arial" w:cs="Arial"/>
                <w:color w:val="0000FF"/>
                <w:sz w:val="18"/>
                <w:szCs w:val="18"/>
              </w:rPr>
              <w:t>Retained revenue receipts</w:t>
            </w:r>
            <w:r w:rsidRPr="00364A43">
              <w:rPr>
                <w:rFonts w:ascii="Arial" w:hAnsi="Arial" w:cs="Arial"/>
                <w:color w:val="0000FF"/>
                <w:sz w:val="18"/>
                <w:szCs w:val="18"/>
              </w:rPr>
              <w:t xml:space="preserve"> (s</w:t>
            </w:r>
            <w:r w:rsidR="004C7FC2">
              <w:rPr>
                <w:rFonts w:ascii="Arial" w:hAnsi="Arial" w:cs="Arial"/>
                <w:color w:val="0000FF"/>
                <w:sz w:val="18"/>
                <w:szCs w:val="18"/>
              </w:rPr>
              <w:t>ection</w:t>
            </w:r>
          </w:p>
        </w:tc>
        <w:tc>
          <w:tcPr>
            <w:tcW w:w="992" w:type="dxa"/>
            <w:tcBorders>
              <w:top w:val="nil"/>
              <w:left w:val="nil"/>
              <w:bottom w:val="nil"/>
              <w:right w:val="nil"/>
            </w:tcBorders>
            <w:shd w:val="clear" w:color="auto" w:fill="auto"/>
          </w:tcPr>
          <w:p w:rsidR="00364A43" w:rsidRPr="00DF6297" w:rsidRDefault="00364A43" w:rsidP="00614CF3">
            <w:pPr>
              <w:jc w:val="right"/>
              <w:rPr>
                <w:rFonts w:ascii="Arial" w:hAnsi="Arial" w:cs="Arial"/>
                <w:color w:val="0000FF"/>
                <w:sz w:val="18"/>
                <w:szCs w:val="18"/>
              </w:rPr>
            </w:pPr>
          </w:p>
        </w:tc>
        <w:tc>
          <w:tcPr>
            <w:tcW w:w="1134" w:type="dxa"/>
            <w:tcBorders>
              <w:top w:val="nil"/>
              <w:left w:val="nil"/>
              <w:bottom w:val="nil"/>
              <w:right w:val="nil"/>
            </w:tcBorders>
            <w:shd w:val="clear" w:color="auto" w:fill="auto"/>
          </w:tcPr>
          <w:p w:rsidR="00364A43" w:rsidRPr="00DF6305" w:rsidRDefault="00364A43" w:rsidP="00DF6873">
            <w:pPr>
              <w:jc w:val="right"/>
              <w:rPr>
                <w:rFonts w:ascii="Arial" w:hAnsi="Arial" w:cs="Arial"/>
                <w:color w:val="0000FF"/>
                <w:sz w:val="18"/>
                <w:szCs w:val="18"/>
              </w:rPr>
            </w:pPr>
          </w:p>
        </w:tc>
        <w:tc>
          <w:tcPr>
            <w:tcW w:w="993" w:type="dxa"/>
            <w:tcBorders>
              <w:top w:val="nil"/>
              <w:left w:val="nil"/>
              <w:bottom w:val="nil"/>
              <w:right w:val="nil"/>
            </w:tcBorders>
            <w:shd w:val="clear" w:color="auto" w:fill="auto"/>
          </w:tcPr>
          <w:p w:rsidR="00364A43" w:rsidRPr="00DF6305" w:rsidRDefault="00364A43" w:rsidP="00FC65F4">
            <w:pPr>
              <w:jc w:val="right"/>
              <w:rPr>
                <w:rFonts w:ascii="Arial" w:hAnsi="Arial" w:cs="Arial"/>
                <w:color w:val="0000FF"/>
                <w:sz w:val="18"/>
                <w:szCs w:val="18"/>
              </w:rPr>
            </w:pPr>
          </w:p>
        </w:tc>
      </w:tr>
      <w:tr w:rsidR="00F241D9" w:rsidRPr="002E22E0" w:rsidTr="00F241D9">
        <w:trPr>
          <w:trHeight w:val="285"/>
        </w:trPr>
        <w:tc>
          <w:tcPr>
            <w:tcW w:w="4126" w:type="dxa"/>
            <w:tcBorders>
              <w:top w:val="nil"/>
              <w:left w:val="nil"/>
              <w:bottom w:val="nil"/>
              <w:right w:val="nil"/>
            </w:tcBorders>
            <w:shd w:val="clear" w:color="auto" w:fill="auto"/>
          </w:tcPr>
          <w:p w:rsidR="00F241D9" w:rsidRPr="00364A43" w:rsidRDefault="00F241D9" w:rsidP="00C01EBB">
            <w:pPr>
              <w:rPr>
                <w:rFonts w:ascii="Arial" w:hAnsi="Arial" w:cs="Arial"/>
                <w:color w:val="0000FF"/>
                <w:sz w:val="18"/>
                <w:szCs w:val="18"/>
              </w:rPr>
            </w:pPr>
            <w:r>
              <w:rPr>
                <w:rFonts w:ascii="Arial" w:hAnsi="Arial" w:cs="Arial"/>
                <w:color w:val="0000FF"/>
                <w:sz w:val="18"/>
                <w:szCs w:val="18"/>
              </w:rPr>
              <w:t xml:space="preserve">   </w:t>
            </w:r>
            <w:r w:rsidR="00C01EBB">
              <w:rPr>
                <w:rFonts w:ascii="Arial" w:hAnsi="Arial" w:cs="Arial"/>
                <w:color w:val="0000FF"/>
                <w:sz w:val="18"/>
                <w:szCs w:val="18"/>
              </w:rPr>
              <w:t>74</w:t>
            </w:r>
            <w:r>
              <w:rPr>
                <w:rFonts w:ascii="Arial" w:hAnsi="Arial" w:cs="Arial"/>
                <w:color w:val="0000FF"/>
                <w:sz w:val="18"/>
                <w:szCs w:val="18"/>
              </w:rPr>
              <w:t>)</w:t>
            </w:r>
          </w:p>
        </w:tc>
        <w:tc>
          <w:tcPr>
            <w:tcW w:w="992" w:type="dxa"/>
            <w:tcBorders>
              <w:top w:val="nil"/>
              <w:left w:val="nil"/>
              <w:bottom w:val="nil"/>
              <w:right w:val="nil"/>
            </w:tcBorders>
            <w:shd w:val="clear" w:color="auto" w:fill="auto"/>
          </w:tcPr>
          <w:p w:rsidR="00F241D9" w:rsidRPr="00DF6297" w:rsidRDefault="007C4FEA" w:rsidP="00002397">
            <w:pPr>
              <w:jc w:val="right"/>
              <w:rPr>
                <w:rFonts w:ascii="Arial" w:hAnsi="Arial" w:cs="Arial"/>
                <w:color w:val="0000FF"/>
                <w:sz w:val="18"/>
                <w:szCs w:val="18"/>
              </w:rPr>
            </w:pPr>
            <w:r>
              <w:rPr>
                <w:rFonts w:ascii="Arial" w:hAnsi="Arial" w:cs="Arial"/>
                <w:color w:val="0000FF"/>
                <w:sz w:val="18"/>
                <w:szCs w:val="18"/>
              </w:rPr>
              <w:t>6,290</w:t>
            </w:r>
          </w:p>
        </w:tc>
        <w:tc>
          <w:tcPr>
            <w:tcW w:w="1134" w:type="dxa"/>
            <w:tcBorders>
              <w:top w:val="nil"/>
              <w:left w:val="nil"/>
              <w:bottom w:val="nil"/>
              <w:right w:val="nil"/>
            </w:tcBorders>
            <w:shd w:val="clear" w:color="auto" w:fill="auto"/>
          </w:tcPr>
          <w:p w:rsidR="00F241D9" w:rsidRPr="00DF6305" w:rsidRDefault="00D61439" w:rsidP="007C4FEA">
            <w:pPr>
              <w:jc w:val="right"/>
              <w:rPr>
                <w:rFonts w:ascii="Arial" w:hAnsi="Arial" w:cs="Arial"/>
                <w:color w:val="0000FF"/>
                <w:sz w:val="18"/>
                <w:szCs w:val="18"/>
              </w:rPr>
            </w:pPr>
            <w:r>
              <w:rPr>
                <w:rFonts w:ascii="Arial" w:hAnsi="Arial" w:cs="Arial"/>
                <w:color w:val="0000FF"/>
                <w:sz w:val="18"/>
                <w:szCs w:val="18"/>
              </w:rPr>
              <w:t>6,603</w:t>
            </w:r>
          </w:p>
        </w:tc>
        <w:tc>
          <w:tcPr>
            <w:tcW w:w="993" w:type="dxa"/>
            <w:tcBorders>
              <w:top w:val="nil"/>
              <w:left w:val="nil"/>
              <w:bottom w:val="nil"/>
              <w:right w:val="nil"/>
            </w:tcBorders>
            <w:shd w:val="clear" w:color="auto" w:fill="auto"/>
          </w:tcPr>
          <w:p w:rsidR="00F241D9" w:rsidRPr="00DF6305" w:rsidRDefault="00F241D9" w:rsidP="00D61439">
            <w:pPr>
              <w:jc w:val="right"/>
              <w:rPr>
                <w:rFonts w:ascii="Arial" w:hAnsi="Arial" w:cs="Arial"/>
                <w:color w:val="0000FF"/>
                <w:sz w:val="18"/>
                <w:szCs w:val="18"/>
              </w:rPr>
            </w:pPr>
            <w:r w:rsidRPr="00DF6305">
              <w:rPr>
                <w:rFonts w:ascii="Arial" w:hAnsi="Arial" w:cs="Arial"/>
                <w:color w:val="0000FF"/>
                <w:sz w:val="18"/>
                <w:szCs w:val="18"/>
              </w:rPr>
              <w:t>(</w:t>
            </w:r>
            <w:r w:rsidR="00D61439">
              <w:rPr>
                <w:rFonts w:ascii="Arial" w:hAnsi="Arial" w:cs="Arial"/>
                <w:color w:val="0000FF"/>
                <w:sz w:val="18"/>
                <w:szCs w:val="18"/>
              </w:rPr>
              <w:t>313</w:t>
            </w:r>
            <w:r w:rsidRPr="00DF6305">
              <w:rPr>
                <w:rFonts w:ascii="Arial" w:hAnsi="Arial" w:cs="Arial"/>
                <w:color w:val="0000FF"/>
                <w:sz w:val="18"/>
                <w:szCs w:val="18"/>
              </w:rPr>
              <w:t>)</w:t>
            </w:r>
          </w:p>
        </w:tc>
      </w:tr>
      <w:tr w:rsidR="00364A43" w:rsidRPr="002E22E0" w:rsidTr="00BB38CC">
        <w:trPr>
          <w:trHeight w:val="208"/>
        </w:trPr>
        <w:tc>
          <w:tcPr>
            <w:tcW w:w="4126" w:type="dxa"/>
            <w:tcBorders>
              <w:top w:val="nil"/>
              <w:left w:val="nil"/>
              <w:bottom w:val="nil"/>
              <w:right w:val="nil"/>
            </w:tcBorders>
            <w:shd w:val="clear" w:color="auto" w:fill="auto"/>
            <w:hideMark/>
          </w:tcPr>
          <w:p w:rsidR="00364A43" w:rsidRPr="00364A43" w:rsidRDefault="00364A43" w:rsidP="004C7FC2">
            <w:pPr>
              <w:rPr>
                <w:rFonts w:ascii="Arial" w:hAnsi="Arial" w:cs="Arial"/>
                <w:color w:val="0000FF"/>
                <w:sz w:val="18"/>
                <w:szCs w:val="18"/>
              </w:rPr>
            </w:pPr>
            <w:r w:rsidRPr="00364A43">
              <w:rPr>
                <w:rFonts w:ascii="Arial" w:hAnsi="Arial" w:cs="Arial"/>
                <w:color w:val="0000FF"/>
                <w:sz w:val="18"/>
                <w:szCs w:val="18"/>
              </w:rPr>
              <w:t xml:space="preserve">   </w:t>
            </w:r>
            <w:r w:rsidR="004C7FC2">
              <w:rPr>
                <w:rFonts w:ascii="Arial" w:hAnsi="Arial" w:cs="Arial"/>
                <w:color w:val="0000FF"/>
                <w:sz w:val="18"/>
                <w:szCs w:val="18"/>
              </w:rPr>
              <w:t>Expenses not requiring appropriation</w:t>
            </w:r>
            <w:r w:rsidR="00B97B2B">
              <w:rPr>
                <w:rFonts w:ascii="Arial" w:hAnsi="Arial" w:cs="Arial"/>
                <w:color w:val="0000FF"/>
                <w:sz w:val="18"/>
                <w:szCs w:val="18"/>
              </w:rPr>
              <w:t xml:space="preserve"> in the</w:t>
            </w:r>
          </w:p>
        </w:tc>
        <w:tc>
          <w:tcPr>
            <w:tcW w:w="992" w:type="dxa"/>
            <w:tcBorders>
              <w:top w:val="nil"/>
              <w:left w:val="nil"/>
              <w:bottom w:val="nil"/>
              <w:right w:val="nil"/>
            </w:tcBorders>
            <w:shd w:val="clear" w:color="auto" w:fill="auto"/>
          </w:tcPr>
          <w:p w:rsidR="00364A43" w:rsidRPr="00DF6297" w:rsidRDefault="00364A43" w:rsidP="00364A43">
            <w:pPr>
              <w:jc w:val="right"/>
              <w:rPr>
                <w:rFonts w:ascii="Arial" w:hAnsi="Arial" w:cs="Arial"/>
                <w:color w:val="0000FF"/>
                <w:sz w:val="18"/>
                <w:szCs w:val="18"/>
              </w:rPr>
            </w:pPr>
          </w:p>
        </w:tc>
        <w:tc>
          <w:tcPr>
            <w:tcW w:w="1134" w:type="dxa"/>
            <w:tcBorders>
              <w:top w:val="nil"/>
              <w:left w:val="nil"/>
              <w:bottom w:val="nil"/>
              <w:right w:val="nil"/>
            </w:tcBorders>
            <w:shd w:val="clear" w:color="auto" w:fill="auto"/>
          </w:tcPr>
          <w:p w:rsidR="00364A43" w:rsidRPr="00DF6305" w:rsidRDefault="00364A43" w:rsidP="003B50D0">
            <w:pPr>
              <w:jc w:val="right"/>
              <w:rPr>
                <w:rFonts w:ascii="Arial" w:hAnsi="Arial" w:cs="Arial"/>
                <w:color w:val="0000FF"/>
                <w:sz w:val="18"/>
                <w:szCs w:val="18"/>
              </w:rPr>
            </w:pPr>
          </w:p>
        </w:tc>
        <w:tc>
          <w:tcPr>
            <w:tcW w:w="993" w:type="dxa"/>
            <w:tcBorders>
              <w:top w:val="nil"/>
              <w:left w:val="nil"/>
              <w:bottom w:val="nil"/>
              <w:right w:val="nil"/>
            </w:tcBorders>
            <w:shd w:val="clear" w:color="auto" w:fill="auto"/>
          </w:tcPr>
          <w:p w:rsidR="00364A43" w:rsidRPr="00DF6305" w:rsidRDefault="00364A43" w:rsidP="007B2E4B">
            <w:pPr>
              <w:jc w:val="right"/>
              <w:rPr>
                <w:rFonts w:ascii="Arial" w:hAnsi="Arial" w:cs="Arial"/>
                <w:color w:val="0000FF"/>
                <w:sz w:val="18"/>
                <w:szCs w:val="18"/>
              </w:rPr>
            </w:pPr>
          </w:p>
        </w:tc>
      </w:tr>
      <w:tr w:rsidR="00F241D9" w:rsidRPr="002E22E0" w:rsidTr="00F241D9">
        <w:trPr>
          <w:trHeight w:val="285"/>
        </w:trPr>
        <w:tc>
          <w:tcPr>
            <w:tcW w:w="4126" w:type="dxa"/>
            <w:tcBorders>
              <w:top w:val="nil"/>
              <w:left w:val="nil"/>
              <w:bottom w:val="nil"/>
              <w:right w:val="nil"/>
            </w:tcBorders>
            <w:shd w:val="clear" w:color="auto" w:fill="auto"/>
          </w:tcPr>
          <w:p w:rsidR="00F241D9" w:rsidRPr="00364A43" w:rsidRDefault="00F241D9" w:rsidP="004C7FC2">
            <w:pPr>
              <w:rPr>
                <w:rFonts w:ascii="Arial" w:hAnsi="Arial" w:cs="Arial"/>
                <w:color w:val="0000FF"/>
                <w:sz w:val="18"/>
                <w:szCs w:val="18"/>
              </w:rPr>
            </w:pPr>
            <w:r>
              <w:rPr>
                <w:rFonts w:ascii="Arial" w:hAnsi="Arial" w:cs="Arial"/>
                <w:color w:val="0000FF"/>
                <w:sz w:val="18"/>
                <w:szCs w:val="18"/>
              </w:rPr>
              <w:t xml:space="preserve">   budget year</w:t>
            </w:r>
          </w:p>
        </w:tc>
        <w:tc>
          <w:tcPr>
            <w:tcW w:w="992" w:type="dxa"/>
            <w:tcBorders>
              <w:top w:val="nil"/>
              <w:left w:val="nil"/>
              <w:bottom w:val="nil"/>
              <w:right w:val="nil"/>
            </w:tcBorders>
            <w:shd w:val="clear" w:color="auto" w:fill="auto"/>
          </w:tcPr>
          <w:p w:rsidR="00F241D9" w:rsidRPr="00DF6297" w:rsidRDefault="00002397" w:rsidP="00364A43">
            <w:pPr>
              <w:jc w:val="right"/>
              <w:rPr>
                <w:rFonts w:ascii="Arial" w:hAnsi="Arial" w:cs="Arial"/>
                <w:color w:val="0000FF"/>
                <w:sz w:val="18"/>
                <w:szCs w:val="18"/>
              </w:rPr>
            </w:pPr>
            <w:r>
              <w:rPr>
                <w:rFonts w:ascii="Arial" w:hAnsi="Arial" w:cs="Arial"/>
                <w:color w:val="0000FF"/>
                <w:sz w:val="18"/>
                <w:szCs w:val="18"/>
              </w:rPr>
              <w:t>624</w:t>
            </w:r>
          </w:p>
        </w:tc>
        <w:tc>
          <w:tcPr>
            <w:tcW w:w="1134" w:type="dxa"/>
            <w:tcBorders>
              <w:top w:val="nil"/>
              <w:left w:val="nil"/>
              <w:bottom w:val="nil"/>
              <w:right w:val="nil"/>
            </w:tcBorders>
            <w:shd w:val="clear" w:color="auto" w:fill="auto"/>
          </w:tcPr>
          <w:p w:rsidR="00F241D9" w:rsidRPr="00DF6305" w:rsidRDefault="00D61439" w:rsidP="00D61439">
            <w:pPr>
              <w:jc w:val="right"/>
              <w:rPr>
                <w:rFonts w:ascii="Arial" w:hAnsi="Arial" w:cs="Arial"/>
                <w:color w:val="0000FF"/>
                <w:sz w:val="18"/>
                <w:szCs w:val="18"/>
              </w:rPr>
            </w:pPr>
            <w:r>
              <w:rPr>
                <w:rFonts w:ascii="Arial" w:hAnsi="Arial" w:cs="Arial"/>
                <w:color w:val="0000FF"/>
                <w:sz w:val="18"/>
                <w:szCs w:val="18"/>
              </w:rPr>
              <w:t>842</w:t>
            </w:r>
          </w:p>
        </w:tc>
        <w:tc>
          <w:tcPr>
            <w:tcW w:w="993" w:type="dxa"/>
            <w:tcBorders>
              <w:top w:val="nil"/>
              <w:left w:val="nil"/>
              <w:bottom w:val="nil"/>
              <w:right w:val="nil"/>
            </w:tcBorders>
            <w:shd w:val="clear" w:color="auto" w:fill="auto"/>
          </w:tcPr>
          <w:p w:rsidR="00F241D9" w:rsidRPr="00DF6305" w:rsidRDefault="00F241D9" w:rsidP="00D61439">
            <w:pPr>
              <w:jc w:val="right"/>
              <w:rPr>
                <w:rFonts w:ascii="Arial" w:hAnsi="Arial" w:cs="Arial"/>
                <w:color w:val="0000FF"/>
                <w:sz w:val="18"/>
                <w:szCs w:val="18"/>
              </w:rPr>
            </w:pPr>
            <w:r w:rsidRPr="00DF6305">
              <w:rPr>
                <w:rFonts w:ascii="Arial" w:hAnsi="Arial" w:cs="Arial"/>
                <w:color w:val="0000FF"/>
                <w:sz w:val="18"/>
                <w:szCs w:val="18"/>
              </w:rPr>
              <w:t>(</w:t>
            </w:r>
            <w:r w:rsidR="00D61439">
              <w:rPr>
                <w:rFonts w:ascii="Arial" w:hAnsi="Arial" w:cs="Arial"/>
                <w:color w:val="0000FF"/>
                <w:sz w:val="18"/>
                <w:szCs w:val="18"/>
              </w:rPr>
              <w:t>218</w:t>
            </w:r>
            <w:r w:rsidRPr="00DF6305">
              <w:rPr>
                <w:rFonts w:ascii="Arial" w:hAnsi="Arial" w:cs="Arial"/>
                <w:color w:val="0000FF"/>
                <w:sz w:val="18"/>
                <w:szCs w:val="18"/>
              </w:rPr>
              <w:t>)</w:t>
            </w:r>
          </w:p>
        </w:tc>
      </w:tr>
      <w:tr w:rsidR="00364A43" w:rsidRPr="002E22E0" w:rsidTr="00BB38CC">
        <w:trPr>
          <w:trHeight w:val="285"/>
        </w:trPr>
        <w:tc>
          <w:tcPr>
            <w:tcW w:w="4126" w:type="dxa"/>
            <w:tcBorders>
              <w:top w:val="nil"/>
              <w:left w:val="nil"/>
              <w:right w:val="nil"/>
            </w:tcBorders>
            <w:shd w:val="clear" w:color="auto" w:fill="auto"/>
            <w:vAlign w:val="center"/>
            <w:hideMark/>
          </w:tcPr>
          <w:p w:rsidR="00364A43" w:rsidRPr="00523437" w:rsidRDefault="00523437" w:rsidP="00F241D9">
            <w:pPr>
              <w:rPr>
                <w:rFonts w:ascii="Arial" w:hAnsi="Arial" w:cs="Arial"/>
                <w:b/>
                <w:color w:val="0000FF"/>
                <w:sz w:val="18"/>
                <w:szCs w:val="18"/>
              </w:rPr>
            </w:pPr>
            <w:r w:rsidRPr="00523437">
              <w:rPr>
                <w:rFonts w:ascii="Arial" w:hAnsi="Arial" w:cs="Arial"/>
                <w:b/>
                <w:color w:val="0000FF"/>
                <w:sz w:val="18"/>
                <w:szCs w:val="18"/>
              </w:rPr>
              <w:t xml:space="preserve">Total for </w:t>
            </w:r>
            <w:r w:rsidR="00CD5F72">
              <w:rPr>
                <w:rFonts w:ascii="Arial" w:hAnsi="Arial" w:cs="Arial"/>
                <w:b/>
                <w:color w:val="0000FF"/>
                <w:sz w:val="18"/>
                <w:szCs w:val="18"/>
              </w:rPr>
              <w:t>Program</w:t>
            </w:r>
            <w:r w:rsidRPr="00523437">
              <w:rPr>
                <w:rFonts w:ascii="Arial" w:hAnsi="Arial" w:cs="Arial"/>
                <w:b/>
                <w:color w:val="0000FF"/>
                <w:sz w:val="18"/>
                <w:szCs w:val="18"/>
              </w:rPr>
              <w:t xml:space="preserve"> 1.1</w:t>
            </w:r>
          </w:p>
        </w:tc>
        <w:tc>
          <w:tcPr>
            <w:tcW w:w="992" w:type="dxa"/>
            <w:tcBorders>
              <w:top w:val="single" w:sz="4" w:space="0" w:color="auto"/>
              <w:left w:val="nil"/>
              <w:bottom w:val="single" w:sz="4" w:space="0" w:color="auto"/>
              <w:right w:val="nil"/>
            </w:tcBorders>
            <w:shd w:val="clear" w:color="auto" w:fill="auto"/>
            <w:vAlign w:val="center"/>
            <w:hideMark/>
          </w:tcPr>
          <w:p w:rsidR="00364A43" w:rsidRPr="00DF6297" w:rsidRDefault="00C01EBB" w:rsidP="007C4FEA">
            <w:pPr>
              <w:jc w:val="right"/>
              <w:rPr>
                <w:rFonts w:ascii="Arial" w:hAnsi="Arial" w:cs="Arial"/>
                <w:color w:val="0000FF"/>
                <w:sz w:val="18"/>
                <w:szCs w:val="18"/>
              </w:rPr>
            </w:pPr>
            <w:r>
              <w:rPr>
                <w:rFonts w:ascii="Arial" w:hAnsi="Arial" w:cs="Arial"/>
                <w:color w:val="0000FF"/>
                <w:sz w:val="18"/>
                <w:szCs w:val="18"/>
              </w:rPr>
              <w:t>21,6</w:t>
            </w:r>
            <w:r w:rsidR="007C4FEA">
              <w:rPr>
                <w:rFonts w:ascii="Arial" w:hAnsi="Arial" w:cs="Arial"/>
                <w:color w:val="0000FF"/>
                <w:sz w:val="18"/>
                <w:szCs w:val="18"/>
              </w:rPr>
              <w:t>21</w:t>
            </w:r>
          </w:p>
        </w:tc>
        <w:tc>
          <w:tcPr>
            <w:tcW w:w="1134" w:type="dxa"/>
            <w:tcBorders>
              <w:top w:val="single" w:sz="4" w:space="0" w:color="auto"/>
              <w:left w:val="nil"/>
              <w:bottom w:val="single" w:sz="4" w:space="0" w:color="auto"/>
              <w:right w:val="nil"/>
            </w:tcBorders>
            <w:shd w:val="clear" w:color="auto" w:fill="auto"/>
            <w:vAlign w:val="center"/>
            <w:hideMark/>
          </w:tcPr>
          <w:p w:rsidR="00364A43" w:rsidRPr="00DF6305" w:rsidRDefault="00D61439" w:rsidP="00D61439">
            <w:pPr>
              <w:jc w:val="right"/>
              <w:rPr>
                <w:rFonts w:ascii="Arial" w:hAnsi="Arial" w:cs="Arial"/>
                <w:color w:val="0000FF"/>
                <w:sz w:val="18"/>
                <w:szCs w:val="18"/>
              </w:rPr>
            </w:pPr>
            <w:r>
              <w:rPr>
                <w:rFonts w:ascii="Arial" w:hAnsi="Arial" w:cs="Arial"/>
                <w:color w:val="0000FF"/>
                <w:sz w:val="18"/>
                <w:szCs w:val="18"/>
              </w:rPr>
              <w:t>20,575</w:t>
            </w:r>
          </w:p>
        </w:tc>
        <w:tc>
          <w:tcPr>
            <w:tcW w:w="993" w:type="dxa"/>
            <w:tcBorders>
              <w:top w:val="single" w:sz="4" w:space="0" w:color="auto"/>
              <w:left w:val="nil"/>
              <w:bottom w:val="single" w:sz="4" w:space="0" w:color="auto"/>
              <w:right w:val="nil"/>
            </w:tcBorders>
            <w:shd w:val="clear" w:color="auto" w:fill="auto"/>
            <w:vAlign w:val="center"/>
            <w:hideMark/>
          </w:tcPr>
          <w:p w:rsidR="00D8526E" w:rsidRPr="00DF6305" w:rsidRDefault="00D61439" w:rsidP="00D61439">
            <w:pPr>
              <w:jc w:val="right"/>
              <w:rPr>
                <w:rFonts w:ascii="Arial" w:hAnsi="Arial" w:cs="Arial"/>
                <w:color w:val="0000FF"/>
                <w:sz w:val="18"/>
                <w:szCs w:val="18"/>
              </w:rPr>
            </w:pPr>
            <w:r>
              <w:rPr>
                <w:rFonts w:ascii="Arial" w:hAnsi="Arial" w:cs="Arial"/>
                <w:color w:val="0000FF"/>
                <w:sz w:val="18"/>
                <w:szCs w:val="18"/>
              </w:rPr>
              <w:t>1,046</w:t>
            </w:r>
          </w:p>
        </w:tc>
      </w:tr>
      <w:tr w:rsidR="00F241D9" w:rsidRPr="002E22E0" w:rsidTr="00BB38CC">
        <w:trPr>
          <w:trHeight w:val="285"/>
        </w:trPr>
        <w:tc>
          <w:tcPr>
            <w:tcW w:w="4126" w:type="dxa"/>
            <w:tcBorders>
              <w:left w:val="nil"/>
              <w:bottom w:val="single" w:sz="12" w:space="0" w:color="auto"/>
              <w:right w:val="nil"/>
            </w:tcBorders>
            <w:shd w:val="clear" w:color="auto" w:fill="auto"/>
            <w:vAlign w:val="center"/>
            <w:hideMark/>
          </w:tcPr>
          <w:p w:rsidR="00F241D9" w:rsidRPr="00523437" w:rsidRDefault="00F241D9" w:rsidP="00BB38CC">
            <w:pPr>
              <w:rPr>
                <w:rFonts w:ascii="Arial" w:hAnsi="Arial" w:cs="Arial"/>
                <w:b/>
                <w:color w:val="0000FF"/>
                <w:sz w:val="18"/>
                <w:szCs w:val="18"/>
              </w:rPr>
            </w:pPr>
            <w:r w:rsidRPr="00523437">
              <w:rPr>
                <w:rFonts w:ascii="Arial" w:hAnsi="Arial" w:cs="Arial"/>
                <w:b/>
                <w:color w:val="0000FF"/>
                <w:sz w:val="18"/>
                <w:szCs w:val="18"/>
              </w:rPr>
              <w:t xml:space="preserve">Total </w:t>
            </w:r>
            <w:r w:rsidR="00BB38CC">
              <w:rPr>
                <w:rFonts w:ascii="Arial" w:hAnsi="Arial" w:cs="Arial"/>
                <w:b/>
                <w:color w:val="0000FF"/>
                <w:sz w:val="18"/>
                <w:szCs w:val="18"/>
              </w:rPr>
              <w:t>expenses for Outcome</w:t>
            </w:r>
            <w:r w:rsidRPr="00523437">
              <w:rPr>
                <w:rFonts w:ascii="Arial" w:hAnsi="Arial" w:cs="Arial"/>
                <w:b/>
                <w:color w:val="0000FF"/>
                <w:sz w:val="18"/>
                <w:szCs w:val="18"/>
              </w:rPr>
              <w:t xml:space="preserve"> 1</w:t>
            </w:r>
          </w:p>
        </w:tc>
        <w:tc>
          <w:tcPr>
            <w:tcW w:w="992" w:type="dxa"/>
            <w:tcBorders>
              <w:top w:val="single" w:sz="4" w:space="0" w:color="auto"/>
              <w:left w:val="nil"/>
              <w:bottom w:val="single" w:sz="12" w:space="0" w:color="auto"/>
              <w:right w:val="nil"/>
            </w:tcBorders>
            <w:shd w:val="clear" w:color="auto" w:fill="auto"/>
            <w:vAlign w:val="center"/>
            <w:hideMark/>
          </w:tcPr>
          <w:p w:rsidR="00F241D9" w:rsidRPr="00DF6297" w:rsidRDefault="00C01EBB" w:rsidP="007C4FEA">
            <w:pPr>
              <w:jc w:val="right"/>
              <w:rPr>
                <w:rFonts w:ascii="Arial" w:hAnsi="Arial" w:cs="Arial"/>
                <w:color w:val="0000FF"/>
                <w:sz w:val="18"/>
                <w:szCs w:val="18"/>
              </w:rPr>
            </w:pPr>
            <w:r>
              <w:rPr>
                <w:rFonts w:ascii="Arial" w:hAnsi="Arial" w:cs="Arial"/>
                <w:color w:val="0000FF"/>
                <w:sz w:val="18"/>
                <w:szCs w:val="18"/>
              </w:rPr>
              <w:t>21,6</w:t>
            </w:r>
            <w:r w:rsidR="007C4FEA">
              <w:rPr>
                <w:rFonts w:ascii="Arial" w:hAnsi="Arial" w:cs="Arial"/>
                <w:color w:val="0000FF"/>
                <w:sz w:val="18"/>
                <w:szCs w:val="18"/>
              </w:rPr>
              <w:t>21</w:t>
            </w:r>
          </w:p>
        </w:tc>
        <w:tc>
          <w:tcPr>
            <w:tcW w:w="1134" w:type="dxa"/>
            <w:tcBorders>
              <w:top w:val="single" w:sz="4" w:space="0" w:color="auto"/>
              <w:left w:val="nil"/>
              <w:bottom w:val="single" w:sz="12" w:space="0" w:color="auto"/>
              <w:right w:val="nil"/>
            </w:tcBorders>
            <w:shd w:val="clear" w:color="auto" w:fill="auto"/>
            <w:vAlign w:val="center"/>
            <w:hideMark/>
          </w:tcPr>
          <w:p w:rsidR="00F241D9" w:rsidRPr="00DF6305" w:rsidRDefault="00D61439" w:rsidP="007C4FEA">
            <w:pPr>
              <w:jc w:val="right"/>
              <w:rPr>
                <w:rFonts w:ascii="Arial" w:hAnsi="Arial" w:cs="Arial"/>
                <w:color w:val="0000FF"/>
                <w:sz w:val="18"/>
                <w:szCs w:val="18"/>
              </w:rPr>
            </w:pPr>
            <w:r>
              <w:rPr>
                <w:rFonts w:ascii="Arial" w:hAnsi="Arial" w:cs="Arial"/>
                <w:color w:val="0000FF"/>
                <w:sz w:val="18"/>
                <w:szCs w:val="18"/>
              </w:rPr>
              <w:t>20,575</w:t>
            </w:r>
          </w:p>
        </w:tc>
        <w:tc>
          <w:tcPr>
            <w:tcW w:w="993" w:type="dxa"/>
            <w:tcBorders>
              <w:top w:val="single" w:sz="4" w:space="0" w:color="auto"/>
              <w:left w:val="nil"/>
              <w:bottom w:val="single" w:sz="12" w:space="0" w:color="auto"/>
              <w:right w:val="nil"/>
            </w:tcBorders>
            <w:shd w:val="clear" w:color="auto" w:fill="auto"/>
            <w:vAlign w:val="center"/>
            <w:hideMark/>
          </w:tcPr>
          <w:p w:rsidR="00F241D9" w:rsidRPr="00DF6305" w:rsidRDefault="00D61439" w:rsidP="00D61439">
            <w:pPr>
              <w:jc w:val="right"/>
              <w:rPr>
                <w:rFonts w:ascii="Arial" w:hAnsi="Arial" w:cs="Arial"/>
                <w:color w:val="0000FF"/>
                <w:sz w:val="18"/>
                <w:szCs w:val="18"/>
              </w:rPr>
            </w:pPr>
            <w:r>
              <w:rPr>
                <w:rFonts w:ascii="Arial" w:hAnsi="Arial" w:cs="Arial"/>
                <w:color w:val="0000FF"/>
                <w:sz w:val="18"/>
                <w:szCs w:val="18"/>
              </w:rPr>
              <w:t>1,046</w:t>
            </w:r>
          </w:p>
        </w:tc>
      </w:tr>
    </w:tbl>
    <w:p w:rsidR="00AC5701" w:rsidRDefault="00AC5701"/>
    <w:tbl>
      <w:tblPr>
        <w:tblW w:w="7245" w:type="dxa"/>
        <w:tblInd w:w="93" w:type="dxa"/>
        <w:tblLayout w:type="fixed"/>
        <w:tblLook w:val="04A0" w:firstRow="1" w:lastRow="0" w:firstColumn="1" w:lastColumn="0" w:noHBand="0" w:noVBand="1"/>
      </w:tblPr>
      <w:tblGrid>
        <w:gridCol w:w="5260"/>
        <w:gridCol w:w="992"/>
        <w:gridCol w:w="993"/>
      </w:tblGrid>
      <w:tr w:rsidR="00BB38CC" w:rsidRPr="00364A43" w:rsidTr="00D008F4">
        <w:trPr>
          <w:trHeight w:val="720"/>
        </w:trPr>
        <w:tc>
          <w:tcPr>
            <w:tcW w:w="5260" w:type="dxa"/>
            <w:tcBorders>
              <w:top w:val="single" w:sz="12" w:space="0" w:color="auto"/>
              <w:left w:val="nil"/>
              <w:right w:val="nil"/>
            </w:tcBorders>
            <w:shd w:val="clear" w:color="auto" w:fill="auto"/>
            <w:vAlign w:val="bottom"/>
            <w:hideMark/>
          </w:tcPr>
          <w:p w:rsidR="00BB38CC" w:rsidRPr="00364A43" w:rsidRDefault="00BB38CC" w:rsidP="00BB38CC">
            <w:pPr>
              <w:rPr>
                <w:rFonts w:ascii="Arial" w:hAnsi="Arial" w:cs="Arial"/>
                <w:b/>
                <w:bCs/>
                <w:color w:val="0000FF"/>
                <w:sz w:val="18"/>
                <w:szCs w:val="18"/>
              </w:rPr>
            </w:pPr>
          </w:p>
        </w:tc>
        <w:tc>
          <w:tcPr>
            <w:tcW w:w="992" w:type="dxa"/>
            <w:tcBorders>
              <w:top w:val="single" w:sz="12" w:space="0" w:color="auto"/>
              <w:left w:val="nil"/>
              <w:right w:val="nil"/>
            </w:tcBorders>
            <w:shd w:val="clear" w:color="auto" w:fill="auto"/>
            <w:vAlign w:val="bottom"/>
            <w:hideMark/>
          </w:tcPr>
          <w:p w:rsidR="00BB38CC" w:rsidRDefault="00BB38CC" w:rsidP="00BB38CC">
            <w:pPr>
              <w:jc w:val="right"/>
            </w:pPr>
            <w:r w:rsidRPr="00084767">
              <w:rPr>
                <w:rFonts w:ascii="Arial" w:hAnsi="Arial" w:cs="Arial"/>
                <w:b/>
                <w:bCs/>
                <w:color w:val="0000FF"/>
                <w:sz w:val="18"/>
                <w:szCs w:val="18"/>
              </w:rPr>
              <w:t>Actual</w:t>
            </w:r>
          </w:p>
          <w:p w:rsidR="00BB38CC" w:rsidRDefault="00BB38CC" w:rsidP="00002397">
            <w:pPr>
              <w:jc w:val="right"/>
            </w:pPr>
            <w:r w:rsidRPr="00AC5701">
              <w:rPr>
                <w:rFonts w:ascii="Arial" w:hAnsi="Arial" w:cs="Arial"/>
                <w:b/>
                <w:color w:val="0000FF"/>
                <w:sz w:val="18"/>
                <w:szCs w:val="18"/>
              </w:rPr>
              <w:t>20</w:t>
            </w:r>
            <w:r>
              <w:rPr>
                <w:rFonts w:ascii="Arial" w:hAnsi="Arial" w:cs="Arial"/>
                <w:b/>
                <w:color w:val="0000FF"/>
                <w:sz w:val="18"/>
                <w:szCs w:val="18"/>
              </w:rPr>
              <w:t>1</w:t>
            </w:r>
            <w:r w:rsidR="00002397">
              <w:rPr>
                <w:rFonts w:ascii="Arial" w:hAnsi="Arial" w:cs="Arial"/>
                <w:b/>
                <w:color w:val="0000FF"/>
                <w:sz w:val="18"/>
                <w:szCs w:val="18"/>
              </w:rPr>
              <w:t>4</w:t>
            </w:r>
            <w:r w:rsidRPr="00AC5701">
              <w:rPr>
                <w:rFonts w:ascii="Arial" w:hAnsi="Arial" w:cs="Arial"/>
                <w:b/>
                <w:color w:val="0000FF"/>
                <w:sz w:val="18"/>
                <w:szCs w:val="18"/>
              </w:rPr>
              <w:t>-</w:t>
            </w:r>
            <w:r>
              <w:rPr>
                <w:rFonts w:ascii="Arial" w:hAnsi="Arial" w:cs="Arial"/>
                <w:b/>
                <w:color w:val="0000FF"/>
                <w:sz w:val="18"/>
                <w:szCs w:val="18"/>
              </w:rPr>
              <w:t>1</w:t>
            </w:r>
            <w:r w:rsidR="00002397">
              <w:rPr>
                <w:rFonts w:ascii="Arial" w:hAnsi="Arial" w:cs="Arial"/>
                <w:b/>
                <w:color w:val="0000FF"/>
                <w:sz w:val="18"/>
                <w:szCs w:val="18"/>
              </w:rPr>
              <w:t>5</w:t>
            </w:r>
          </w:p>
        </w:tc>
        <w:tc>
          <w:tcPr>
            <w:tcW w:w="993" w:type="dxa"/>
            <w:tcBorders>
              <w:top w:val="single" w:sz="12" w:space="0" w:color="auto"/>
              <w:left w:val="nil"/>
              <w:right w:val="nil"/>
            </w:tcBorders>
            <w:shd w:val="clear" w:color="auto" w:fill="auto"/>
            <w:vAlign w:val="bottom"/>
            <w:hideMark/>
          </w:tcPr>
          <w:p w:rsidR="00BB38CC" w:rsidRDefault="00BB38CC" w:rsidP="00BB38CC">
            <w:pPr>
              <w:jc w:val="right"/>
            </w:pPr>
            <w:r w:rsidRPr="00084767">
              <w:rPr>
                <w:rFonts w:ascii="Arial" w:hAnsi="Arial" w:cs="Arial"/>
                <w:b/>
                <w:bCs/>
                <w:color w:val="0000FF"/>
                <w:sz w:val="18"/>
                <w:szCs w:val="18"/>
              </w:rPr>
              <w:t>Actual</w:t>
            </w:r>
          </w:p>
          <w:p w:rsidR="00BB38CC" w:rsidRDefault="00BB38CC" w:rsidP="00002397">
            <w:pPr>
              <w:jc w:val="right"/>
            </w:pPr>
            <w:r w:rsidRPr="00AC5701">
              <w:rPr>
                <w:rFonts w:ascii="Arial" w:hAnsi="Arial" w:cs="Arial"/>
                <w:b/>
                <w:color w:val="0000FF"/>
                <w:sz w:val="18"/>
                <w:szCs w:val="18"/>
              </w:rPr>
              <w:t>20</w:t>
            </w:r>
            <w:r>
              <w:rPr>
                <w:rFonts w:ascii="Arial" w:hAnsi="Arial" w:cs="Arial"/>
                <w:b/>
                <w:color w:val="0000FF"/>
                <w:sz w:val="18"/>
                <w:szCs w:val="18"/>
              </w:rPr>
              <w:t>1</w:t>
            </w:r>
            <w:r w:rsidR="00002397">
              <w:rPr>
                <w:rFonts w:ascii="Arial" w:hAnsi="Arial" w:cs="Arial"/>
                <w:b/>
                <w:color w:val="0000FF"/>
                <w:sz w:val="18"/>
                <w:szCs w:val="18"/>
              </w:rPr>
              <w:t>5</w:t>
            </w:r>
            <w:r w:rsidRPr="00AC5701">
              <w:rPr>
                <w:rFonts w:ascii="Arial" w:hAnsi="Arial" w:cs="Arial"/>
                <w:b/>
                <w:color w:val="0000FF"/>
                <w:sz w:val="18"/>
                <w:szCs w:val="18"/>
              </w:rPr>
              <w:t>-1</w:t>
            </w:r>
            <w:r w:rsidR="00002397">
              <w:rPr>
                <w:rFonts w:ascii="Arial" w:hAnsi="Arial" w:cs="Arial"/>
                <w:b/>
                <w:color w:val="0000FF"/>
                <w:sz w:val="18"/>
                <w:szCs w:val="18"/>
              </w:rPr>
              <w:t>6</w:t>
            </w:r>
          </w:p>
        </w:tc>
      </w:tr>
      <w:tr w:rsidR="007D6198" w:rsidRPr="00364A43" w:rsidTr="00D008F4">
        <w:trPr>
          <w:trHeight w:val="315"/>
        </w:trPr>
        <w:tc>
          <w:tcPr>
            <w:tcW w:w="5260" w:type="dxa"/>
            <w:tcBorders>
              <w:left w:val="nil"/>
              <w:bottom w:val="single" w:sz="12" w:space="0" w:color="auto"/>
              <w:right w:val="nil"/>
            </w:tcBorders>
            <w:shd w:val="clear" w:color="auto" w:fill="auto"/>
            <w:vAlign w:val="center"/>
            <w:hideMark/>
          </w:tcPr>
          <w:p w:rsidR="007D6198" w:rsidRPr="00364A43" w:rsidRDefault="00811F79" w:rsidP="00BB38CC">
            <w:pPr>
              <w:rPr>
                <w:rFonts w:ascii="Arial" w:hAnsi="Arial" w:cs="Arial"/>
                <w:b/>
                <w:bCs/>
                <w:color w:val="0000FF"/>
                <w:sz w:val="18"/>
                <w:szCs w:val="18"/>
              </w:rPr>
            </w:pPr>
            <w:r>
              <w:rPr>
                <w:rFonts w:ascii="Arial" w:hAnsi="Arial" w:cs="Arial"/>
                <w:b/>
                <w:bCs/>
                <w:color w:val="0000FF"/>
                <w:sz w:val="18"/>
                <w:szCs w:val="18"/>
              </w:rPr>
              <w:t>Average staffing level (n</w:t>
            </w:r>
            <w:r w:rsidR="007D6198" w:rsidRPr="00364A43">
              <w:rPr>
                <w:rFonts w:ascii="Arial" w:hAnsi="Arial" w:cs="Arial"/>
                <w:b/>
                <w:bCs/>
                <w:color w:val="0000FF"/>
                <w:sz w:val="18"/>
                <w:szCs w:val="18"/>
              </w:rPr>
              <w:t>umber)</w:t>
            </w:r>
          </w:p>
        </w:tc>
        <w:tc>
          <w:tcPr>
            <w:tcW w:w="992" w:type="dxa"/>
            <w:tcBorders>
              <w:top w:val="single" w:sz="12" w:space="0" w:color="auto"/>
              <w:left w:val="nil"/>
              <w:bottom w:val="single" w:sz="12" w:space="0" w:color="auto"/>
              <w:right w:val="nil"/>
            </w:tcBorders>
            <w:shd w:val="clear" w:color="auto" w:fill="auto"/>
            <w:vAlign w:val="center"/>
            <w:hideMark/>
          </w:tcPr>
          <w:p w:rsidR="007D6198" w:rsidRPr="00364A43" w:rsidRDefault="00002397" w:rsidP="00BB38CC">
            <w:pPr>
              <w:jc w:val="right"/>
              <w:rPr>
                <w:rFonts w:ascii="Arial" w:hAnsi="Arial" w:cs="Arial"/>
                <w:color w:val="0000FF"/>
                <w:sz w:val="18"/>
                <w:szCs w:val="18"/>
              </w:rPr>
            </w:pPr>
            <w:r>
              <w:rPr>
                <w:rFonts w:ascii="Arial" w:hAnsi="Arial" w:cs="Arial"/>
                <w:color w:val="0000FF"/>
                <w:sz w:val="18"/>
                <w:szCs w:val="18"/>
              </w:rPr>
              <w:t>91.9</w:t>
            </w:r>
          </w:p>
        </w:tc>
        <w:tc>
          <w:tcPr>
            <w:tcW w:w="993" w:type="dxa"/>
            <w:tcBorders>
              <w:top w:val="single" w:sz="12" w:space="0" w:color="auto"/>
              <w:left w:val="nil"/>
              <w:bottom w:val="single" w:sz="12" w:space="0" w:color="auto"/>
              <w:right w:val="nil"/>
            </w:tcBorders>
            <w:shd w:val="clear" w:color="auto" w:fill="auto"/>
            <w:vAlign w:val="center"/>
            <w:hideMark/>
          </w:tcPr>
          <w:p w:rsidR="007D6198" w:rsidRPr="00DF6305" w:rsidRDefault="00D61439" w:rsidP="00581CCE">
            <w:pPr>
              <w:jc w:val="right"/>
              <w:rPr>
                <w:rFonts w:ascii="Arial" w:hAnsi="Arial" w:cs="Arial"/>
                <w:color w:val="0000FF"/>
                <w:sz w:val="18"/>
                <w:szCs w:val="18"/>
              </w:rPr>
            </w:pPr>
            <w:r>
              <w:rPr>
                <w:rFonts w:ascii="Arial" w:hAnsi="Arial" w:cs="Arial"/>
                <w:color w:val="0000FF"/>
                <w:sz w:val="18"/>
                <w:szCs w:val="18"/>
              </w:rPr>
              <w:t>91.</w:t>
            </w:r>
            <w:r w:rsidR="00581CCE">
              <w:rPr>
                <w:rFonts w:ascii="Arial" w:hAnsi="Arial" w:cs="Arial"/>
                <w:color w:val="0000FF"/>
                <w:sz w:val="18"/>
                <w:szCs w:val="18"/>
              </w:rPr>
              <w:t>3</w:t>
            </w:r>
          </w:p>
        </w:tc>
      </w:tr>
    </w:tbl>
    <w:p w:rsidR="00FC65F4" w:rsidRPr="00B03BF5" w:rsidRDefault="00FC65F4" w:rsidP="00FC65F4">
      <w:pPr>
        <w:rPr>
          <w:rFonts w:ascii="Arial" w:hAnsi="Arial" w:cs="Arial"/>
          <w:sz w:val="16"/>
          <w:szCs w:val="16"/>
          <w:vertAlign w:val="superscript"/>
        </w:rPr>
      </w:pPr>
    </w:p>
    <w:p w:rsidR="00FC65F4" w:rsidRDefault="00FC65F4" w:rsidP="00FC65F4">
      <w:pPr>
        <w:rPr>
          <w:rFonts w:ascii="Arial" w:hAnsi="Arial" w:cs="Arial"/>
          <w:sz w:val="20"/>
          <w:szCs w:val="20"/>
        </w:rPr>
      </w:pPr>
      <w:r w:rsidRPr="00B03BF5">
        <w:rPr>
          <w:rFonts w:ascii="Arial" w:hAnsi="Arial" w:cs="Arial"/>
          <w:sz w:val="20"/>
          <w:szCs w:val="20"/>
          <w:vertAlign w:val="superscript"/>
        </w:rPr>
        <w:t xml:space="preserve">1 </w:t>
      </w:r>
      <w:r>
        <w:rPr>
          <w:rFonts w:ascii="Arial" w:hAnsi="Arial" w:cs="Arial"/>
          <w:sz w:val="20"/>
          <w:szCs w:val="20"/>
        </w:rPr>
        <w:t>Estimated expenses as disclosed in the 201</w:t>
      </w:r>
      <w:r w:rsidR="00582377">
        <w:rPr>
          <w:rFonts w:ascii="Arial" w:hAnsi="Arial" w:cs="Arial"/>
          <w:sz w:val="20"/>
          <w:szCs w:val="20"/>
        </w:rPr>
        <w:t>5</w:t>
      </w:r>
      <w:r>
        <w:rPr>
          <w:rFonts w:ascii="Arial" w:hAnsi="Arial" w:cs="Arial"/>
          <w:sz w:val="20"/>
          <w:szCs w:val="20"/>
        </w:rPr>
        <w:t>-1</w:t>
      </w:r>
      <w:r w:rsidR="00582377">
        <w:rPr>
          <w:rFonts w:ascii="Arial" w:hAnsi="Arial" w:cs="Arial"/>
          <w:sz w:val="20"/>
          <w:szCs w:val="20"/>
        </w:rPr>
        <w:t>6</w:t>
      </w:r>
      <w:r>
        <w:rPr>
          <w:rFonts w:ascii="Arial" w:hAnsi="Arial" w:cs="Arial"/>
          <w:sz w:val="20"/>
          <w:szCs w:val="20"/>
        </w:rPr>
        <w:t xml:space="preserve"> Portfolio </w:t>
      </w:r>
      <w:r w:rsidR="00002397">
        <w:rPr>
          <w:rFonts w:ascii="Arial" w:hAnsi="Arial" w:cs="Arial"/>
          <w:sz w:val="20"/>
          <w:szCs w:val="20"/>
        </w:rPr>
        <w:t>Budget</w:t>
      </w:r>
      <w:r w:rsidR="00EC6358">
        <w:rPr>
          <w:rFonts w:ascii="Arial" w:hAnsi="Arial" w:cs="Arial"/>
          <w:sz w:val="20"/>
          <w:szCs w:val="20"/>
        </w:rPr>
        <w:t xml:space="preserve"> Statement.</w:t>
      </w:r>
    </w:p>
    <w:p w:rsidR="00364A43" w:rsidRDefault="00364A43"/>
    <w:p w:rsidR="0069002A" w:rsidRPr="002C6938" w:rsidRDefault="0069002A"/>
    <w:p w:rsidR="00950334" w:rsidRDefault="00950334">
      <w:pPr>
        <w:sectPr w:rsidR="00950334">
          <w:pgSz w:w="11907" w:h="16839" w:code="9"/>
          <w:pgMar w:top="1134" w:right="2410" w:bottom="4253" w:left="2410" w:header="510" w:footer="3402" w:gutter="0"/>
          <w:cols w:space="709"/>
          <w:docGrid w:linePitch="326"/>
        </w:sectPr>
      </w:pPr>
    </w:p>
    <w:p w:rsidR="008339B8" w:rsidRDefault="008339B8" w:rsidP="008339B8">
      <w:pPr>
        <w:pStyle w:val="Head2"/>
      </w:pPr>
      <w:bookmarkStart w:id="129" w:name="_Toc463613761"/>
      <w:r>
        <w:t>Appendix B—Staffing statistics and salary ranges</w:t>
      </w:r>
      <w:bookmarkEnd w:id="129"/>
    </w:p>
    <w:p w:rsidR="00132228" w:rsidRDefault="00132228" w:rsidP="00132228">
      <w:pPr>
        <w:pStyle w:val="Head4"/>
        <w:spacing w:before="120" w:after="0"/>
      </w:pPr>
      <w:r w:rsidRPr="009639B8">
        <w:t>Ongoing and non-ongoing employees as at 30 June 20</w:t>
      </w:r>
      <w:r>
        <w:t>1</w:t>
      </w:r>
      <w:r w:rsidR="002040DE">
        <w:t>6</w:t>
      </w:r>
    </w:p>
    <w:p w:rsidR="00616FC7" w:rsidRPr="009639B8" w:rsidRDefault="00132228" w:rsidP="00132228">
      <w:pPr>
        <w:pStyle w:val="BodyNum"/>
        <w:numPr>
          <w:ilvl w:val="0"/>
          <w:numId w:val="0"/>
        </w:numPr>
        <w:spacing w:before="0"/>
      </w:pPr>
      <w:r>
        <w:t>As at 30 June 201</w:t>
      </w:r>
      <w:r w:rsidR="002040DE">
        <w:t>6</w:t>
      </w:r>
      <w:r>
        <w:t xml:space="preserve">, </w:t>
      </w:r>
      <w:r w:rsidR="00616FC7">
        <w:t xml:space="preserve">OPC had </w:t>
      </w:r>
      <w:r w:rsidR="0091218C">
        <w:t>4</w:t>
      </w:r>
      <w:r w:rsidR="00616FC7">
        <w:t xml:space="preserve"> non-ongoing employees and no employees who identified as Indigenous.</w:t>
      </w:r>
      <w:r>
        <w:br/>
      </w:r>
      <w:r w:rsidRPr="009639B8">
        <w:t>As at 30 June 20</w:t>
      </w:r>
      <w:r>
        <w:t>1</w:t>
      </w:r>
      <w:r w:rsidR="002040DE">
        <w:t>5</w:t>
      </w:r>
      <w:r w:rsidRPr="009639B8">
        <w:t xml:space="preserve">, </w:t>
      </w:r>
      <w:r>
        <w:t xml:space="preserve">OPC had </w:t>
      </w:r>
      <w:r w:rsidR="002040DE">
        <w:t>3</w:t>
      </w:r>
      <w:r>
        <w:t xml:space="preserve"> </w:t>
      </w:r>
      <w:r w:rsidR="002040DE">
        <w:t>non-ongoing</w:t>
      </w:r>
      <w:r>
        <w:t xml:space="preserve"> employee</w:t>
      </w:r>
      <w:r w:rsidR="002040DE">
        <w:t>s</w:t>
      </w:r>
      <w:r w:rsidR="005622A4">
        <w:t xml:space="preserve"> and no employees who identified as Indigenous</w:t>
      </w:r>
      <w:r>
        <w:t>.</w:t>
      </w:r>
    </w:p>
    <w:p w:rsidR="00132228" w:rsidRPr="00246266" w:rsidRDefault="00132228" w:rsidP="00132228">
      <w:pPr>
        <w:pStyle w:val="Head4"/>
        <w:spacing w:before="60" w:after="0"/>
      </w:pPr>
      <w:r w:rsidRPr="009639B8">
        <w:t>Full-time and part-time employees as at 30 June 20</w:t>
      </w:r>
      <w:r>
        <w:t>1</w:t>
      </w:r>
      <w:r w:rsidR="0091218C">
        <w:t>6</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99"/>
        <w:gridCol w:w="834"/>
        <w:gridCol w:w="834"/>
        <w:gridCol w:w="834"/>
        <w:gridCol w:w="834"/>
        <w:gridCol w:w="834"/>
        <w:gridCol w:w="834"/>
      </w:tblGrid>
      <w:tr w:rsidR="00132228" w:rsidTr="00DE340C">
        <w:trPr>
          <w:cantSplit/>
          <w:tblHeader/>
        </w:trPr>
        <w:tc>
          <w:tcPr>
            <w:tcW w:w="1574" w:type="pct"/>
            <w:vMerge w:val="restart"/>
            <w:tcBorders>
              <w:top w:val="single" w:sz="12" w:space="0" w:color="auto"/>
              <w:left w:val="nil"/>
              <w:right w:val="nil"/>
            </w:tcBorders>
            <w:vAlign w:val="center"/>
          </w:tcPr>
          <w:p w:rsidR="00132228" w:rsidRDefault="00132228" w:rsidP="00DE340C">
            <w:pPr>
              <w:keepLines/>
              <w:rPr>
                <w:rFonts w:ascii="Arial" w:hAnsi="Arial" w:cs="Arial"/>
                <w:b/>
                <w:color w:val="0000FF"/>
                <w:sz w:val="20"/>
              </w:rPr>
            </w:pPr>
            <w:r>
              <w:rPr>
                <w:rFonts w:ascii="Arial" w:hAnsi="Arial" w:cs="Arial"/>
                <w:b/>
                <w:color w:val="0000FF"/>
                <w:sz w:val="20"/>
              </w:rPr>
              <w:t>Category</w:t>
            </w:r>
          </w:p>
        </w:tc>
        <w:tc>
          <w:tcPr>
            <w:tcW w:w="1142" w:type="pct"/>
            <w:gridSpan w:val="2"/>
            <w:tcBorders>
              <w:top w:val="single" w:sz="12" w:space="0" w:color="auto"/>
              <w:left w:val="nil"/>
              <w:bottom w:val="single" w:sz="4" w:space="0" w:color="auto"/>
              <w:right w:val="nil"/>
            </w:tcBorders>
          </w:tcPr>
          <w:p w:rsidR="00132228" w:rsidRDefault="00132228" w:rsidP="00DE340C">
            <w:pPr>
              <w:keepLines/>
              <w:jc w:val="center"/>
              <w:rPr>
                <w:rFonts w:ascii="Arial" w:hAnsi="Arial" w:cs="Arial"/>
                <w:b/>
                <w:color w:val="0000FF"/>
                <w:sz w:val="20"/>
              </w:rPr>
            </w:pPr>
            <w:r>
              <w:rPr>
                <w:rFonts w:ascii="Arial" w:hAnsi="Arial" w:cs="Arial"/>
                <w:b/>
                <w:color w:val="0000FF"/>
                <w:sz w:val="20"/>
              </w:rPr>
              <w:t>Total staff</w:t>
            </w:r>
          </w:p>
        </w:tc>
        <w:tc>
          <w:tcPr>
            <w:tcW w:w="1142" w:type="pct"/>
            <w:gridSpan w:val="2"/>
            <w:tcBorders>
              <w:top w:val="single" w:sz="12" w:space="0" w:color="auto"/>
              <w:left w:val="nil"/>
              <w:bottom w:val="nil"/>
              <w:right w:val="nil"/>
            </w:tcBorders>
            <w:shd w:val="clear" w:color="auto" w:fill="auto"/>
          </w:tcPr>
          <w:p w:rsidR="00132228" w:rsidRDefault="00132228" w:rsidP="00DE340C">
            <w:pPr>
              <w:keepLines/>
              <w:jc w:val="center"/>
              <w:rPr>
                <w:rFonts w:ascii="Arial" w:hAnsi="Arial" w:cs="Arial"/>
                <w:b/>
                <w:color w:val="0000FF"/>
                <w:sz w:val="20"/>
              </w:rPr>
            </w:pPr>
            <w:r>
              <w:rPr>
                <w:rFonts w:ascii="Arial" w:hAnsi="Arial" w:cs="Arial"/>
                <w:b/>
                <w:color w:val="0000FF"/>
                <w:sz w:val="20"/>
              </w:rPr>
              <w:t>Full-time</w:t>
            </w:r>
          </w:p>
        </w:tc>
        <w:tc>
          <w:tcPr>
            <w:tcW w:w="1142" w:type="pct"/>
            <w:gridSpan w:val="2"/>
            <w:tcBorders>
              <w:top w:val="single" w:sz="12" w:space="0" w:color="auto"/>
              <w:left w:val="nil"/>
              <w:bottom w:val="nil"/>
              <w:right w:val="nil"/>
            </w:tcBorders>
            <w:shd w:val="clear" w:color="auto" w:fill="auto"/>
          </w:tcPr>
          <w:p w:rsidR="00132228" w:rsidRDefault="00132228" w:rsidP="00DE340C">
            <w:pPr>
              <w:keepLines/>
              <w:jc w:val="center"/>
              <w:rPr>
                <w:rFonts w:ascii="Arial" w:hAnsi="Arial" w:cs="Arial"/>
                <w:b/>
                <w:color w:val="0000FF"/>
                <w:sz w:val="20"/>
              </w:rPr>
            </w:pPr>
            <w:r>
              <w:rPr>
                <w:rFonts w:ascii="Arial" w:hAnsi="Arial" w:cs="Arial"/>
                <w:b/>
                <w:color w:val="0000FF"/>
                <w:sz w:val="20"/>
              </w:rPr>
              <w:t>Part-time</w:t>
            </w:r>
          </w:p>
        </w:tc>
      </w:tr>
      <w:tr w:rsidR="00132228" w:rsidTr="00DE340C">
        <w:trPr>
          <w:cantSplit/>
          <w:tblHeader/>
        </w:trPr>
        <w:tc>
          <w:tcPr>
            <w:tcW w:w="1574" w:type="pct"/>
            <w:vMerge/>
            <w:tcBorders>
              <w:left w:val="nil"/>
              <w:bottom w:val="single" w:sz="12" w:space="0" w:color="auto"/>
              <w:right w:val="nil"/>
            </w:tcBorders>
          </w:tcPr>
          <w:p w:rsidR="00132228" w:rsidRDefault="00132228" w:rsidP="00DE340C">
            <w:pPr>
              <w:keepLines/>
              <w:rPr>
                <w:rFonts w:ascii="Arial" w:hAnsi="Arial" w:cs="Arial"/>
                <w:b/>
                <w:color w:val="0000FF"/>
                <w:sz w:val="20"/>
              </w:rPr>
            </w:pPr>
          </w:p>
        </w:tc>
        <w:tc>
          <w:tcPr>
            <w:tcW w:w="571" w:type="pct"/>
            <w:tcBorders>
              <w:top w:val="single" w:sz="4" w:space="0" w:color="auto"/>
              <w:left w:val="nil"/>
              <w:bottom w:val="single" w:sz="12" w:space="0" w:color="auto"/>
              <w:right w:val="nil"/>
            </w:tcBorders>
            <w:shd w:val="clear" w:color="auto" w:fill="99CCFF"/>
          </w:tcPr>
          <w:p w:rsidR="00132228" w:rsidRDefault="00132228" w:rsidP="0091218C">
            <w:pPr>
              <w:keepLines/>
              <w:jc w:val="center"/>
              <w:rPr>
                <w:rFonts w:ascii="Arial" w:hAnsi="Arial" w:cs="Arial"/>
                <w:b/>
                <w:color w:val="0000FF"/>
                <w:sz w:val="20"/>
              </w:rPr>
            </w:pPr>
            <w:r>
              <w:rPr>
                <w:rFonts w:ascii="Arial" w:hAnsi="Arial" w:cs="Arial"/>
                <w:b/>
                <w:color w:val="0000FF"/>
                <w:sz w:val="20"/>
              </w:rPr>
              <w:t>1</w:t>
            </w:r>
            <w:r w:rsidR="0091218C">
              <w:rPr>
                <w:rFonts w:ascii="Arial" w:hAnsi="Arial" w:cs="Arial"/>
                <w:b/>
                <w:color w:val="0000FF"/>
                <w:sz w:val="20"/>
              </w:rPr>
              <w:t>5</w:t>
            </w:r>
          </w:p>
        </w:tc>
        <w:tc>
          <w:tcPr>
            <w:tcW w:w="571" w:type="pct"/>
            <w:tcBorders>
              <w:top w:val="single" w:sz="4" w:space="0" w:color="auto"/>
              <w:left w:val="nil"/>
              <w:bottom w:val="single" w:sz="12" w:space="0" w:color="auto"/>
              <w:right w:val="nil"/>
            </w:tcBorders>
            <w:shd w:val="clear" w:color="auto" w:fill="auto"/>
          </w:tcPr>
          <w:p w:rsidR="00132228" w:rsidRDefault="00F42B76" w:rsidP="00DE340C">
            <w:pPr>
              <w:keepLines/>
              <w:jc w:val="center"/>
              <w:rPr>
                <w:rFonts w:ascii="Arial" w:hAnsi="Arial" w:cs="Arial"/>
                <w:b/>
                <w:color w:val="0000FF"/>
                <w:sz w:val="20"/>
              </w:rPr>
            </w:pPr>
            <w:r>
              <w:rPr>
                <w:rFonts w:ascii="Arial" w:hAnsi="Arial" w:cs="Arial"/>
                <w:b/>
                <w:color w:val="0000FF"/>
                <w:sz w:val="20"/>
              </w:rPr>
              <w:t>16</w:t>
            </w:r>
          </w:p>
        </w:tc>
        <w:tc>
          <w:tcPr>
            <w:tcW w:w="571" w:type="pct"/>
            <w:tcBorders>
              <w:top w:val="single" w:sz="4" w:space="0" w:color="auto"/>
              <w:left w:val="nil"/>
              <w:bottom w:val="single" w:sz="12" w:space="0" w:color="auto"/>
              <w:right w:val="nil"/>
            </w:tcBorders>
            <w:shd w:val="clear" w:color="auto" w:fill="99CCFF"/>
          </w:tcPr>
          <w:p w:rsidR="00132228" w:rsidRDefault="00132228" w:rsidP="00530708">
            <w:pPr>
              <w:keepLines/>
              <w:jc w:val="center"/>
              <w:rPr>
                <w:rFonts w:ascii="Arial" w:hAnsi="Arial" w:cs="Arial"/>
                <w:b/>
                <w:color w:val="0000FF"/>
                <w:sz w:val="20"/>
              </w:rPr>
            </w:pPr>
            <w:r>
              <w:rPr>
                <w:rFonts w:ascii="Arial" w:hAnsi="Arial" w:cs="Arial"/>
                <w:b/>
                <w:color w:val="0000FF"/>
                <w:sz w:val="20"/>
              </w:rPr>
              <w:t>1</w:t>
            </w:r>
            <w:r w:rsidR="00530708">
              <w:rPr>
                <w:rFonts w:ascii="Arial" w:hAnsi="Arial" w:cs="Arial"/>
                <w:b/>
                <w:color w:val="0000FF"/>
                <w:sz w:val="20"/>
              </w:rPr>
              <w:t>5</w:t>
            </w:r>
          </w:p>
        </w:tc>
        <w:tc>
          <w:tcPr>
            <w:tcW w:w="571" w:type="pct"/>
            <w:tcBorders>
              <w:top w:val="single" w:sz="4" w:space="0" w:color="auto"/>
              <w:left w:val="nil"/>
              <w:bottom w:val="single" w:sz="12" w:space="0" w:color="auto"/>
              <w:right w:val="nil"/>
            </w:tcBorders>
            <w:shd w:val="clear" w:color="auto" w:fill="auto"/>
          </w:tcPr>
          <w:p w:rsidR="00132228" w:rsidRDefault="00132228" w:rsidP="00F42B76">
            <w:pPr>
              <w:keepLines/>
              <w:jc w:val="center"/>
              <w:rPr>
                <w:rFonts w:ascii="Arial" w:hAnsi="Arial" w:cs="Arial"/>
                <w:b/>
                <w:color w:val="0000FF"/>
                <w:sz w:val="20"/>
              </w:rPr>
            </w:pPr>
            <w:r>
              <w:rPr>
                <w:rFonts w:ascii="Arial" w:hAnsi="Arial" w:cs="Arial"/>
                <w:b/>
                <w:color w:val="0000FF"/>
                <w:sz w:val="20"/>
              </w:rPr>
              <w:t>1</w:t>
            </w:r>
            <w:r w:rsidR="00F42B76">
              <w:rPr>
                <w:rFonts w:ascii="Arial" w:hAnsi="Arial" w:cs="Arial"/>
                <w:b/>
                <w:color w:val="0000FF"/>
                <w:sz w:val="20"/>
              </w:rPr>
              <w:t>6</w:t>
            </w:r>
          </w:p>
        </w:tc>
        <w:tc>
          <w:tcPr>
            <w:tcW w:w="571" w:type="pct"/>
            <w:tcBorders>
              <w:top w:val="single" w:sz="4" w:space="0" w:color="auto"/>
              <w:left w:val="nil"/>
              <w:bottom w:val="single" w:sz="12" w:space="0" w:color="auto"/>
              <w:right w:val="nil"/>
            </w:tcBorders>
            <w:shd w:val="clear" w:color="auto" w:fill="99CCFF"/>
          </w:tcPr>
          <w:p w:rsidR="00132228" w:rsidRDefault="00132228" w:rsidP="00F42B76">
            <w:pPr>
              <w:keepLines/>
              <w:jc w:val="center"/>
              <w:rPr>
                <w:rFonts w:ascii="Arial" w:hAnsi="Arial" w:cs="Arial"/>
                <w:b/>
                <w:color w:val="0000FF"/>
                <w:sz w:val="20"/>
              </w:rPr>
            </w:pPr>
            <w:r>
              <w:rPr>
                <w:rFonts w:ascii="Arial" w:hAnsi="Arial" w:cs="Arial"/>
                <w:b/>
                <w:color w:val="0000FF"/>
                <w:sz w:val="20"/>
              </w:rPr>
              <w:t>1</w:t>
            </w:r>
            <w:r w:rsidR="00F42B76">
              <w:rPr>
                <w:rFonts w:ascii="Arial" w:hAnsi="Arial" w:cs="Arial"/>
                <w:b/>
                <w:color w:val="0000FF"/>
                <w:sz w:val="20"/>
              </w:rPr>
              <w:t>5</w:t>
            </w:r>
          </w:p>
        </w:tc>
        <w:tc>
          <w:tcPr>
            <w:tcW w:w="571" w:type="pct"/>
            <w:tcBorders>
              <w:top w:val="single" w:sz="4" w:space="0" w:color="auto"/>
              <w:left w:val="nil"/>
              <w:bottom w:val="single" w:sz="12" w:space="0" w:color="auto"/>
              <w:right w:val="nil"/>
            </w:tcBorders>
            <w:shd w:val="clear" w:color="auto" w:fill="auto"/>
          </w:tcPr>
          <w:p w:rsidR="00132228" w:rsidRDefault="00132228" w:rsidP="00F42B76">
            <w:pPr>
              <w:keepLines/>
              <w:jc w:val="center"/>
              <w:rPr>
                <w:rFonts w:ascii="Arial" w:hAnsi="Arial" w:cs="Arial"/>
                <w:b/>
                <w:color w:val="0000FF"/>
                <w:sz w:val="20"/>
              </w:rPr>
            </w:pPr>
            <w:r>
              <w:rPr>
                <w:rFonts w:ascii="Arial" w:hAnsi="Arial" w:cs="Arial"/>
                <w:b/>
                <w:color w:val="0000FF"/>
                <w:sz w:val="20"/>
              </w:rPr>
              <w:t>1</w:t>
            </w:r>
            <w:r w:rsidR="00F42B76">
              <w:rPr>
                <w:rFonts w:ascii="Arial" w:hAnsi="Arial" w:cs="Arial"/>
                <w:b/>
                <w:color w:val="0000FF"/>
                <w:sz w:val="20"/>
              </w:rPr>
              <w:t>6</w:t>
            </w:r>
          </w:p>
        </w:tc>
      </w:tr>
      <w:tr w:rsidR="00132228" w:rsidTr="00DE340C">
        <w:trPr>
          <w:cantSplit/>
          <w:trHeight w:hRule="exact" w:val="567"/>
        </w:trPr>
        <w:tc>
          <w:tcPr>
            <w:tcW w:w="1574" w:type="pct"/>
            <w:tcBorders>
              <w:top w:val="single" w:sz="12"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Statutory office holders</w:t>
            </w:r>
            <w:r>
              <w:rPr>
                <w:rFonts w:ascii="Arial" w:hAnsi="Arial" w:cs="Arial"/>
                <w:color w:val="0000FF"/>
                <w:sz w:val="18"/>
                <w:szCs w:val="18"/>
              </w:rPr>
              <w:br/>
            </w: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12"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3</w:t>
            </w:r>
          </w:p>
          <w:p w:rsidR="00132228" w:rsidRPr="006B45FC" w:rsidRDefault="00132228" w:rsidP="00DE340C">
            <w:pPr>
              <w:keepLines/>
              <w:spacing w:before="60"/>
              <w:jc w:val="center"/>
              <w:rPr>
                <w:rFonts w:ascii="Arial" w:hAnsi="Arial" w:cs="Arial"/>
                <w:color w:val="0000FF"/>
                <w:sz w:val="18"/>
                <w:szCs w:val="18"/>
              </w:rPr>
            </w:pP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12"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3</w:t>
            </w: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12"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0</w:t>
            </w:r>
          </w:p>
        </w:tc>
      </w:tr>
      <w:tr w:rsidR="00132228" w:rsidTr="00DE340C">
        <w:trPr>
          <w:cantSplit/>
          <w:trHeight w:hRule="exac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SES Band 2</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91218C" w:rsidP="00DE340C">
            <w:pPr>
              <w:keepLines/>
              <w:spacing w:before="60"/>
              <w:jc w:val="center"/>
              <w:rPr>
                <w:rFonts w:ascii="Arial" w:hAnsi="Arial" w:cs="Arial"/>
                <w:color w:val="0000FF"/>
                <w:sz w:val="18"/>
                <w:szCs w:val="18"/>
              </w:rPr>
            </w:pPr>
            <w:r>
              <w:rPr>
                <w:rFonts w:ascii="Arial" w:hAnsi="Arial" w:cs="Arial"/>
                <w:color w:val="0000FF"/>
                <w:sz w:val="18"/>
                <w:szCs w:val="18"/>
              </w:rPr>
              <w:t>5</w:t>
            </w:r>
          </w:p>
        </w:tc>
        <w:tc>
          <w:tcPr>
            <w:tcW w:w="571" w:type="pct"/>
            <w:tcBorders>
              <w:top w:val="single" w:sz="4"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5</w:t>
            </w:r>
          </w:p>
        </w:tc>
        <w:tc>
          <w:tcPr>
            <w:tcW w:w="571" w:type="pct"/>
            <w:tcBorders>
              <w:top w:val="single" w:sz="4"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0</w:t>
            </w:r>
          </w:p>
        </w:tc>
      </w:tr>
      <w:tr w:rsidR="00132228" w:rsidTr="00DE340C">
        <w:trPr>
          <w:cantSplit/>
          <w:trHeight w:hRule="exac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SES Band 1</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91218C" w:rsidP="00DE340C">
            <w:pPr>
              <w:keepLines/>
              <w:spacing w:before="60"/>
              <w:jc w:val="center"/>
              <w:rPr>
                <w:rFonts w:ascii="Arial" w:hAnsi="Arial" w:cs="Arial"/>
                <w:color w:val="0000FF"/>
                <w:sz w:val="18"/>
                <w:szCs w:val="18"/>
              </w:rPr>
            </w:pPr>
            <w:r>
              <w:rPr>
                <w:rFonts w:ascii="Arial" w:hAnsi="Arial" w:cs="Arial"/>
                <w:color w:val="0000FF"/>
                <w:sz w:val="18"/>
                <w:szCs w:val="18"/>
              </w:rPr>
              <w:t>18</w:t>
            </w:r>
          </w:p>
        </w:tc>
        <w:tc>
          <w:tcPr>
            <w:tcW w:w="571" w:type="pct"/>
            <w:tcBorders>
              <w:top w:val="single" w:sz="4"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Pr>
                <w:rFonts w:ascii="Arial" w:hAnsi="Arial" w:cs="Arial"/>
                <w:color w:val="0000FF"/>
                <w:sz w:val="18"/>
                <w:szCs w:val="18"/>
              </w:rPr>
              <w:t>18</w:t>
            </w:r>
            <w:r>
              <w:rPr>
                <w:rFonts w:ascii="Arial" w:hAnsi="Arial" w:cs="Arial"/>
                <w:color w:val="0000FF"/>
                <w:sz w:val="18"/>
                <w:szCs w:val="18"/>
                <w:vertAlign w:val="superscript"/>
              </w:rPr>
              <w:t>4</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12</w:t>
            </w:r>
          </w:p>
        </w:tc>
        <w:tc>
          <w:tcPr>
            <w:tcW w:w="571" w:type="pct"/>
            <w:tcBorders>
              <w:top w:val="single" w:sz="4"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10</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8</w:t>
            </w:r>
          </w:p>
        </w:tc>
      </w:tr>
      <w:tr w:rsidR="00132228" w:rsidTr="00DE340C">
        <w:trPr>
          <w:cantSplit/>
          <w:trHeigh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3</w:t>
            </w:r>
          </w:p>
        </w:tc>
        <w:tc>
          <w:tcPr>
            <w:tcW w:w="571" w:type="pct"/>
            <w:tcBorders>
              <w:top w:val="single" w:sz="4" w:space="0" w:color="auto"/>
              <w:left w:val="nil"/>
              <w:bottom w:val="single" w:sz="4" w:space="0" w:color="auto"/>
              <w:right w:val="nil"/>
            </w:tcBorders>
            <w:shd w:val="clear" w:color="auto" w:fill="99CCFF"/>
          </w:tcPr>
          <w:p w:rsidR="00132228" w:rsidRDefault="0091218C" w:rsidP="0091218C">
            <w:pPr>
              <w:keepLines/>
              <w:spacing w:before="60"/>
              <w:jc w:val="center"/>
              <w:rPr>
                <w:rFonts w:ascii="Arial" w:hAnsi="Arial" w:cs="Arial"/>
                <w:color w:val="0000FF"/>
                <w:sz w:val="18"/>
                <w:szCs w:val="18"/>
              </w:rPr>
            </w:pPr>
            <w:r>
              <w:rPr>
                <w:rFonts w:ascii="Arial" w:hAnsi="Arial" w:cs="Arial"/>
                <w:color w:val="0000FF"/>
                <w:sz w:val="18"/>
                <w:szCs w:val="18"/>
              </w:rPr>
              <w:t>15</w:t>
            </w:r>
            <w:r>
              <w:rPr>
                <w:rFonts w:ascii="Arial" w:hAnsi="Arial" w:cs="Arial"/>
                <w:color w:val="0000FF"/>
                <w:sz w:val="18"/>
                <w:szCs w:val="18"/>
                <w:vertAlign w:val="superscript"/>
              </w:rPr>
              <w:t>1</w:t>
            </w:r>
          </w:p>
        </w:tc>
        <w:tc>
          <w:tcPr>
            <w:tcW w:w="571" w:type="pct"/>
            <w:tcBorders>
              <w:top w:val="single" w:sz="4" w:space="0" w:color="auto"/>
              <w:left w:val="nil"/>
              <w:bottom w:val="single" w:sz="4" w:space="0" w:color="auto"/>
              <w:right w:val="nil"/>
            </w:tcBorders>
            <w:shd w:val="clear" w:color="auto" w:fill="auto"/>
          </w:tcPr>
          <w:p w:rsidR="00132228" w:rsidRPr="006B45FC" w:rsidRDefault="00132228" w:rsidP="006B45FC">
            <w:pPr>
              <w:keepLines/>
              <w:spacing w:before="60"/>
              <w:jc w:val="center"/>
              <w:rPr>
                <w:rFonts w:ascii="Arial" w:hAnsi="Arial" w:cs="Arial"/>
                <w:color w:val="0000FF"/>
                <w:sz w:val="18"/>
                <w:szCs w:val="18"/>
              </w:rPr>
            </w:pPr>
            <w:r w:rsidRPr="006B45FC">
              <w:rPr>
                <w:rFonts w:ascii="Arial" w:hAnsi="Arial" w:cs="Arial"/>
                <w:color w:val="0000FF"/>
                <w:sz w:val="18"/>
                <w:szCs w:val="18"/>
              </w:rPr>
              <w:t>15</w:t>
            </w:r>
            <w:r w:rsidR="006B45FC" w:rsidRPr="006B45FC">
              <w:rPr>
                <w:rFonts w:ascii="Arial" w:hAnsi="Arial" w:cs="Arial"/>
                <w:color w:val="0000FF"/>
                <w:sz w:val="18"/>
                <w:szCs w:val="18"/>
                <w:vertAlign w:val="superscript"/>
              </w:rPr>
              <w:t>5</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10</w:t>
            </w:r>
          </w:p>
        </w:tc>
        <w:tc>
          <w:tcPr>
            <w:tcW w:w="571" w:type="pct"/>
            <w:tcBorders>
              <w:top w:val="single" w:sz="4"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10</w:t>
            </w:r>
          </w:p>
        </w:tc>
        <w:tc>
          <w:tcPr>
            <w:tcW w:w="571" w:type="pct"/>
            <w:tcBorders>
              <w:top w:val="single" w:sz="4" w:space="0" w:color="auto"/>
              <w:left w:val="nil"/>
              <w:bottom w:val="single" w:sz="4" w:space="0" w:color="auto"/>
              <w:right w:val="nil"/>
            </w:tcBorders>
            <w:shd w:val="clear" w:color="auto" w:fill="99CCFF"/>
          </w:tcPr>
          <w:p w:rsidR="00132228" w:rsidRPr="00A5389C" w:rsidRDefault="00F42B76" w:rsidP="00DE340C">
            <w:pPr>
              <w:keepLines/>
              <w:spacing w:before="60"/>
              <w:jc w:val="center"/>
              <w:rPr>
                <w:rFonts w:ascii="Arial" w:hAnsi="Arial" w:cs="Arial"/>
                <w:color w:val="0000FF"/>
                <w:sz w:val="18"/>
                <w:szCs w:val="18"/>
                <w:vertAlign w:val="superscript"/>
              </w:rPr>
            </w:pPr>
            <w:r>
              <w:rPr>
                <w:rFonts w:ascii="Arial" w:hAnsi="Arial" w:cs="Arial"/>
                <w:color w:val="0000FF"/>
                <w:sz w:val="18"/>
                <w:szCs w:val="18"/>
              </w:rPr>
              <w:t>5</w:t>
            </w:r>
          </w:p>
        </w:tc>
        <w:tc>
          <w:tcPr>
            <w:tcW w:w="571" w:type="pct"/>
            <w:tcBorders>
              <w:top w:val="single" w:sz="4"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vertAlign w:val="superscript"/>
              </w:rPr>
            </w:pPr>
            <w:r w:rsidRPr="006B45FC">
              <w:rPr>
                <w:rFonts w:ascii="Arial" w:hAnsi="Arial" w:cs="Arial"/>
                <w:color w:val="0000FF"/>
                <w:sz w:val="18"/>
                <w:szCs w:val="18"/>
              </w:rPr>
              <w:t>5</w:t>
            </w:r>
          </w:p>
        </w:tc>
      </w:tr>
      <w:tr w:rsidR="0091218C" w:rsidTr="00DE340C">
        <w:trPr>
          <w:cantSplit/>
          <w:trHeight w:val="567"/>
        </w:trPr>
        <w:tc>
          <w:tcPr>
            <w:tcW w:w="1574" w:type="pct"/>
            <w:tcBorders>
              <w:top w:val="single" w:sz="4" w:space="0" w:color="auto"/>
              <w:left w:val="nil"/>
              <w:bottom w:val="single" w:sz="4" w:space="0" w:color="auto"/>
              <w:right w:val="nil"/>
            </w:tcBorders>
          </w:tcPr>
          <w:p w:rsidR="0091218C" w:rsidRDefault="0091218C"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2</w:t>
            </w:r>
          </w:p>
        </w:tc>
        <w:tc>
          <w:tcPr>
            <w:tcW w:w="571" w:type="pct"/>
            <w:tcBorders>
              <w:top w:val="single" w:sz="4" w:space="0" w:color="auto"/>
              <w:left w:val="nil"/>
              <w:bottom w:val="single" w:sz="4" w:space="0" w:color="auto"/>
              <w:right w:val="nil"/>
            </w:tcBorders>
            <w:shd w:val="clear" w:color="auto" w:fill="99CCFF"/>
          </w:tcPr>
          <w:p w:rsidR="0091218C" w:rsidRDefault="0091218C" w:rsidP="0091218C">
            <w:pPr>
              <w:keepLines/>
              <w:spacing w:before="60"/>
              <w:jc w:val="center"/>
              <w:rPr>
                <w:rFonts w:ascii="Arial" w:hAnsi="Arial" w:cs="Arial"/>
                <w:color w:val="0000FF"/>
                <w:sz w:val="18"/>
                <w:szCs w:val="18"/>
              </w:rPr>
            </w:pPr>
            <w:r>
              <w:rPr>
                <w:rFonts w:ascii="Arial" w:hAnsi="Arial" w:cs="Arial"/>
                <w:color w:val="0000FF"/>
                <w:sz w:val="18"/>
                <w:szCs w:val="18"/>
              </w:rPr>
              <w:t>4</w:t>
            </w:r>
            <w:r>
              <w:rPr>
                <w:rFonts w:ascii="Arial" w:hAnsi="Arial" w:cs="Arial"/>
                <w:color w:val="0000FF"/>
                <w:sz w:val="18"/>
                <w:szCs w:val="18"/>
                <w:vertAlign w:val="superscript"/>
              </w:rPr>
              <w:t>2</w:t>
            </w:r>
          </w:p>
        </w:tc>
        <w:tc>
          <w:tcPr>
            <w:tcW w:w="571" w:type="pct"/>
            <w:tcBorders>
              <w:top w:val="single" w:sz="4" w:space="0" w:color="auto"/>
              <w:left w:val="nil"/>
              <w:bottom w:val="single" w:sz="4" w:space="0" w:color="auto"/>
              <w:right w:val="nil"/>
            </w:tcBorders>
            <w:shd w:val="clear" w:color="auto" w:fill="auto"/>
          </w:tcPr>
          <w:p w:rsidR="0091218C"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99CCFF"/>
          </w:tcPr>
          <w:p w:rsidR="0091218C"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4" w:space="0" w:color="auto"/>
              <w:left w:val="nil"/>
              <w:bottom w:val="single" w:sz="4" w:space="0" w:color="auto"/>
              <w:right w:val="nil"/>
            </w:tcBorders>
            <w:shd w:val="clear" w:color="auto" w:fill="auto"/>
          </w:tcPr>
          <w:p w:rsidR="0091218C"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99CCFF"/>
          </w:tcPr>
          <w:p w:rsidR="0091218C"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1</w:t>
            </w:r>
          </w:p>
        </w:tc>
        <w:tc>
          <w:tcPr>
            <w:tcW w:w="571" w:type="pct"/>
            <w:tcBorders>
              <w:top w:val="single" w:sz="4" w:space="0" w:color="auto"/>
              <w:left w:val="nil"/>
              <w:bottom w:val="single" w:sz="4" w:space="0" w:color="auto"/>
              <w:right w:val="nil"/>
            </w:tcBorders>
            <w:shd w:val="clear" w:color="auto" w:fill="auto"/>
          </w:tcPr>
          <w:p w:rsidR="0091218C"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Heigh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1</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Height w:hRule="exac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Executive Level 2</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Height w:hRule="exac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Executive Level 1</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Heigh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OPC Broadband B</w:t>
            </w:r>
            <w:r>
              <w:rPr>
                <w:rFonts w:ascii="Arial" w:hAnsi="Arial" w:cs="Arial"/>
                <w:color w:val="0000FF"/>
                <w:sz w:val="18"/>
                <w:szCs w:val="18"/>
              </w:rPr>
              <w:br/>
              <w:t>(APS 4 - 6)</w:t>
            </w:r>
          </w:p>
        </w:tc>
        <w:tc>
          <w:tcPr>
            <w:tcW w:w="571" w:type="pct"/>
            <w:tcBorders>
              <w:top w:val="single" w:sz="4" w:space="0" w:color="auto"/>
              <w:left w:val="nil"/>
              <w:bottom w:val="single" w:sz="4" w:space="0" w:color="auto"/>
              <w:right w:val="nil"/>
            </w:tcBorders>
            <w:shd w:val="clear" w:color="auto" w:fill="99CCFF"/>
          </w:tcPr>
          <w:p w:rsidR="00132228" w:rsidRDefault="00132228" w:rsidP="00F42B76">
            <w:pPr>
              <w:keepLines/>
              <w:spacing w:before="60"/>
              <w:jc w:val="center"/>
              <w:rPr>
                <w:rFonts w:ascii="Arial" w:hAnsi="Arial" w:cs="Arial"/>
                <w:color w:val="0000FF"/>
                <w:sz w:val="18"/>
                <w:szCs w:val="18"/>
              </w:rPr>
            </w:pPr>
            <w:r>
              <w:rPr>
                <w:rFonts w:ascii="Arial" w:hAnsi="Arial" w:cs="Arial"/>
                <w:color w:val="0000FF"/>
                <w:sz w:val="18"/>
                <w:szCs w:val="18"/>
              </w:rPr>
              <w:t>4</w:t>
            </w:r>
            <w:r w:rsidR="00F42B76">
              <w:rPr>
                <w:rFonts w:ascii="Arial" w:hAnsi="Arial" w:cs="Arial"/>
                <w:color w:val="0000FF"/>
                <w:sz w:val="18"/>
                <w:szCs w:val="18"/>
              </w:rPr>
              <w:t>2</w:t>
            </w:r>
            <w:r w:rsidR="00F42B76">
              <w:rPr>
                <w:rFonts w:ascii="Arial" w:hAnsi="Arial" w:cs="Arial"/>
                <w:color w:val="0000FF"/>
                <w:sz w:val="18"/>
                <w:szCs w:val="18"/>
                <w:vertAlign w:val="superscript"/>
              </w:rPr>
              <w:t>3</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1E5F06">
            <w:pPr>
              <w:keepLines/>
              <w:spacing w:before="60"/>
              <w:jc w:val="center"/>
              <w:rPr>
                <w:rFonts w:ascii="Arial" w:hAnsi="Arial" w:cs="Arial"/>
                <w:color w:val="0000FF"/>
                <w:sz w:val="18"/>
                <w:szCs w:val="18"/>
              </w:rPr>
            </w:pPr>
            <w:r w:rsidRPr="001E5F06">
              <w:rPr>
                <w:rFonts w:ascii="Arial" w:hAnsi="Arial" w:cs="Arial"/>
                <w:color w:val="0000FF"/>
                <w:sz w:val="18"/>
                <w:szCs w:val="18"/>
              </w:rPr>
              <w:t>4</w:t>
            </w:r>
            <w:r w:rsidR="001E5F06" w:rsidRPr="001E5F06">
              <w:rPr>
                <w:rFonts w:ascii="Arial" w:hAnsi="Arial" w:cs="Arial"/>
                <w:color w:val="0000FF"/>
                <w:sz w:val="18"/>
                <w:szCs w:val="18"/>
              </w:rPr>
              <w:t>3</w:t>
            </w:r>
            <w:r w:rsidR="001E5F06" w:rsidRPr="001E5F06">
              <w:rPr>
                <w:rFonts w:ascii="Arial" w:hAnsi="Arial" w:cs="Arial"/>
                <w:color w:val="0000FF"/>
                <w:sz w:val="18"/>
                <w:szCs w:val="18"/>
                <w:vertAlign w:val="superscript"/>
              </w:rPr>
              <w:t>6</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35</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32</w:t>
            </w:r>
          </w:p>
        </w:tc>
        <w:tc>
          <w:tcPr>
            <w:tcW w:w="571" w:type="pct"/>
            <w:tcBorders>
              <w:top w:val="single" w:sz="4" w:space="0" w:color="auto"/>
              <w:left w:val="nil"/>
              <w:bottom w:val="single" w:sz="4" w:space="0" w:color="auto"/>
              <w:right w:val="nil"/>
            </w:tcBorders>
            <w:shd w:val="clear" w:color="auto" w:fill="99CCFF"/>
          </w:tcPr>
          <w:p w:rsidR="00132228" w:rsidRPr="00A5389C" w:rsidRDefault="00F42B76" w:rsidP="00DE340C">
            <w:pPr>
              <w:keepLines/>
              <w:spacing w:before="60"/>
              <w:jc w:val="center"/>
              <w:rPr>
                <w:rFonts w:ascii="Arial" w:hAnsi="Arial" w:cs="Arial"/>
                <w:color w:val="0000FF"/>
                <w:sz w:val="18"/>
                <w:szCs w:val="18"/>
                <w:vertAlign w:val="superscript"/>
              </w:rPr>
            </w:pPr>
            <w:r>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vertAlign w:val="superscript"/>
              </w:rPr>
            </w:pPr>
            <w:r w:rsidRPr="001E5F06">
              <w:rPr>
                <w:rFonts w:ascii="Arial" w:hAnsi="Arial" w:cs="Arial"/>
                <w:color w:val="0000FF"/>
                <w:sz w:val="18"/>
                <w:szCs w:val="18"/>
              </w:rPr>
              <w:t>11</w:t>
            </w:r>
          </w:p>
        </w:tc>
      </w:tr>
      <w:tr w:rsidR="00132228" w:rsidTr="00DE340C">
        <w:trPr>
          <w:cantSplit/>
          <w:trHeight w:val="567"/>
        </w:trPr>
        <w:tc>
          <w:tcPr>
            <w:tcW w:w="1574" w:type="pct"/>
            <w:tcBorders>
              <w:top w:val="single" w:sz="4" w:space="0" w:color="auto"/>
              <w:left w:val="nil"/>
              <w:bottom w:val="single" w:sz="12"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OPC Broadband A</w:t>
            </w:r>
            <w:r>
              <w:rPr>
                <w:rFonts w:ascii="Arial" w:hAnsi="Arial" w:cs="Arial"/>
                <w:color w:val="0000FF"/>
                <w:sz w:val="18"/>
                <w:szCs w:val="18"/>
              </w:rPr>
              <w:br/>
              <w:t>(APS 1 - 3)</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Pr>
        <w:tc>
          <w:tcPr>
            <w:tcW w:w="1574" w:type="pct"/>
            <w:tcBorders>
              <w:top w:val="single" w:sz="12" w:space="0" w:color="auto"/>
              <w:left w:val="nil"/>
              <w:bottom w:val="single" w:sz="12" w:space="0" w:color="auto"/>
              <w:right w:val="nil"/>
            </w:tcBorders>
          </w:tcPr>
          <w:p w:rsidR="00132228" w:rsidRDefault="00132228" w:rsidP="00DE340C">
            <w:pPr>
              <w:spacing w:after="60"/>
              <w:rPr>
                <w:rFonts w:ascii="Arial" w:hAnsi="Arial" w:cs="Arial"/>
                <w:b/>
                <w:color w:val="0000FF"/>
                <w:sz w:val="18"/>
                <w:szCs w:val="18"/>
              </w:rPr>
            </w:pPr>
          </w:p>
          <w:p w:rsidR="00132228" w:rsidRDefault="00132228" w:rsidP="00DE340C">
            <w:pPr>
              <w:spacing w:after="60"/>
              <w:rPr>
                <w:rFonts w:ascii="Arial" w:hAnsi="Arial" w:cs="Arial"/>
                <w:b/>
                <w:color w:val="0000FF"/>
                <w:sz w:val="18"/>
                <w:szCs w:val="18"/>
              </w:rPr>
            </w:pPr>
            <w:r>
              <w:rPr>
                <w:rFonts w:ascii="Arial" w:hAnsi="Arial" w:cs="Arial"/>
                <w:b/>
                <w:color w:val="0000FF"/>
                <w:sz w:val="18"/>
                <w:szCs w:val="18"/>
              </w:rPr>
              <w:t>Totals</w:t>
            </w:r>
          </w:p>
        </w:tc>
        <w:tc>
          <w:tcPr>
            <w:tcW w:w="571" w:type="pct"/>
            <w:tcBorders>
              <w:top w:val="single" w:sz="12" w:space="0" w:color="auto"/>
              <w:left w:val="nil"/>
              <w:bottom w:val="single" w:sz="12" w:space="0" w:color="auto"/>
              <w:right w:val="nil"/>
            </w:tcBorders>
            <w:shd w:val="clear" w:color="auto" w:fill="99CCFF"/>
            <w:vAlign w:val="bottom"/>
          </w:tcPr>
          <w:p w:rsidR="00132228" w:rsidRDefault="00F42B76" w:rsidP="00DE340C">
            <w:pPr>
              <w:spacing w:after="60"/>
              <w:jc w:val="center"/>
              <w:rPr>
                <w:rFonts w:ascii="Arial" w:hAnsi="Arial" w:cs="Arial"/>
                <w:b/>
                <w:color w:val="0000FF"/>
                <w:sz w:val="18"/>
                <w:szCs w:val="18"/>
              </w:rPr>
            </w:pPr>
            <w:r>
              <w:rPr>
                <w:rFonts w:ascii="Arial" w:hAnsi="Arial" w:cs="Arial"/>
                <w:b/>
                <w:color w:val="0000FF"/>
                <w:sz w:val="18"/>
                <w:szCs w:val="18"/>
              </w:rPr>
              <w:t>99</w:t>
            </w:r>
          </w:p>
        </w:tc>
        <w:tc>
          <w:tcPr>
            <w:tcW w:w="571" w:type="pct"/>
            <w:tcBorders>
              <w:top w:val="single" w:sz="12" w:space="0" w:color="auto"/>
              <w:left w:val="nil"/>
              <w:bottom w:val="single" w:sz="12" w:space="0" w:color="auto"/>
              <w:right w:val="nil"/>
            </w:tcBorders>
            <w:shd w:val="clear" w:color="auto" w:fill="auto"/>
            <w:vAlign w:val="bottom"/>
          </w:tcPr>
          <w:p w:rsidR="00132228" w:rsidRPr="001E5F06" w:rsidRDefault="001E5F06" w:rsidP="00DE340C">
            <w:pPr>
              <w:spacing w:after="60"/>
              <w:jc w:val="center"/>
              <w:rPr>
                <w:rFonts w:ascii="Arial" w:hAnsi="Arial" w:cs="Arial"/>
                <w:b/>
                <w:color w:val="0000FF"/>
                <w:sz w:val="18"/>
                <w:szCs w:val="18"/>
              </w:rPr>
            </w:pPr>
            <w:r w:rsidRPr="001E5F06">
              <w:rPr>
                <w:rFonts w:ascii="Arial" w:hAnsi="Arial" w:cs="Arial"/>
                <w:b/>
                <w:color w:val="0000FF"/>
                <w:sz w:val="18"/>
                <w:szCs w:val="18"/>
              </w:rPr>
              <w:t>102</w:t>
            </w:r>
          </w:p>
        </w:tc>
        <w:tc>
          <w:tcPr>
            <w:tcW w:w="571" w:type="pct"/>
            <w:tcBorders>
              <w:top w:val="single" w:sz="12" w:space="0" w:color="auto"/>
              <w:left w:val="nil"/>
              <w:bottom w:val="single" w:sz="12" w:space="0" w:color="auto"/>
              <w:right w:val="nil"/>
            </w:tcBorders>
            <w:shd w:val="clear" w:color="auto" w:fill="99CCFF"/>
            <w:vAlign w:val="bottom"/>
          </w:tcPr>
          <w:p w:rsidR="00132228" w:rsidRDefault="00F42B76" w:rsidP="00DE340C">
            <w:pPr>
              <w:spacing w:after="60"/>
              <w:jc w:val="center"/>
              <w:rPr>
                <w:rFonts w:ascii="Arial" w:hAnsi="Arial" w:cs="Arial"/>
                <w:b/>
                <w:color w:val="0000FF"/>
                <w:sz w:val="18"/>
                <w:szCs w:val="18"/>
              </w:rPr>
            </w:pPr>
            <w:r>
              <w:rPr>
                <w:rFonts w:ascii="Arial" w:hAnsi="Arial" w:cs="Arial"/>
                <w:b/>
                <w:color w:val="0000FF"/>
                <w:sz w:val="18"/>
                <w:szCs w:val="18"/>
              </w:rPr>
              <w:t>80</w:t>
            </w:r>
          </w:p>
        </w:tc>
        <w:tc>
          <w:tcPr>
            <w:tcW w:w="571" w:type="pct"/>
            <w:tcBorders>
              <w:top w:val="single" w:sz="12" w:space="0" w:color="auto"/>
              <w:left w:val="nil"/>
              <w:bottom w:val="single" w:sz="12" w:space="0" w:color="auto"/>
              <w:right w:val="nil"/>
            </w:tcBorders>
            <w:shd w:val="clear" w:color="auto" w:fill="auto"/>
            <w:vAlign w:val="bottom"/>
          </w:tcPr>
          <w:p w:rsidR="00132228" w:rsidRPr="001E5F06" w:rsidRDefault="001E5F06" w:rsidP="00DE340C">
            <w:pPr>
              <w:spacing w:after="60"/>
              <w:jc w:val="center"/>
              <w:rPr>
                <w:rFonts w:ascii="Arial" w:hAnsi="Arial" w:cs="Arial"/>
                <w:b/>
                <w:color w:val="0000FF"/>
                <w:sz w:val="18"/>
                <w:szCs w:val="18"/>
              </w:rPr>
            </w:pPr>
            <w:r w:rsidRPr="001E5F06">
              <w:rPr>
                <w:rFonts w:ascii="Arial" w:hAnsi="Arial" w:cs="Arial"/>
                <w:b/>
                <w:color w:val="0000FF"/>
                <w:sz w:val="18"/>
                <w:szCs w:val="18"/>
              </w:rPr>
              <w:t>78</w:t>
            </w:r>
          </w:p>
        </w:tc>
        <w:tc>
          <w:tcPr>
            <w:tcW w:w="571" w:type="pct"/>
            <w:tcBorders>
              <w:top w:val="single" w:sz="12" w:space="0" w:color="auto"/>
              <w:left w:val="nil"/>
              <w:bottom w:val="single" w:sz="12" w:space="0" w:color="auto"/>
              <w:right w:val="nil"/>
            </w:tcBorders>
            <w:shd w:val="clear" w:color="auto" w:fill="99CCFF"/>
            <w:vAlign w:val="bottom"/>
          </w:tcPr>
          <w:p w:rsidR="00132228" w:rsidRDefault="00F42B76" w:rsidP="00DE340C">
            <w:pPr>
              <w:spacing w:after="60"/>
              <w:jc w:val="center"/>
              <w:rPr>
                <w:rFonts w:ascii="Arial" w:hAnsi="Arial" w:cs="Arial"/>
                <w:b/>
                <w:color w:val="0000FF"/>
                <w:sz w:val="18"/>
                <w:szCs w:val="18"/>
              </w:rPr>
            </w:pPr>
            <w:r>
              <w:rPr>
                <w:rFonts w:ascii="Arial" w:hAnsi="Arial" w:cs="Arial"/>
                <w:b/>
                <w:color w:val="0000FF"/>
                <w:sz w:val="18"/>
                <w:szCs w:val="18"/>
              </w:rPr>
              <w:t>19</w:t>
            </w:r>
          </w:p>
        </w:tc>
        <w:tc>
          <w:tcPr>
            <w:tcW w:w="571" w:type="pct"/>
            <w:tcBorders>
              <w:top w:val="single" w:sz="12" w:space="0" w:color="auto"/>
              <w:left w:val="nil"/>
              <w:bottom w:val="single" w:sz="12" w:space="0" w:color="auto"/>
              <w:right w:val="nil"/>
            </w:tcBorders>
            <w:shd w:val="clear" w:color="auto" w:fill="auto"/>
            <w:vAlign w:val="bottom"/>
          </w:tcPr>
          <w:p w:rsidR="00132228" w:rsidRPr="001E5F06" w:rsidRDefault="001E5F06" w:rsidP="00DE340C">
            <w:pPr>
              <w:spacing w:after="60"/>
              <w:jc w:val="center"/>
              <w:rPr>
                <w:rFonts w:ascii="Arial" w:hAnsi="Arial" w:cs="Arial"/>
                <w:b/>
                <w:color w:val="0000FF"/>
                <w:sz w:val="18"/>
                <w:szCs w:val="18"/>
              </w:rPr>
            </w:pPr>
            <w:r w:rsidRPr="001E5F06">
              <w:rPr>
                <w:rFonts w:ascii="Arial" w:hAnsi="Arial" w:cs="Arial"/>
                <w:b/>
                <w:color w:val="0000FF"/>
                <w:sz w:val="18"/>
                <w:szCs w:val="18"/>
              </w:rPr>
              <w:t>24</w:t>
            </w:r>
          </w:p>
        </w:tc>
      </w:tr>
    </w:tbl>
    <w:p w:rsidR="00132228" w:rsidRDefault="00132228" w:rsidP="00132228">
      <w:pPr>
        <w:pStyle w:val="Blocks"/>
        <w:ind w:left="600" w:hanging="600"/>
        <w:rPr>
          <w:rFonts w:ascii="Arial" w:hAnsi="Arial" w:cs="Arial"/>
          <w:sz w:val="16"/>
          <w:szCs w:val="16"/>
        </w:rPr>
      </w:pPr>
    </w:p>
    <w:p w:rsidR="00132228" w:rsidRDefault="00132228" w:rsidP="00132228">
      <w:pPr>
        <w:pStyle w:val="Blocks"/>
        <w:ind w:left="600" w:hanging="600"/>
        <w:rPr>
          <w:rFonts w:ascii="Arial" w:hAnsi="Arial" w:cs="Arial"/>
          <w:sz w:val="16"/>
          <w:szCs w:val="16"/>
        </w:rPr>
      </w:pPr>
      <w:r w:rsidRPr="00840C86">
        <w:rPr>
          <w:rFonts w:ascii="Arial" w:hAnsi="Arial" w:cs="Arial"/>
          <w:sz w:val="16"/>
          <w:szCs w:val="16"/>
        </w:rPr>
        <w:t>1</w:t>
      </w:r>
      <w:r w:rsidRPr="00840C86">
        <w:rPr>
          <w:rFonts w:ascii="Arial" w:hAnsi="Arial" w:cs="Arial"/>
          <w:sz w:val="16"/>
          <w:szCs w:val="16"/>
        </w:rPr>
        <w:tab/>
      </w:r>
      <w:r w:rsidR="00F42B76">
        <w:rPr>
          <w:rFonts w:ascii="Arial" w:hAnsi="Arial" w:cs="Arial"/>
          <w:sz w:val="16"/>
          <w:szCs w:val="16"/>
        </w:rPr>
        <w:t>Includes 1 employee on maternity leave.</w:t>
      </w:r>
    </w:p>
    <w:p w:rsidR="00132228" w:rsidRDefault="00132228" w:rsidP="00132228">
      <w:pPr>
        <w:pStyle w:val="Blocks"/>
        <w:ind w:left="600" w:hanging="600"/>
        <w:rPr>
          <w:rFonts w:ascii="Arial" w:hAnsi="Arial" w:cs="Arial"/>
          <w:sz w:val="16"/>
          <w:szCs w:val="16"/>
        </w:rPr>
      </w:pPr>
      <w:r>
        <w:rPr>
          <w:rFonts w:ascii="Arial" w:hAnsi="Arial" w:cs="Arial"/>
          <w:sz w:val="16"/>
          <w:szCs w:val="16"/>
        </w:rPr>
        <w:t>2</w:t>
      </w:r>
      <w:r>
        <w:rPr>
          <w:rFonts w:ascii="Arial" w:hAnsi="Arial" w:cs="Arial"/>
          <w:sz w:val="16"/>
          <w:szCs w:val="16"/>
        </w:rPr>
        <w:tab/>
      </w:r>
      <w:r w:rsidR="00F42B76">
        <w:rPr>
          <w:rFonts w:ascii="Arial" w:hAnsi="Arial" w:cs="Arial"/>
          <w:sz w:val="16"/>
          <w:szCs w:val="16"/>
        </w:rPr>
        <w:t>Includes 1 employee on leave without pay.</w:t>
      </w:r>
    </w:p>
    <w:p w:rsidR="00132228" w:rsidRDefault="00132228" w:rsidP="00132228">
      <w:pPr>
        <w:pStyle w:val="Blocks"/>
        <w:ind w:left="600" w:hanging="600"/>
        <w:rPr>
          <w:rFonts w:ascii="Arial" w:hAnsi="Arial" w:cs="Arial"/>
          <w:sz w:val="16"/>
          <w:szCs w:val="16"/>
        </w:rPr>
      </w:pPr>
      <w:r>
        <w:rPr>
          <w:rFonts w:ascii="Arial" w:hAnsi="Arial" w:cs="Arial"/>
          <w:sz w:val="16"/>
          <w:szCs w:val="16"/>
        </w:rPr>
        <w:t>3</w:t>
      </w:r>
      <w:r>
        <w:rPr>
          <w:rFonts w:ascii="Arial" w:hAnsi="Arial" w:cs="Arial"/>
          <w:sz w:val="16"/>
          <w:szCs w:val="16"/>
        </w:rPr>
        <w:tab/>
      </w:r>
      <w:r w:rsidR="00F42B76">
        <w:rPr>
          <w:rFonts w:ascii="Arial" w:hAnsi="Arial" w:cs="Arial"/>
          <w:sz w:val="16"/>
          <w:szCs w:val="16"/>
        </w:rPr>
        <w:t>Includes 3 employees on temporary transfer, 2 employees on leave without pay and 1 employee on maternity leave.</w:t>
      </w:r>
    </w:p>
    <w:p w:rsidR="00132228" w:rsidRPr="006B45FC" w:rsidRDefault="00132228" w:rsidP="00132228">
      <w:pPr>
        <w:pStyle w:val="Blocks"/>
        <w:ind w:left="600" w:hanging="600"/>
        <w:rPr>
          <w:rFonts w:ascii="Arial" w:hAnsi="Arial" w:cs="Arial"/>
          <w:sz w:val="16"/>
          <w:szCs w:val="16"/>
        </w:rPr>
      </w:pPr>
      <w:r w:rsidRPr="006B45FC">
        <w:rPr>
          <w:rFonts w:ascii="Arial" w:hAnsi="Arial" w:cs="Arial"/>
          <w:sz w:val="16"/>
          <w:szCs w:val="16"/>
        </w:rPr>
        <w:t>4</w:t>
      </w:r>
      <w:r w:rsidRPr="006B45FC">
        <w:rPr>
          <w:rFonts w:ascii="Arial" w:hAnsi="Arial" w:cs="Arial"/>
          <w:sz w:val="16"/>
          <w:szCs w:val="16"/>
        </w:rPr>
        <w:tab/>
        <w:t xml:space="preserve">Includes </w:t>
      </w:r>
      <w:r w:rsidR="006B45FC" w:rsidRPr="006B45FC">
        <w:rPr>
          <w:rFonts w:ascii="Arial" w:hAnsi="Arial" w:cs="Arial"/>
          <w:sz w:val="16"/>
          <w:szCs w:val="16"/>
        </w:rPr>
        <w:t>1</w:t>
      </w:r>
      <w:r w:rsidRPr="006B45FC">
        <w:rPr>
          <w:rFonts w:ascii="Arial" w:hAnsi="Arial" w:cs="Arial"/>
          <w:sz w:val="16"/>
          <w:szCs w:val="16"/>
        </w:rPr>
        <w:t xml:space="preserve"> employee on leave without pay.</w:t>
      </w:r>
    </w:p>
    <w:p w:rsidR="00132228" w:rsidRPr="00F42B76" w:rsidRDefault="00132228" w:rsidP="00132228">
      <w:pPr>
        <w:pStyle w:val="Blocks"/>
        <w:ind w:left="600" w:hanging="600"/>
        <w:rPr>
          <w:rFonts w:ascii="Arial" w:hAnsi="Arial" w:cs="Arial"/>
          <w:sz w:val="16"/>
          <w:szCs w:val="16"/>
          <w:highlight w:val="yellow"/>
        </w:rPr>
      </w:pPr>
      <w:r w:rsidRPr="006B45FC">
        <w:rPr>
          <w:rFonts w:ascii="Arial" w:hAnsi="Arial" w:cs="Arial"/>
          <w:sz w:val="16"/>
          <w:szCs w:val="16"/>
        </w:rPr>
        <w:t>5</w:t>
      </w:r>
      <w:r w:rsidRPr="006B45FC">
        <w:rPr>
          <w:rFonts w:ascii="Arial" w:hAnsi="Arial" w:cs="Arial"/>
          <w:sz w:val="16"/>
          <w:szCs w:val="16"/>
        </w:rPr>
        <w:tab/>
        <w:t xml:space="preserve">Includes 1 </w:t>
      </w:r>
      <w:r w:rsidR="006B45FC" w:rsidRPr="006B45FC">
        <w:rPr>
          <w:rFonts w:ascii="Arial" w:hAnsi="Arial" w:cs="Arial"/>
          <w:sz w:val="16"/>
          <w:szCs w:val="16"/>
        </w:rPr>
        <w:t>employee on maternity leave</w:t>
      </w:r>
      <w:r w:rsidRPr="006B45FC">
        <w:rPr>
          <w:rFonts w:ascii="Arial" w:hAnsi="Arial" w:cs="Arial"/>
          <w:sz w:val="16"/>
          <w:szCs w:val="16"/>
        </w:rPr>
        <w:t>.</w:t>
      </w:r>
    </w:p>
    <w:p w:rsidR="00132228" w:rsidRPr="00912C80" w:rsidRDefault="00132228" w:rsidP="00132228">
      <w:pPr>
        <w:pStyle w:val="Blocks"/>
        <w:ind w:left="600" w:hanging="600"/>
        <w:rPr>
          <w:rFonts w:ascii="Arial" w:hAnsi="Arial" w:cs="Arial"/>
          <w:sz w:val="16"/>
          <w:szCs w:val="16"/>
        </w:rPr>
      </w:pPr>
      <w:r w:rsidRPr="00912C80">
        <w:rPr>
          <w:rFonts w:ascii="Arial" w:hAnsi="Arial" w:cs="Arial"/>
          <w:sz w:val="16"/>
          <w:szCs w:val="16"/>
        </w:rPr>
        <w:t>6</w:t>
      </w:r>
      <w:r w:rsidRPr="00912C80">
        <w:rPr>
          <w:rFonts w:ascii="Arial" w:hAnsi="Arial" w:cs="Arial"/>
          <w:sz w:val="16"/>
          <w:szCs w:val="16"/>
        </w:rPr>
        <w:tab/>
        <w:t xml:space="preserve">Includes </w:t>
      </w:r>
      <w:r w:rsidR="00912C80" w:rsidRPr="00912C80">
        <w:rPr>
          <w:rFonts w:ascii="Arial" w:hAnsi="Arial" w:cs="Arial"/>
          <w:sz w:val="16"/>
          <w:szCs w:val="16"/>
        </w:rPr>
        <w:t xml:space="preserve">3 employees on leave without pay and 2 employees on </w:t>
      </w:r>
      <w:r w:rsidRPr="00912C80">
        <w:rPr>
          <w:rFonts w:ascii="Arial" w:hAnsi="Arial" w:cs="Arial"/>
          <w:sz w:val="16"/>
          <w:szCs w:val="16"/>
        </w:rPr>
        <w:t>maternity leave.</w:t>
      </w:r>
    </w:p>
    <w:p w:rsidR="00132228" w:rsidRPr="00246266" w:rsidRDefault="00132228" w:rsidP="00132228">
      <w:pPr>
        <w:pStyle w:val="Head4"/>
      </w:pPr>
      <w:r w:rsidRPr="00583767">
        <w:t>Male and female employees as at 30 June 20</w:t>
      </w:r>
      <w:r w:rsidR="00F42B76">
        <w:t>16</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99"/>
        <w:gridCol w:w="834"/>
        <w:gridCol w:w="834"/>
        <w:gridCol w:w="834"/>
        <w:gridCol w:w="834"/>
        <w:gridCol w:w="834"/>
        <w:gridCol w:w="834"/>
      </w:tblGrid>
      <w:tr w:rsidR="00132228" w:rsidTr="00DE340C">
        <w:trPr>
          <w:cantSplit/>
          <w:tblHeader/>
        </w:trPr>
        <w:tc>
          <w:tcPr>
            <w:tcW w:w="1574" w:type="pct"/>
            <w:vMerge w:val="restart"/>
            <w:tcBorders>
              <w:top w:val="single" w:sz="12" w:space="0" w:color="auto"/>
              <w:left w:val="nil"/>
              <w:right w:val="nil"/>
            </w:tcBorders>
            <w:vAlign w:val="center"/>
          </w:tcPr>
          <w:p w:rsidR="00132228" w:rsidRDefault="00132228" w:rsidP="00DE340C">
            <w:pPr>
              <w:keepLines/>
              <w:rPr>
                <w:rFonts w:ascii="Arial" w:hAnsi="Arial" w:cs="Arial"/>
                <w:b/>
                <w:color w:val="0000FF"/>
                <w:sz w:val="20"/>
              </w:rPr>
            </w:pPr>
            <w:r>
              <w:rPr>
                <w:rFonts w:ascii="Arial" w:hAnsi="Arial" w:cs="Arial"/>
                <w:b/>
                <w:color w:val="0000FF"/>
                <w:sz w:val="20"/>
              </w:rPr>
              <w:t>Category</w:t>
            </w:r>
          </w:p>
        </w:tc>
        <w:tc>
          <w:tcPr>
            <w:tcW w:w="1142" w:type="pct"/>
            <w:gridSpan w:val="2"/>
            <w:tcBorders>
              <w:top w:val="single" w:sz="12" w:space="0" w:color="auto"/>
              <w:left w:val="nil"/>
              <w:bottom w:val="single" w:sz="4" w:space="0" w:color="auto"/>
              <w:right w:val="nil"/>
            </w:tcBorders>
          </w:tcPr>
          <w:p w:rsidR="00132228" w:rsidRDefault="00132228" w:rsidP="00DE340C">
            <w:pPr>
              <w:keepLines/>
              <w:jc w:val="center"/>
              <w:rPr>
                <w:rFonts w:ascii="Arial" w:hAnsi="Arial" w:cs="Arial"/>
                <w:b/>
                <w:color w:val="0000FF"/>
                <w:sz w:val="20"/>
              </w:rPr>
            </w:pPr>
            <w:r>
              <w:rPr>
                <w:rFonts w:ascii="Arial" w:hAnsi="Arial" w:cs="Arial"/>
                <w:b/>
                <w:color w:val="0000FF"/>
                <w:sz w:val="20"/>
              </w:rPr>
              <w:t>Total staff</w:t>
            </w:r>
          </w:p>
        </w:tc>
        <w:tc>
          <w:tcPr>
            <w:tcW w:w="1142" w:type="pct"/>
            <w:gridSpan w:val="2"/>
            <w:tcBorders>
              <w:top w:val="single" w:sz="12" w:space="0" w:color="auto"/>
              <w:left w:val="nil"/>
              <w:bottom w:val="nil"/>
              <w:right w:val="nil"/>
            </w:tcBorders>
            <w:shd w:val="clear" w:color="auto" w:fill="auto"/>
          </w:tcPr>
          <w:p w:rsidR="00132228" w:rsidRDefault="00132228" w:rsidP="00DE340C">
            <w:pPr>
              <w:keepLines/>
              <w:jc w:val="center"/>
              <w:rPr>
                <w:rFonts w:ascii="Arial" w:hAnsi="Arial" w:cs="Arial"/>
                <w:b/>
                <w:color w:val="0000FF"/>
                <w:sz w:val="20"/>
              </w:rPr>
            </w:pPr>
            <w:r>
              <w:rPr>
                <w:rFonts w:ascii="Arial" w:hAnsi="Arial" w:cs="Arial"/>
                <w:b/>
                <w:color w:val="0000FF"/>
                <w:sz w:val="20"/>
              </w:rPr>
              <w:t>Male</w:t>
            </w:r>
          </w:p>
        </w:tc>
        <w:tc>
          <w:tcPr>
            <w:tcW w:w="1142" w:type="pct"/>
            <w:gridSpan w:val="2"/>
            <w:tcBorders>
              <w:top w:val="single" w:sz="12" w:space="0" w:color="auto"/>
              <w:left w:val="nil"/>
              <w:bottom w:val="nil"/>
              <w:right w:val="nil"/>
            </w:tcBorders>
            <w:shd w:val="clear" w:color="auto" w:fill="auto"/>
          </w:tcPr>
          <w:p w:rsidR="00132228" w:rsidRDefault="00132228" w:rsidP="00DE340C">
            <w:pPr>
              <w:keepLines/>
              <w:jc w:val="center"/>
              <w:rPr>
                <w:rFonts w:ascii="Arial" w:hAnsi="Arial" w:cs="Arial"/>
                <w:b/>
                <w:color w:val="0000FF"/>
                <w:sz w:val="20"/>
              </w:rPr>
            </w:pPr>
            <w:r>
              <w:rPr>
                <w:rFonts w:ascii="Arial" w:hAnsi="Arial" w:cs="Arial"/>
                <w:b/>
                <w:color w:val="0000FF"/>
                <w:sz w:val="20"/>
              </w:rPr>
              <w:t>Female</w:t>
            </w:r>
          </w:p>
        </w:tc>
      </w:tr>
      <w:tr w:rsidR="00132228" w:rsidTr="00DE340C">
        <w:trPr>
          <w:cantSplit/>
          <w:tblHeader/>
        </w:trPr>
        <w:tc>
          <w:tcPr>
            <w:tcW w:w="1574" w:type="pct"/>
            <w:vMerge/>
            <w:tcBorders>
              <w:left w:val="nil"/>
              <w:bottom w:val="single" w:sz="12" w:space="0" w:color="auto"/>
              <w:right w:val="nil"/>
            </w:tcBorders>
            <w:vAlign w:val="center"/>
          </w:tcPr>
          <w:p w:rsidR="00132228" w:rsidRDefault="00132228" w:rsidP="00DE340C">
            <w:pPr>
              <w:keepLines/>
              <w:rPr>
                <w:rFonts w:ascii="Arial" w:hAnsi="Arial" w:cs="Arial"/>
                <w:b/>
                <w:color w:val="0000FF"/>
                <w:sz w:val="20"/>
              </w:rPr>
            </w:pPr>
          </w:p>
        </w:tc>
        <w:tc>
          <w:tcPr>
            <w:tcW w:w="571" w:type="pct"/>
            <w:tcBorders>
              <w:top w:val="single" w:sz="4" w:space="0" w:color="auto"/>
              <w:left w:val="nil"/>
              <w:bottom w:val="single" w:sz="12" w:space="0" w:color="auto"/>
              <w:right w:val="nil"/>
            </w:tcBorders>
            <w:shd w:val="clear" w:color="auto" w:fill="99CCFF"/>
          </w:tcPr>
          <w:p w:rsidR="00132228" w:rsidRDefault="00F42B76" w:rsidP="00DE340C">
            <w:pPr>
              <w:keepLines/>
              <w:jc w:val="center"/>
              <w:rPr>
                <w:rFonts w:ascii="Arial" w:hAnsi="Arial" w:cs="Arial"/>
                <w:b/>
                <w:color w:val="0000FF"/>
                <w:sz w:val="20"/>
              </w:rPr>
            </w:pPr>
            <w:r>
              <w:rPr>
                <w:rFonts w:ascii="Arial" w:hAnsi="Arial" w:cs="Arial"/>
                <w:b/>
                <w:color w:val="0000FF"/>
                <w:sz w:val="20"/>
              </w:rPr>
              <w:t>15</w:t>
            </w:r>
          </w:p>
        </w:tc>
        <w:tc>
          <w:tcPr>
            <w:tcW w:w="571" w:type="pct"/>
            <w:tcBorders>
              <w:top w:val="single" w:sz="4" w:space="0" w:color="auto"/>
              <w:left w:val="nil"/>
              <w:bottom w:val="single" w:sz="12" w:space="0" w:color="auto"/>
              <w:right w:val="nil"/>
            </w:tcBorders>
            <w:shd w:val="clear" w:color="auto" w:fill="auto"/>
          </w:tcPr>
          <w:p w:rsidR="00132228" w:rsidRDefault="00F42B76" w:rsidP="00DE340C">
            <w:pPr>
              <w:keepLines/>
              <w:jc w:val="center"/>
              <w:rPr>
                <w:rFonts w:ascii="Arial" w:hAnsi="Arial" w:cs="Arial"/>
                <w:b/>
                <w:color w:val="0000FF"/>
                <w:sz w:val="20"/>
              </w:rPr>
            </w:pPr>
            <w:r>
              <w:rPr>
                <w:rFonts w:ascii="Arial" w:hAnsi="Arial" w:cs="Arial"/>
                <w:b/>
                <w:color w:val="0000FF"/>
                <w:sz w:val="20"/>
              </w:rPr>
              <w:t>16</w:t>
            </w:r>
          </w:p>
        </w:tc>
        <w:tc>
          <w:tcPr>
            <w:tcW w:w="571" w:type="pct"/>
            <w:tcBorders>
              <w:top w:val="single" w:sz="4" w:space="0" w:color="auto"/>
              <w:left w:val="nil"/>
              <w:bottom w:val="single" w:sz="12" w:space="0" w:color="auto"/>
              <w:right w:val="nil"/>
            </w:tcBorders>
            <w:shd w:val="clear" w:color="auto" w:fill="99CCFF"/>
          </w:tcPr>
          <w:p w:rsidR="00132228" w:rsidRDefault="00F42B76" w:rsidP="00DE340C">
            <w:pPr>
              <w:keepLines/>
              <w:jc w:val="center"/>
              <w:rPr>
                <w:rFonts w:ascii="Arial" w:hAnsi="Arial" w:cs="Arial"/>
                <w:b/>
                <w:color w:val="0000FF"/>
                <w:sz w:val="20"/>
              </w:rPr>
            </w:pPr>
            <w:r>
              <w:rPr>
                <w:rFonts w:ascii="Arial" w:hAnsi="Arial" w:cs="Arial"/>
                <w:b/>
                <w:color w:val="0000FF"/>
                <w:sz w:val="20"/>
              </w:rPr>
              <w:t>15</w:t>
            </w:r>
          </w:p>
        </w:tc>
        <w:tc>
          <w:tcPr>
            <w:tcW w:w="571" w:type="pct"/>
            <w:tcBorders>
              <w:top w:val="single" w:sz="4" w:space="0" w:color="auto"/>
              <w:left w:val="nil"/>
              <w:bottom w:val="single" w:sz="12" w:space="0" w:color="auto"/>
              <w:right w:val="nil"/>
            </w:tcBorders>
            <w:shd w:val="clear" w:color="auto" w:fill="auto"/>
          </w:tcPr>
          <w:p w:rsidR="00132228" w:rsidRDefault="00F42B76" w:rsidP="00DE340C">
            <w:pPr>
              <w:keepLines/>
              <w:jc w:val="center"/>
              <w:rPr>
                <w:rFonts w:ascii="Arial" w:hAnsi="Arial" w:cs="Arial"/>
                <w:b/>
                <w:color w:val="0000FF"/>
                <w:sz w:val="20"/>
              </w:rPr>
            </w:pPr>
            <w:r>
              <w:rPr>
                <w:rFonts w:ascii="Arial" w:hAnsi="Arial" w:cs="Arial"/>
                <w:b/>
                <w:color w:val="0000FF"/>
                <w:sz w:val="20"/>
              </w:rPr>
              <w:t>16</w:t>
            </w:r>
          </w:p>
        </w:tc>
        <w:tc>
          <w:tcPr>
            <w:tcW w:w="571" w:type="pct"/>
            <w:tcBorders>
              <w:top w:val="single" w:sz="4" w:space="0" w:color="auto"/>
              <w:left w:val="nil"/>
              <w:bottom w:val="single" w:sz="12" w:space="0" w:color="auto"/>
              <w:right w:val="nil"/>
            </w:tcBorders>
            <w:shd w:val="clear" w:color="auto" w:fill="99CCFF"/>
          </w:tcPr>
          <w:p w:rsidR="00132228" w:rsidRDefault="00F42B76" w:rsidP="00DE340C">
            <w:pPr>
              <w:keepLines/>
              <w:jc w:val="center"/>
              <w:rPr>
                <w:rFonts w:ascii="Arial" w:hAnsi="Arial" w:cs="Arial"/>
                <w:b/>
                <w:color w:val="0000FF"/>
                <w:sz w:val="20"/>
              </w:rPr>
            </w:pPr>
            <w:r>
              <w:rPr>
                <w:rFonts w:ascii="Arial" w:hAnsi="Arial" w:cs="Arial"/>
                <w:b/>
                <w:color w:val="0000FF"/>
                <w:sz w:val="20"/>
              </w:rPr>
              <w:t>15</w:t>
            </w:r>
          </w:p>
        </w:tc>
        <w:tc>
          <w:tcPr>
            <w:tcW w:w="571" w:type="pct"/>
            <w:tcBorders>
              <w:top w:val="single" w:sz="4" w:space="0" w:color="auto"/>
              <w:left w:val="nil"/>
              <w:bottom w:val="single" w:sz="12" w:space="0" w:color="auto"/>
              <w:right w:val="nil"/>
            </w:tcBorders>
            <w:shd w:val="clear" w:color="auto" w:fill="auto"/>
          </w:tcPr>
          <w:p w:rsidR="00132228" w:rsidRDefault="00F42B76" w:rsidP="00DE340C">
            <w:pPr>
              <w:keepLines/>
              <w:jc w:val="center"/>
              <w:rPr>
                <w:rFonts w:ascii="Arial" w:hAnsi="Arial" w:cs="Arial"/>
                <w:b/>
                <w:color w:val="0000FF"/>
                <w:sz w:val="20"/>
              </w:rPr>
            </w:pPr>
            <w:r>
              <w:rPr>
                <w:rFonts w:ascii="Arial" w:hAnsi="Arial" w:cs="Arial"/>
                <w:b/>
                <w:color w:val="0000FF"/>
                <w:sz w:val="20"/>
              </w:rPr>
              <w:t>16</w:t>
            </w:r>
          </w:p>
        </w:tc>
      </w:tr>
      <w:tr w:rsidR="00132228" w:rsidTr="00DE340C">
        <w:trPr>
          <w:cantSplit/>
        </w:trPr>
        <w:tc>
          <w:tcPr>
            <w:tcW w:w="1574" w:type="pct"/>
            <w:tcBorders>
              <w:top w:val="single" w:sz="12"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Statutory office holders</w:t>
            </w:r>
            <w:r>
              <w:rPr>
                <w:rFonts w:ascii="Arial" w:hAnsi="Arial" w:cs="Arial"/>
                <w:color w:val="0000FF"/>
                <w:sz w:val="18"/>
                <w:szCs w:val="18"/>
              </w:rPr>
              <w:br/>
            </w: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12"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3</w:t>
            </w:r>
          </w:p>
          <w:p w:rsidR="00132228" w:rsidRPr="006B45FC" w:rsidRDefault="00132228" w:rsidP="00DE340C">
            <w:pPr>
              <w:keepLines/>
              <w:spacing w:before="60"/>
              <w:jc w:val="center"/>
              <w:rPr>
                <w:rFonts w:ascii="Arial" w:hAnsi="Arial" w:cs="Arial"/>
                <w:color w:val="0000FF"/>
                <w:sz w:val="18"/>
                <w:szCs w:val="18"/>
              </w:rPr>
            </w:pP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12"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1</w:t>
            </w: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1</w:t>
            </w:r>
          </w:p>
        </w:tc>
        <w:tc>
          <w:tcPr>
            <w:tcW w:w="571" w:type="pct"/>
            <w:tcBorders>
              <w:top w:val="single" w:sz="12"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Pr>
                <w:rFonts w:ascii="Arial" w:hAnsi="Arial" w:cs="Arial"/>
                <w:color w:val="0000FF"/>
                <w:sz w:val="18"/>
                <w:szCs w:val="18"/>
              </w:rPr>
              <w:t>2</w:t>
            </w:r>
          </w:p>
        </w:tc>
      </w:tr>
      <w:tr w:rsidR="00132228" w:rsidTr="00DE340C">
        <w:trPr>
          <w:cantSplit/>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SES Band 2</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5</w:t>
            </w:r>
          </w:p>
        </w:tc>
        <w:tc>
          <w:tcPr>
            <w:tcW w:w="571" w:type="pct"/>
            <w:tcBorders>
              <w:top w:val="single" w:sz="4"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4"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3</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132228"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1</w:t>
            </w:r>
          </w:p>
        </w:tc>
      </w:tr>
      <w:tr w:rsidR="006B45FC" w:rsidTr="00DE340C">
        <w:trPr>
          <w:cantSplit/>
        </w:trPr>
        <w:tc>
          <w:tcPr>
            <w:tcW w:w="1574" w:type="pct"/>
            <w:tcBorders>
              <w:top w:val="single" w:sz="4" w:space="0" w:color="auto"/>
              <w:left w:val="nil"/>
              <w:bottom w:val="single" w:sz="4" w:space="0" w:color="auto"/>
              <w:right w:val="nil"/>
            </w:tcBorders>
          </w:tcPr>
          <w:p w:rsidR="006B45FC" w:rsidRDefault="006B45FC" w:rsidP="00DE340C">
            <w:pPr>
              <w:keepLines/>
              <w:spacing w:before="60"/>
              <w:rPr>
                <w:rFonts w:ascii="Arial" w:hAnsi="Arial" w:cs="Arial"/>
                <w:color w:val="0000FF"/>
                <w:sz w:val="18"/>
                <w:szCs w:val="18"/>
              </w:rPr>
            </w:pPr>
            <w:r>
              <w:rPr>
                <w:rFonts w:ascii="Arial" w:hAnsi="Arial" w:cs="Arial"/>
                <w:color w:val="0000FF"/>
                <w:sz w:val="18"/>
                <w:szCs w:val="18"/>
              </w:rPr>
              <w:t>SES Band 1</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6B45FC" w:rsidRDefault="006B45FC" w:rsidP="00DE340C">
            <w:pPr>
              <w:keepLines/>
              <w:spacing w:before="60"/>
              <w:jc w:val="center"/>
              <w:rPr>
                <w:rFonts w:ascii="Arial" w:hAnsi="Arial" w:cs="Arial"/>
                <w:color w:val="0000FF"/>
                <w:sz w:val="18"/>
                <w:szCs w:val="18"/>
              </w:rPr>
            </w:pPr>
            <w:r>
              <w:rPr>
                <w:rFonts w:ascii="Arial" w:hAnsi="Arial" w:cs="Arial"/>
                <w:color w:val="0000FF"/>
                <w:sz w:val="18"/>
                <w:szCs w:val="18"/>
              </w:rPr>
              <w:t>18</w:t>
            </w:r>
          </w:p>
        </w:tc>
        <w:tc>
          <w:tcPr>
            <w:tcW w:w="571" w:type="pct"/>
            <w:tcBorders>
              <w:top w:val="single" w:sz="4" w:space="0" w:color="auto"/>
              <w:left w:val="nil"/>
              <w:bottom w:val="single" w:sz="4" w:space="0" w:color="auto"/>
              <w:right w:val="nil"/>
            </w:tcBorders>
            <w:shd w:val="clear" w:color="auto" w:fill="auto"/>
          </w:tcPr>
          <w:p w:rsidR="006B45FC" w:rsidRPr="006B45FC" w:rsidRDefault="006B45FC" w:rsidP="006B45FC">
            <w:pPr>
              <w:keepLines/>
              <w:spacing w:before="60"/>
              <w:jc w:val="center"/>
              <w:rPr>
                <w:rFonts w:ascii="Arial" w:hAnsi="Arial" w:cs="Arial"/>
                <w:color w:val="0000FF"/>
                <w:sz w:val="18"/>
                <w:szCs w:val="18"/>
              </w:rPr>
            </w:pPr>
            <w:r w:rsidRPr="006B45FC">
              <w:rPr>
                <w:rFonts w:ascii="Arial" w:hAnsi="Arial" w:cs="Arial"/>
                <w:color w:val="0000FF"/>
                <w:sz w:val="18"/>
                <w:szCs w:val="18"/>
              </w:rPr>
              <w:t>18</w:t>
            </w:r>
            <w:r w:rsidRPr="006B45FC">
              <w:rPr>
                <w:rFonts w:ascii="Arial" w:hAnsi="Arial" w:cs="Arial"/>
                <w:color w:val="0000FF"/>
                <w:sz w:val="18"/>
                <w:szCs w:val="18"/>
                <w:vertAlign w:val="superscript"/>
              </w:rPr>
              <w:t>4</w:t>
            </w:r>
          </w:p>
        </w:tc>
        <w:tc>
          <w:tcPr>
            <w:tcW w:w="571" w:type="pct"/>
            <w:tcBorders>
              <w:top w:val="single" w:sz="4" w:space="0" w:color="auto"/>
              <w:left w:val="nil"/>
              <w:bottom w:val="single" w:sz="4" w:space="0" w:color="auto"/>
              <w:right w:val="nil"/>
            </w:tcBorders>
            <w:shd w:val="clear" w:color="auto" w:fill="99CCFF"/>
          </w:tcPr>
          <w:p w:rsidR="006B45FC" w:rsidRDefault="006B45FC"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auto"/>
          </w:tcPr>
          <w:p w:rsidR="006B45FC"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99CCFF"/>
          </w:tcPr>
          <w:p w:rsidR="006B45FC" w:rsidRDefault="006B45FC" w:rsidP="00DE340C">
            <w:pPr>
              <w:keepLines/>
              <w:spacing w:before="60"/>
              <w:jc w:val="center"/>
              <w:rPr>
                <w:rFonts w:ascii="Arial" w:hAnsi="Arial" w:cs="Arial"/>
                <w:color w:val="0000FF"/>
                <w:sz w:val="18"/>
                <w:szCs w:val="18"/>
              </w:rPr>
            </w:pPr>
            <w:r>
              <w:rPr>
                <w:rFonts w:ascii="Arial" w:hAnsi="Arial" w:cs="Arial"/>
                <w:color w:val="0000FF"/>
                <w:sz w:val="18"/>
                <w:szCs w:val="18"/>
              </w:rPr>
              <w:t>14</w:t>
            </w:r>
          </w:p>
        </w:tc>
        <w:tc>
          <w:tcPr>
            <w:tcW w:w="571" w:type="pct"/>
            <w:tcBorders>
              <w:top w:val="single" w:sz="4" w:space="0" w:color="auto"/>
              <w:left w:val="nil"/>
              <w:bottom w:val="single" w:sz="4" w:space="0" w:color="auto"/>
              <w:right w:val="nil"/>
            </w:tcBorders>
            <w:shd w:val="clear" w:color="auto" w:fill="auto"/>
          </w:tcPr>
          <w:p w:rsidR="006B45FC" w:rsidRPr="006B45FC" w:rsidRDefault="006B45FC" w:rsidP="00DE340C">
            <w:pPr>
              <w:keepLines/>
              <w:spacing w:before="60"/>
              <w:jc w:val="center"/>
              <w:rPr>
                <w:rFonts w:ascii="Arial" w:hAnsi="Arial" w:cs="Arial"/>
                <w:color w:val="0000FF"/>
                <w:sz w:val="18"/>
                <w:szCs w:val="18"/>
              </w:rPr>
            </w:pPr>
            <w:r w:rsidRPr="006B45FC">
              <w:rPr>
                <w:rFonts w:ascii="Arial" w:hAnsi="Arial" w:cs="Arial"/>
                <w:color w:val="0000FF"/>
                <w:sz w:val="18"/>
                <w:szCs w:val="18"/>
              </w:rPr>
              <w:t>14</w:t>
            </w:r>
          </w:p>
        </w:tc>
      </w:tr>
      <w:tr w:rsidR="00F42B76" w:rsidTr="00DE340C">
        <w:trPr>
          <w:cantSplit/>
        </w:trPr>
        <w:tc>
          <w:tcPr>
            <w:tcW w:w="1574" w:type="pct"/>
            <w:tcBorders>
              <w:top w:val="single" w:sz="4" w:space="0" w:color="auto"/>
              <w:left w:val="nil"/>
              <w:bottom w:val="single" w:sz="4" w:space="0" w:color="auto"/>
              <w:right w:val="nil"/>
            </w:tcBorders>
          </w:tcPr>
          <w:p w:rsidR="00F42B76" w:rsidRDefault="00F42B76"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3</w:t>
            </w:r>
          </w:p>
        </w:tc>
        <w:tc>
          <w:tcPr>
            <w:tcW w:w="571" w:type="pct"/>
            <w:tcBorders>
              <w:top w:val="single" w:sz="4" w:space="0" w:color="auto"/>
              <w:left w:val="nil"/>
              <w:bottom w:val="single" w:sz="4" w:space="0" w:color="auto"/>
              <w:right w:val="nil"/>
            </w:tcBorders>
            <w:shd w:val="clear" w:color="auto" w:fill="99CCFF"/>
          </w:tcPr>
          <w:p w:rsidR="00F42B76" w:rsidRDefault="00F42B76" w:rsidP="00BF3B3C">
            <w:pPr>
              <w:keepLines/>
              <w:spacing w:before="60"/>
              <w:jc w:val="center"/>
              <w:rPr>
                <w:rFonts w:ascii="Arial" w:hAnsi="Arial" w:cs="Arial"/>
                <w:color w:val="0000FF"/>
                <w:sz w:val="18"/>
                <w:szCs w:val="18"/>
              </w:rPr>
            </w:pPr>
            <w:r>
              <w:rPr>
                <w:rFonts w:ascii="Arial" w:hAnsi="Arial" w:cs="Arial"/>
                <w:color w:val="0000FF"/>
                <w:sz w:val="18"/>
                <w:szCs w:val="18"/>
              </w:rPr>
              <w:t>15</w:t>
            </w:r>
            <w:r>
              <w:rPr>
                <w:rFonts w:ascii="Arial" w:hAnsi="Arial" w:cs="Arial"/>
                <w:color w:val="0000FF"/>
                <w:sz w:val="18"/>
                <w:szCs w:val="18"/>
                <w:vertAlign w:val="superscript"/>
              </w:rPr>
              <w:t>1</w:t>
            </w:r>
          </w:p>
        </w:tc>
        <w:tc>
          <w:tcPr>
            <w:tcW w:w="571" w:type="pct"/>
            <w:tcBorders>
              <w:top w:val="single" w:sz="4" w:space="0" w:color="auto"/>
              <w:left w:val="nil"/>
              <w:bottom w:val="single" w:sz="4" w:space="0" w:color="auto"/>
              <w:right w:val="nil"/>
            </w:tcBorders>
            <w:shd w:val="clear" w:color="auto" w:fill="auto"/>
          </w:tcPr>
          <w:p w:rsidR="00F42B76" w:rsidRPr="001E5F06" w:rsidRDefault="00F42B7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15</w:t>
            </w:r>
            <w:r w:rsidRPr="001E5F06">
              <w:rPr>
                <w:rFonts w:ascii="Arial" w:hAnsi="Arial" w:cs="Arial"/>
                <w:color w:val="0000FF"/>
                <w:sz w:val="18"/>
                <w:szCs w:val="18"/>
                <w:vertAlign w:val="superscript"/>
              </w:rPr>
              <w:t>5</w:t>
            </w:r>
          </w:p>
        </w:tc>
        <w:tc>
          <w:tcPr>
            <w:tcW w:w="571" w:type="pct"/>
            <w:tcBorders>
              <w:top w:val="single" w:sz="4" w:space="0" w:color="auto"/>
              <w:left w:val="nil"/>
              <w:bottom w:val="single" w:sz="4" w:space="0" w:color="auto"/>
              <w:right w:val="nil"/>
            </w:tcBorders>
            <w:shd w:val="clear" w:color="auto" w:fill="99CCFF"/>
          </w:tcPr>
          <w:p w:rsidR="00F42B76"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auto"/>
          </w:tcPr>
          <w:p w:rsidR="00F42B76"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9</w:t>
            </w:r>
          </w:p>
        </w:tc>
        <w:tc>
          <w:tcPr>
            <w:tcW w:w="571" w:type="pct"/>
            <w:tcBorders>
              <w:top w:val="single" w:sz="4" w:space="0" w:color="auto"/>
              <w:left w:val="nil"/>
              <w:bottom w:val="single" w:sz="4" w:space="0" w:color="auto"/>
              <w:right w:val="nil"/>
            </w:tcBorders>
            <w:shd w:val="clear" w:color="auto" w:fill="99CCFF"/>
          </w:tcPr>
          <w:p w:rsidR="00F42B76"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auto"/>
          </w:tcPr>
          <w:p w:rsidR="00F42B76"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6</w:t>
            </w:r>
          </w:p>
        </w:tc>
      </w:tr>
      <w:tr w:rsidR="00F42B76" w:rsidTr="00DE340C">
        <w:trPr>
          <w:cantSplit/>
        </w:trPr>
        <w:tc>
          <w:tcPr>
            <w:tcW w:w="1574" w:type="pct"/>
            <w:tcBorders>
              <w:top w:val="single" w:sz="4" w:space="0" w:color="auto"/>
              <w:left w:val="nil"/>
              <w:bottom w:val="single" w:sz="4" w:space="0" w:color="auto"/>
              <w:right w:val="nil"/>
            </w:tcBorders>
          </w:tcPr>
          <w:p w:rsidR="00F42B76" w:rsidRDefault="00F42B76"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2</w:t>
            </w:r>
          </w:p>
        </w:tc>
        <w:tc>
          <w:tcPr>
            <w:tcW w:w="571" w:type="pct"/>
            <w:tcBorders>
              <w:top w:val="single" w:sz="4" w:space="0" w:color="auto"/>
              <w:left w:val="nil"/>
              <w:bottom w:val="single" w:sz="4" w:space="0" w:color="auto"/>
              <w:right w:val="nil"/>
            </w:tcBorders>
            <w:shd w:val="clear" w:color="auto" w:fill="99CCFF"/>
          </w:tcPr>
          <w:p w:rsidR="00F42B76" w:rsidRDefault="00F42B76" w:rsidP="00BF3B3C">
            <w:pPr>
              <w:keepLines/>
              <w:spacing w:before="60"/>
              <w:jc w:val="center"/>
              <w:rPr>
                <w:rFonts w:ascii="Arial" w:hAnsi="Arial" w:cs="Arial"/>
                <w:color w:val="0000FF"/>
                <w:sz w:val="18"/>
                <w:szCs w:val="18"/>
              </w:rPr>
            </w:pPr>
            <w:r>
              <w:rPr>
                <w:rFonts w:ascii="Arial" w:hAnsi="Arial" w:cs="Arial"/>
                <w:color w:val="0000FF"/>
                <w:sz w:val="18"/>
                <w:szCs w:val="18"/>
              </w:rPr>
              <w:t>4</w:t>
            </w:r>
            <w:r>
              <w:rPr>
                <w:rFonts w:ascii="Arial" w:hAnsi="Arial" w:cs="Arial"/>
                <w:color w:val="0000FF"/>
                <w:sz w:val="18"/>
                <w:szCs w:val="18"/>
                <w:vertAlign w:val="superscript"/>
              </w:rPr>
              <w:t>2</w:t>
            </w:r>
          </w:p>
        </w:tc>
        <w:tc>
          <w:tcPr>
            <w:tcW w:w="571" w:type="pct"/>
            <w:tcBorders>
              <w:top w:val="single" w:sz="4" w:space="0" w:color="auto"/>
              <w:left w:val="nil"/>
              <w:bottom w:val="single" w:sz="4" w:space="0" w:color="auto"/>
              <w:right w:val="nil"/>
            </w:tcBorders>
            <w:shd w:val="clear" w:color="auto" w:fill="auto"/>
          </w:tcPr>
          <w:p w:rsidR="00F42B76"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99CCFF"/>
          </w:tcPr>
          <w:p w:rsidR="00F42B76"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F42B76" w:rsidRPr="001E5F06" w:rsidRDefault="001E5F06"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99CCFF"/>
          </w:tcPr>
          <w:p w:rsidR="00F42B76"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F42B76" w:rsidRPr="001E5F06" w:rsidRDefault="001E5F06" w:rsidP="00DE340C">
            <w:pPr>
              <w:keepLines/>
              <w:spacing w:before="60"/>
              <w:jc w:val="center"/>
              <w:rPr>
                <w:rFonts w:ascii="Arial" w:hAnsi="Arial" w:cs="Arial"/>
                <w:color w:val="0000FF"/>
                <w:sz w:val="18"/>
                <w:szCs w:val="18"/>
              </w:rPr>
            </w:pPr>
            <w:r>
              <w:rPr>
                <w:rFonts w:ascii="Arial" w:hAnsi="Arial" w:cs="Arial"/>
                <w:color w:val="0000FF"/>
                <w:sz w:val="18"/>
                <w:szCs w:val="18"/>
              </w:rPr>
              <w:t>2</w:t>
            </w:r>
          </w:p>
        </w:tc>
      </w:tr>
      <w:tr w:rsidR="00132228" w:rsidTr="00DE340C">
        <w:trPr>
          <w:cantSplit/>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1</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1</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1</w:t>
            </w:r>
          </w:p>
        </w:tc>
      </w:tr>
      <w:tr w:rsidR="00132228" w:rsidTr="00DE340C">
        <w:trPr>
          <w:cantSplit/>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Executive Level 2</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r>
      <w:tr w:rsidR="00132228" w:rsidTr="00DE340C">
        <w:trPr>
          <w:cantSplit/>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Executive Level 1</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5</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r>
      <w:tr w:rsidR="00F42B76" w:rsidTr="00DE340C">
        <w:trPr>
          <w:cantSplit/>
        </w:trPr>
        <w:tc>
          <w:tcPr>
            <w:tcW w:w="1574" w:type="pct"/>
            <w:tcBorders>
              <w:top w:val="single" w:sz="4" w:space="0" w:color="auto"/>
              <w:left w:val="nil"/>
              <w:bottom w:val="single" w:sz="4" w:space="0" w:color="auto"/>
              <w:right w:val="nil"/>
            </w:tcBorders>
          </w:tcPr>
          <w:p w:rsidR="00F42B76" w:rsidRDefault="00F42B76" w:rsidP="00DE340C">
            <w:pPr>
              <w:keepLines/>
              <w:spacing w:before="60"/>
              <w:rPr>
                <w:rFonts w:ascii="Arial" w:hAnsi="Arial" w:cs="Arial"/>
                <w:color w:val="0000FF"/>
                <w:sz w:val="18"/>
                <w:szCs w:val="18"/>
              </w:rPr>
            </w:pPr>
            <w:r>
              <w:rPr>
                <w:rFonts w:ascii="Arial" w:hAnsi="Arial" w:cs="Arial"/>
                <w:color w:val="0000FF"/>
                <w:sz w:val="18"/>
                <w:szCs w:val="18"/>
              </w:rPr>
              <w:t xml:space="preserve">OPC Broadband B </w:t>
            </w:r>
          </w:p>
          <w:p w:rsidR="00F42B76" w:rsidRDefault="00F42B76" w:rsidP="00DE340C">
            <w:pPr>
              <w:keepLines/>
              <w:spacing w:before="60"/>
              <w:rPr>
                <w:rFonts w:ascii="Arial" w:hAnsi="Arial" w:cs="Arial"/>
                <w:color w:val="0000FF"/>
                <w:sz w:val="18"/>
                <w:szCs w:val="18"/>
              </w:rPr>
            </w:pPr>
            <w:r>
              <w:rPr>
                <w:rFonts w:ascii="Arial" w:hAnsi="Arial" w:cs="Arial"/>
                <w:color w:val="0000FF"/>
                <w:sz w:val="18"/>
                <w:szCs w:val="18"/>
              </w:rPr>
              <w:t>(APS 4 - 6)</w:t>
            </w:r>
          </w:p>
        </w:tc>
        <w:tc>
          <w:tcPr>
            <w:tcW w:w="571" w:type="pct"/>
            <w:tcBorders>
              <w:top w:val="single" w:sz="4" w:space="0" w:color="auto"/>
              <w:left w:val="nil"/>
              <w:bottom w:val="single" w:sz="4" w:space="0" w:color="auto"/>
              <w:right w:val="nil"/>
            </w:tcBorders>
            <w:shd w:val="clear" w:color="auto" w:fill="99CCFF"/>
          </w:tcPr>
          <w:p w:rsidR="00F42B76" w:rsidRDefault="00F42B76" w:rsidP="00BF3B3C">
            <w:pPr>
              <w:keepLines/>
              <w:spacing w:before="60"/>
              <w:jc w:val="center"/>
              <w:rPr>
                <w:rFonts w:ascii="Arial" w:hAnsi="Arial" w:cs="Arial"/>
                <w:color w:val="0000FF"/>
                <w:sz w:val="18"/>
                <w:szCs w:val="18"/>
              </w:rPr>
            </w:pPr>
            <w:r>
              <w:rPr>
                <w:rFonts w:ascii="Arial" w:hAnsi="Arial" w:cs="Arial"/>
                <w:color w:val="0000FF"/>
                <w:sz w:val="18"/>
                <w:szCs w:val="18"/>
              </w:rPr>
              <w:t>42</w:t>
            </w:r>
            <w:r>
              <w:rPr>
                <w:rFonts w:ascii="Arial" w:hAnsi="Arial" w:cs="Arial"/>
                <w:color w:val="0000FF"/>
                <w:sz w:val="18"/>
                <w:szCs w:val="18"/>
                <w:vertAlign w:val="superscript"/>
              </w:rPr>
              <w:t>3</w:t>
            </w:r>
          </w:p>
        </w:tc>
        <w:tc>
          <w:tcPr>
            <w:tcW w:w="571" w:type="pct"/>
            <w:tcBorders>
              <w:top w:val="single" w:sz="4" w:space="0" w:color="auto"/>
              <w:left w:val="nil"/>
              <w:bottom w:val="single" w:sz="4" w:space="0" w:color="auto"/>
              <w:right w:val="nil"/>
            </w:tcBorders>
            <w:shd w:val="clear" w:color="auto" w:fill="auto"/>
          </w:tcPr>
          <w:p w:rsidR="00F42B76" w:rsidRPr="005B58C1" w:rsidRDefault="005B58C1" w:rsidP="005B58C1">
            <w:pPr>
              <w:keepLines/>
              <w:spacing w:before="60"/>
              <w:jc w:val="center"/>
              <w:rPr>
                <w:rFonts w:ascii="Arial" w:hAnsi="Arial" w:cs="Arial"/>
                <w:color w:val="0000FF"/>
                <w:sz w:val="18"/>
                <w:szCs w:val="18"/>
              </w:rPr>
            </w:pPr>
            <w:r w:rsidRPr="005B58C1">
              <w:rPr>
                <w:rFonts w:ascii="Arial" w:hAnsi="Arial" w:cs="Arial"/>
                <w:color w:val="0000FF"/>
                <w:sz w:val="18"/>
                <w:szCs w:val="18"/>
              </w:rPr>
              <w:t>43</w:t>
            </w:r>
            <w:r w:rsidRPr="005B58C1">
              <w:rPr>
                <w:rFonts w:ascii="Arial" w:hAnsi="Arial" w:cs="Arial"/>
                <w:color w:val="0000FF"/>
                <w:sz w:val="18"/>
                <w:szCs w:val="18"/>
                <w:vertAlign w:val="superscript"/>
              </w:rPr>
              <w:t>6</w:t>
            </w:r>
          </w:p>
        </w:tc>
        <w:tc>
          <w:tcPr>
            <w:tcW w:w="571" w:type="pct"/>
            <w:tcBorders>
              <w:top w:val="single" w:sz="4" w:space="0" w:color="auto"/>
              <w:left w:val="nil"/>
              <w:bottom w:val="single" w:sz="4" w:space="0" w:color="auto"/>
              <w:right w:val="nil"/>
            </w:tcBorders>
            <w:shd w:val="clear" w:color="auto" w:fill="99CCFF"/>
          </w:tcPr>
          <w:p w:rsidR="00F42B76"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11</w:t>
            </w:r>
          </w:p>
        </w:tc>
        <w:tc>
          <w:tcPr>
            <w:tcW w:w="571" w:type="pct"/>
            <w:tcBorders>
              <w:top w:val="single" w:sz="4" w:space="0" w:color="auto"/>
              <w:left w:val="nil"/>
              <w:bottom w:val="single" w:sz="4" w:space="0" w:color="auto"/>
              <w:right w:val="nil"/>
            </w:tcBorders>
            <w:shd w:val="clear" w:color="auto" w:fill="auto"/>
          </w:tcPr>
          <w:p w:rsidR="00F42B76" w:rsidRPr="005B58C1" w:rsidRDefault="005B58C1" w:rsidP="00DE340C">
            <w:pPr>
              <w:keepLines/>
              <w:spacing w:before="60"/>
              <w:jc w:val="center"/>
              <w:rPr>
                <w:rFonts w:ascii="Arial" w:hAnsi="Arial" w:cs="Arial"/>
                <w:color w:val="0000FF"/>
                <w:sz w:val="18"/>
                <w:szCs w:val="18"/>
              </w:rPr>
            </w:pPr>
            <w:r w:rsidRPr="005B58C1">
              <w:rPr>
                <w:rFonts w:ascii="Arial" w:hAnsi="Arial" w:cs="Arial"/>
                <w:color w:val="0000FF"/>
                <w:sz w:val="18"/>
                <w:szCs w:val="18"/>
              </w:rPr>
              <w:t>9</w:t>
            </w:r>
          </w:p>
        </w:tc>
        <w:tc>
          <w:tcPr>
            <w:tcW w:w="571" w:type="pct"/>
            <w:tcBorders>
              <w:top w:val="single" w:sz="4" w:space="0" w:color="auto"/>
              <w:left w:val="nil"/>
              <w:bottom w:val="single" w:sz="4" w:space="0" w:color="auto"/>
              <w:right w:val="nil"/>
            </w:tcBorders>
            <w:shd w:val="clear" w:color="auto" w:fill="99CCFF"/>
          </w:tcPr>
          <w:p w:rsidR="00F42B76"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31</w:t>
            </w:r>
          </w:p>
        </w:tc>
        <w:tc>
          <w:tcPr>
            <w:tcW w:w="571" w:type="pct"/>
            <w:tcBorders>
              <w:top w:val="single" w:sz="4" w:space="0" w:color="auto"/>
              <w:left w:val="nil"/>
              <w:bottom w:val="single" w:sz="4" w:space="0" w:color="auto"/>
              <w:right w:val="nil"/>
            </w:tcBorders>
            <w:shd w:val="clear" w:color="auto" w:fill="auto"/>
          </w:tcPr>
          <w:p w:rsidR="00F42B76" w:rsidRPr="005B58C1" w:rsidRDefault="005B58C1" w:rsidP="00DE340C">
            <w:pPr>
              <w:keepLines/>
              <w:spacing w:before="60"/>
              <w:jc w:val="center"/>
              <w:rPr>
                <w:rFonts w:ascii="Arial" w:hAnsi="Arial" w:cs="Arial"/>
                <w:color w:val="0000FF"/>
                <w:sz w:val="18"/>
                <w:szCs w:val="18"/>
              </w:rPr>
            </w:pPr>
            <w:r w:rsidRPr="005B58C1">
              <w:rPr>
                <w:rFonts w:ascii="Arial" w:hAnsi="Arial" w:cs="Arial"/>
                <w:color w:val="0000FF"/>
                <w:sz w:val="18"/>
                <w:szCs w:val="18"/>
              </w:rPr>
              <w:t>34</w:t>
            </w:r>
          </w:p>
        </w:tc>
      </w:tr>
      <w:tr w:rsidR="00132228" w:rsidTr="00DE340C">
        <w:trPr>
          <w:cantSplit/>
        </w:trPr>
        <w:tc>
          <w:tcPr>
            <w:tcW w:w="1574" w:type="pct"/>
            <w:tcBorders>
              <w:top w:val="single" w:sz="4" w:space="0" w:color="auto"/>
              <w:left w:val="nil"/>
              <w:bottom w:val="single" w:sz="12"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OPC Broadband A</w:t>
            </w:r>
          </w:p>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(APS 1 - 3)</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5B58C1" w:rsidRDefault="00132228" w:rsidP="00DE340C">
            <w:pPr>
              <w:keepLines/>
              <w:spacing w:before="60"/>
              <w:jc w:val="center"/>
              <w:rPr>
                <w:rFonts w:ascii="Arial" w:hAnsi="Arial" w:cs="Arial"/>
                <w:color w:val="0000FF"/>
                <w:sz w:val="18"/>
                <w:szCs w:val="18"/>
              </w:rPr>
            </w:pPr>
            <w:r w:rsidRPr="005B58C1">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5B58C1" w:rsidRDefault="00132228" w:rsidP="00DE340C">
            <w:pPr>
              <w:keepLines/>
              <w:spacing w:before="60"/>
              <w:jc w:val="center"/>
              <w:rPr>
                <w:rFonts w:ascii="Arial" w:hAnsi="Arial" w:cs="Arial"/>
                <w:color w:val="0000FF"/>
                <w:sz w:val="18"/>
                <w:szCs w:val="18"/>
              </w:rPr>
            </w:pPr>
            <w:r w:rsidRPr="005B58C1">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5B58C1" w:rsidRDefault="00132228" w:rsidP="00DE340C">
            <w:pPr>
              <w:keepLines/>
              <w:spacing w:before="60"/>
              <w:jc w:val="center"/>
              <w:rPr>
                <w:rFonts w:ascii="Arial" w:hAnsi="Arial" w:cs="Arial"/>
                <w:color w:val="0000FF"/>
                <w:sz w:val="18"/>
                <w:szCs w:val="18"/>
              </w:rPr>
            </w:pPr>
            <w:r w:rsidRPr="005B58C1">
              <w:rPr>
                <w:rFonts w:ascii="Arial" w:hAnsi="Arial" w:cs="Arial"/>
                <w:color w:val="0000FF"/>
                <w:sz w:val="18"/>
                <w:szCs w:val="18"/>
              </w:rPr>
              <w:t>0</w:t>
            </w:r>
          </w:p>
        </w:tc>
      </w:tr>
      <w:tr w:rsidR="00132228" w:rsidTr="00DE340C">
        <w:trPr>
          <w:cantSplit/>
        </w:trPr>
        <w:tc>
          <w:tcPr>
            <w:tcW w:w="1574" w:type="pct"/>
            <w:tcBorders>
              <w:top w:val="single" w:sz="12" w:space="0" w:color="auto"/>
              <w:left w:val="nil"/>
              <w:bottom w:val="single" w:sz="12" w:space="0" w:color="auto"/>
              <w:right w:val="nil"/>
            </w:tcBorders>
          </w:tcPr>
          <w:p w:rsidR="00132228" w:rsidRDefault="006E227F" w:rsidP="00DE340C">
            <w:pPr>
              <w:spacing w:after="60"/>
              <w:rPr>
                <w:rFonts w:ascii="Arial" w:hAnsi="Arial" w:cs="Arial"/>
                <w:b/>
                <w:color w:val="0000FF"/>
                <w:sz w:val="18"/>
                <w:szCs w:val="18"/>
              </w:rPr>
            </w:pPr>
            <w:r>
              <w:rPr>
                <w:rFonts w:ascii="Arial" w:hAnsi="Arial" w:cs="Arial"/>
                <w:b/>
                <w:color w:val="0000FF"/>
                <w:sz w:val="18"/>
                <w:szCs w:val="18"/>
              </w:rPr>
              <w:t>Totals</w:t>
            </w:r>
          </w:p>
        </w:tc>
        <w:tc>
          <w:tcPr>
            <w:tcW w:w="571" w:type="pct"/>
            <w:tcBorders>
              <w:top w:val="single" w:sz="12" w:space="0" w:color="auto"/>
              <w:left w:val="nil"/>
              <w:bottom w:val="single" w:sz="12" w:space="0" w:color="auto"/>
              <w:right w:val="nil"/>
            </w:tcBorders>
            <w:shd w:val="clear" w:color="auto" w:fill="99CCFF"/>
            <w:vAlign w:val="bottom"/>
          </w:tcPr>
          <w:p w:rsidR="00132228" w:rsidRDefault="00F42B76" w:rsidP="00DE340C">
            <w:pPr>
              <w:spacing w:after="60"/>
              <w:jc w:val="center"/>
              <w:rPr>
                <w:rFonts w:ascii="Arial" w:hAnsi="Arial" w:cs="Arial"/>
                <w:b/>
                <w:color w:val="0000FF"/>
                <w:sz w:val="18"/>
                <w:szCs w:val="18"/>
              </w:rPr>
            </w:pPr>
            <w:r>
              <w:rPr>
                <w:rFonts w:ascii="Arial" w:hAnsi="Arial" w:cs="Arial"/>
                <w:b/>
                <w:color w:val="0000FF"/>
                <w:sz w:val="18"/>
                <w:szCs w:val="18"/>
              </w:rPr>
              <w:t>99</w:t>
            </w:r>
          </w:p>
        </w:tc>
        <w:tc>
          <w:tcPr>
            <w:tcW w:w="571" w:type="pct"/>
            <w:tcBorders>
              <w:top w:val="single" w:sz="12" w:space="0" w:color="auto"/>
              <w:left w:val="nil"/>
              <w:bottom w:val="single" w:sz="12" w:space="0" w:color="auto"/>
              <w:right w:val="nil"/>
            </w:tcBorders>
            <w:shd w:val="clear" w:color="auto" w:fill="auto"/>
            <w:vAlign w:val="bottom"/>
          </w:tcPr>
          <w:p w:rsidR="00132228" w:rsidRPr="005B58C1" w:rsidRDefault="005B58C1" w:rsidP="00DE340C">
            <w:pPr>
              <w:spacing w:after="60"/>
              <w:jc w:val="center"/>
              <w:rPr>
                <w:rFonts w:ascii="Arial" w:hAnsi="Arial" w:cs="Arial"/>
                <w:b/>
                <w:color w:val="0000FF"/>
                <w:sz w:val="18"/>
                <w:szCs w:val="18"/>
              </w:rPr>
            </w:pPr>
            <w:r w:rsidRPr="005B58C1">
              <w:rPr>
                <w:rFonts w:ascii="Arial" w:hAnsi="Arial" w:cs="Arial"/>
                <w:b/>
                <w:color w:val="0000FF"/>
                <w:sz w:val="18"/>
                <w:szCs w:val="18"/>
              </w:rPr>
              <w:t>102</w:t>
            </w:r>
          </w:p>
        </w:tc>
        <w:tc>
          <w:tcPr>
            <w:tcW w:w="571" w:type="pct"/>
            <w:tcBorders>
              <w:top w:val="single" w:sz="12" w:space="0" w:color="auto"/>
              <w:left w:val="nil"/>
              <w:bottom w:val="single" w:sz="12" w:space="0" w:color="auto"/>
              <w:right w:val="nil"/>
            </w:tcBorders>
            <w:shd w:val="clear" w:color="auto" w:fill="99CCFF"/>
            <w:vAlign w:val="bottom"/>
          </w:tcPr>
          <w:p w:rsidR="00132228" w:rsidRDefault="00F42B76" w:rsidP="00DE340C">
            <w:pPr>
              <w:spacing w:after="60"/>
              <w:jc w:val="center"/>
              <w:rPr>
                <w:rFonts w:ascii="Arial" w:hAnsi="Arial" w:cs="Arial"/>
                <w:b/>
                <w:color w:val="0000FF"/>
                <w:sz w:val="18"/>
                <w:szCs w:val="18"/>
              </w:rPr>
            </w:pPr>
            <w:r>
              <w:rPr>
                <w:rFonts w:ascii="Arial" w:hAnsi="Arial" w:cs="Arial"/>
                <w:b/>
                <w:color w:val="0000FF"/>
                <w:sz w:val="18"/>
                <w:szCs w:val="18"/>
              </w:rPr>
              <w:t>38</w:t>
            </w:r>
          </w:p>
        </w:tc>
        <w:tc>
          <w:tcPr>
            <w:tcW w:w="571" w:type="pct"/>
            <w:tcBorders>
              <w:top w:val="single" w:sz="12" w:space="0" w:color="auto"/>
              <w:left w:val="nil"/>
              <w:bottom w:val="single" w:sz="12" w:space="0" w:color="auto"/>
              <w:right w:val="nil"/>
            </w:tcBorders>
            <w:shd w:val="clear" w:color="auto" w:fill="auto"/>
            <w:vAlign w:val="bottom"/>
          </w:tcPr>
          <w:p w:rsidR="00132228" w:rsidRPr="005B58C1" w:rsidRDefault="00132228" w:rsidP="00DE340C">
            <w:pPr>
              <w:spacing w:after="60"/>
              <w:jc w:val="center"/>
              <w:rPr>
                <w:rFonts w:ascii="Arial" w:hAnsi="Arial" w:cs="Arial"/>
                <w:b/>
                <w:color w:val="0000FF"/>
                <w:sz w:val="18"/>
                <w:szCs w:val="18"/>
              </w:rPr>
            </w:pPr>
            <w:r w:rsidRPr="005B58C1">
              <w:rPr>
                <w:rFonts w:ascii="Arial" w:hAnsi="Arial" w:cs="Arial"/>
                <w:b/>
                <w:color w:val="0000FF"/>
                <w:sz w:val="18"/>
                <w:szCs w:val="18"/>
              </w:rPr>
              <w:t>38</w:t>
            </w:r>
          </w:p>
        </w:tc>
        <w:tc>
          <w:tcPr>
            <w:tcW w:w="571" w:type="pct"/>
            <w:tcBorders>
              <w:top w:val="single" w:sz="12" w:space="0" w:color="auto"/>
              <w:left w:val="nil"/>
              <w:bottom w:val="single" w:sz="12" w:space="0" w:color="auto"/>
              <w:right w:val="nil"/>
            </w:tcBorders>
            <w:shd w:val="clear" w:color="auto" w:fill="99CCFF"/>
            <w:vAlign w:val="bottom"/>
          </w:tcPr>
          <w:p w:rsidR="00132228" w:rsidRDefault="00F42B76" w:rsidP="00DE340C">
            <w:pPr>
              <w:spacing w:after="60"/>
              <w:jc w:val="center"/>
              <w:rPr>
                <w:rFonts w:ascii="Arial" w:hAnsi="Arial" w:cs="Arial"/>
                <w:b/>
                <w:color w:val="0000FF"/>
                <w:sz w:val="18"/>
                <w:szCs w:val="18"/>
              </w:rPr>
            </w:pPr>
            <w:r>
              <w:rPr>
                <w:rFonts w:ascii="Arial" w:hAnsi="Arial" w:cs="Arial"/>
                <w:b/>
                <w:color w:val="0000FF"/>
                <w:sz w:val="18"/>
                <w:szCs w:val="18"/>
              </w:rPr>
              <w:t>61</w:t>
            </w:r>
          </w:p>
        </w:tc>
        <w:tc>
          <w:tcPr>
            <w:tcW w:w="571" w:type="pct"/>
            <w:tcBorders>
              <w:top w:val="single" w:sz="12" w:space="0" w:color="auto"/>
              <w:left w:val="nil"/>
              <w:bottom w:val="single" w:sz="12" w:space="0" w:color="auto"/>
              <w:right w:val="nil"/>
            </w:tcBorders>
            <w:shd w:val="clear" w:color="auto" w:fill="auto"/>
            <w:vAlign w:val="bottom"/>
          </w:tcPr>
          <w:p w:rsidR="00132228" w:rsidRPr="005B58C1" w:rsidRDefault="005B58C1" w:rsidP="00DE340C">
            <w:pPr>
              <w:spacing w:after="60"/>
              <w:jc w:val="center"/>
              <w:rPr>
                <w:rFonts w:ascii="Arial" w:hAnsi="Arial" w:cs="Arial"/>
                <w:b/>
                <w:color w:val="0000FF"/>
                <w:sz w:val="18"/>
                <w:szCs w:val="18"/>
              </w:rPr>
            </w:pPr>
            <w:r w:rsidRPr="005B58C1">
              <w:rPr>
                <w:rFonts w:ascii="Arial" w:hAnsi="Arial" w:cs="Arial"/>
                <w:b/>
                <w:color w:val="0000FF"/>
                <w:sz w:val="18"/>
                <w:szCs w:val="18"/>
              </w:rPr>
              <w:t>64</w:t>
            </w:r>
          </w:p>
        </w:tc>
      </w:tr>
    </w:tbl>
    <w:p w:rsidR="00132228" w:rsidRDefault="00132228" w:rsidP="00132228">
      <w:pPr>
        <w:pStyle w:val="Blocks"/>
        <w:ind w:left="600" w:hanging="600"/>
        <w:rPr>
          <w:rFonts w:ascii="Arial" w:hAnsi="Arial" w:cs="Arial"/>
          <w:sz w:val="20"/>
        </w:rPr>
      </w:pPr>
    </w:p>
    <w:p w:rsidR="00132228" w:rsidRDefault="00132228" w:rsidP="00132228">
      <w:pPr>
        <w:pStyle w:val="Blocks"/>
        <w:ind w:left="600" w:hanging="600"/>
        <w:rPr>
          <w:rFonts w:ascii="Arial" w:hAnsi="Arial" w:cs="Arial"/>
          <w:sz w:val="16"/>
          <w:szCs w:val="16"/>
        </w:rPr>
      </w:pPr>
      <w:r>
        <w:rPr>
          <w:rFonts w:ascii="Arial" w:hAnsi="Arial" w:cs="Arial"/>
          <w:sz w:val="16"/>
          <w:szCs w:val="16"/>
        </w:rPr>
        <w:t>1</w:t>
      </w:r>
      <w:r>
        <w:rPr>
          <w:rFonts w:ascii="Arial" w:hAnsi="Arial" w:cs="Arial"/>
          <w:sz w:val="16"/>
          <w:szCs w:val="16"/>
        </w:rPr>
        <w:tab/>
      </w:r>
      <w:r w:rsidR="00F42B76">
        <w:rPr>
          <w:rFonts w:ascii="Arial" w:hAnsi="Arial" w:cs="Arial"/>
          <w:sz w:val="16"/>
          <w:szCs w:val="16"/>
        </w:rPr>
        <w:t>Includes 1 employee on maternity leave.</w:t>
      </w:r>
    </w:p>
    <w:p w:rsidR="00132228" w:rsidRDefault="00132228" w:rsidP="00132228">
      <w:pPr>
        <w:pStyle w:val="Blocks"/>
        <w:ind w:left="600" w:hanging="600"/>
        <w:rPr>
          <w:rFonts w:ascii="Arial" w:hAnsi="Arial" w:cs="Arial"/>
          <w:sz w:val="16"/>
          <w:szCs w:val="16"/>
        </w:rPr>
      </w:pPr>
      <w:r>
        <w:rPr>
          <w:rFonts w:ascii="Arial" w:hAnsi="Arial" w:cs="Arial"/>
          <w:sz w:val="16"/>
          <w:szCs w:val="16"/>
        </w:rPr>
        <w:t>2</w:t>
      </w:r>
      <w:r>
        <w:rPr>
          <w:rFonts w:ascii="Arial" w:hAnsi="Arial" w:cs="Arial"/>
          <w:sz w:val="16"/>
          <w:szCs w:val="16"/>
        </w:rPr>
        <w:tab/>
      </w:r>
      <w:r w:rsidR="00F42B76">
        <w:rPr>
          <w:rFonts w:ascii="Arial" w:hAnsi="Arial" w:cs="Arial"/>
          <w:sz w:val="16"/>
          <w:szCs w:val="16"/>
        </w:rPr>
        <w:t>Includes 1 employee on leave without pay.</w:t>
      </w:r>
    </w:p>
    <w:p w:rsidR="00132228" w:rsidRDefault="00132228" w:rsidP="00132228">
      <w:pPr>
        <w:pStyle w:val="Blocks"/>
        <w:ind w:left="600" w:hanging="600"/>
        <w:rPr>
          <w:rFonts w:ascii="Arial" w:hAnsi="Arial" w:cs="Arial"/>
          <w:sz w:val="16"/>
          <w:szCs w:val="16"/>
        </w:rPr>
      </w:pPr>
      <w:r>
        <w:rPr>
          <w:rFonts w:ascii="Arial" w:hAnsi="Arial" w:cs="Arial"/>
          <w:sz w:val="16"/>
          <w:szCs w:val="16"/>
        </w:rPr>
        <w:t>3</w:t>
      </w:r>
      <w:r>
        <w:rPr>
          <w:rFonts w:ascii="Arial" w:hAnsi="Arial" w:cs="Arial"/>
          <w:sz w:val="16"/>
          <w:szCs w:val="16"/>
        </w:rPr>
        <w:tab/>
      </w:r>
      <w:r w:rsidR="00F42B76">
        <w:rPr>
          <w:rFonts w:ascii="Arial" w:hAnsi="Arial" w:cs="Arial"/>
          <w:sz w:val="16"/>
          <w:szCs w:val="16"/>
        </w:rPr>
        <w:t>Includes 3 employees on temporary transfer, 2 employees on leave without pay and 1 employee on maternity leave.</w:t>
      </w:r>
    </w:p>
    <w:p w:rsidR="00132228" w:rsidRPr="006B45FC" w:rsidRDefault="00132228" w:rsidP="00132228">
      <w:pPr>
        <w:pStyle w:val="Blocks"/>
        <w:ind w:left="600" w:hanging="600"/>
        <w:rPr>
          <w:rFonts w:ascii="Arial" w:hAnsi="Arial" w:cs="Arial"/>
          <w:sz w:val="16"/>
          <w:szCs w:val="16"/>
        </w:rPr>
      </w:pPr>
      <w:r w:rsidRPr="006B45FC">
        <w:rPr>
          <w:rFonts w:ascii="Arial" w:hAnsi="Arial" w:cs="Arial"/>
          <w:sz w:val="16"/>
          <w:szCs w:val="16"/>
        </w:rPr>
        <w:t>4</w:t>
      </w:r>
      <w:r w:rsidRPr="006B45FC">
        <w:rPr>
          <w:rFonts w:ascii="Arial" w:hAnsi="Arial" w:cs="Arial"/>
          <w:sz w:val="16"/>
          <w:szCs w:val="16"/>
        </w:rPr>
        <w:tab/>
        <w:t xml:space="preserve">Includes </w:t>
      </w:r>
      <w:r w:rsidR="006B45FC" w:rsidRPr="006B45FC">
        <w:rPr>
          <w:rFonts w:ascii="Arial" w:hAnsi="Arial" w:cs="Arial"/>
          <w:sz w:val="16"/>
          <w:szCs w:val="16"/>
        </w:rPr>
        <w:t>1</w:t>
      </w:r>
      <w:r w:rsidRPr="006B45FC">
        <w:rPr>
          <w:rFonts w:ascii="Arial" w:hAnsi="Arial" w:cs="Arial"/>
          <w:sz w:val="16"/>
          <w:szCs w:val="16"/>
        </w:rPr>
        <w:t xml:space="preserve"> </w:t>
      </w:r>
      <w:r w:rsidR="000B60C4">
        <w:rPr>
          <w:rFonts w:ascii="Arial" w:hAnsi="Arial" w:cs="Arial"/>
          <w:sz w:val="16"/>
          <w:szCs w:val="16"/>
        </w:rPr>
        <w:t>employee</w:t>
      </w:r>
      <w:r w:rsidR="006B45FC" w:rsidRPr="006B45FC">
        <w:rPr>
          <w:rFonts w:ascii="Arial" w:hAnsi="Arial" w:cs="Arial"/>
          <w:sz w:val="16"/>
          <w:szCs w:val="16"/>
        </w:rPr>
        <w:t xml:space="preserve"> on leave without pay</w:t>
      </w:r>
      <w:r w:rsidRPr="006B45FC">
        <w:rPr>
          <w:rFonts w:ascii="Arial" w:hAnsi="Arial" w:cs="Arial"/>
          <w:sz w:val="16"/>
          <w:szCs w:val="16"/>
        </w:rPr>
        <w:t>.</w:t>
      </w:r>
    </w:p>
    <w:p w:rsidR="00132228" w:rsidRPr="001E5F06" w:rsidRDefault="00132228" w:rsidP="00132228">
      <w:pPr>
        <w:pStyle w:val="Blocks"/>
        <w:ind w:left="600" w:hanging="600"/>
        <w:rPr>
          <w:rFonts w:ascii="Arial" w:hAnsi="Arial" w:cs="Arial"/>
          <w:sz w:val="16"/>
          <w:szCs w:val="16"/>
        </w:rPr>
      </w:pPr>
      <w:r w:rsidRPr="001E5F06">
        <w:rPr>
          <w:rFonts w:ascii="Arial" w:hAnsi="Arial" w:cs="Arial"/>
          <w:sz w:val="16"/>
          <w:szCs w:val="16"/>
        </w:rPr>
        <w:t>5</w:t>
      </w:r>
      <w:r w:rsidRPr="001E5F06">
        <w:rPr>
          <w:rFonts w:ascii="Arial" w:hAnsi="Arial" w:cs="Arial"/>
          <w:sz w:val="16"/>
          <w:szCs w:val="16"/>
        </w:rPr>
        <w:tab/>
        <w:t>Includes 1 employee on maternity leave.</w:t>
      </w:r>
    </w:p>
    <w:p w:rsidR="0033174F" w:rsidRPr="005B58C1" w:rsidRDefault="00132228" w:rsidP="00132228">
      <w:pPr>
        <w:pStyle w:val="Blocks"/>
        <w:ind w:left="600" w:hanging="600"/>
        <w:rPr>
          <w:rFonts w:ascii="Arial" w:hAnsi="Arial" w:cs="Arial"/>
          <w:sz w:val="16"/>
          <w:szCs w:val="16"/>
        </w:rPr>
      </w:pPr>
      <w:r w:rsidRPr="005B58C1">
        <w:rPr>
          <w:rFonts w:ascii="Arial" w:hAnsi="Arial" w:cs="Arial"/>
          <w:sz w:val="16"/>
          <w:szCs w:val="16"/>
        </w:rPr>
        <w:t>6</w:t>
      </w:r>
      <w:r w:rsidRPr="005B58C1">
        <w:rPr>
          <w:rFonts w:ascii="Arial" w:hAnsi="Arial" w:cs="Arial"/>
          <w:sz w:val="16"/>
          <w:szCs w:val="16"/>
        </w:rPr>
        <w:tab/>
      </w:r>
      <w:r w:rsidR="005B58C1" w:rsidRPr="005B58C1">
        <w:rPr>
          <w:rFonts w:ascii="Arial" w:hAnsi="Arial" w:cs="Arial"/>
          <w:sz w:val="16"/>
          <w:szCs w:val="16"/>
        </w:rPr>
        <w:t>Includes 3 employees on leave without pay and 2 employees on maternity leave.</w:t>
      </w:r>
    </w:p>
    <w:p w:rsidR="008339B8" w:rsidRPr="001F5E11" w:rsidRDefault="008339B8" w:rsidP="008339B8">
      <w:pPr>
        <w:pStyle w:val="PageBreak"/>
      </w:pPr>
      <w:r w:rsidRPr="001F5E11">
        <w:br w:type="page"/>
      </w:r>
    </w:p>
    <w:p w:rsidR="008339B8" w:rsidRDefault="008339B8" w:rsidP="008339B8">
      <w:pPr>
        <w:pStyle w:val="Head4"/>
      </w:pPr>
      <w:r>
        <w:t xml:space="preserve">Salary ranges </w:t>
      </w:r>
      <w:r w:rsidR="0033174F">
        <w:t>as at 30 June 201</w:t>
      </w:r>
      <w:r w:rsidR="00F42B76">
        <w:t>6</w:t>
      </w:r>
    </w:p>
    <w:tbl>
      <w:tblPr>
        <w:tblW w:w="737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40"/>
        <w:gridCol w:w="1440"/>
        <w:gridCol w:w="1491"/>
      </w:tblGrid>
      <w:tr w:rsidR="00132228" w:rsidTr="00DE340C">
        <w:trPr>
          <w:cantSplit/>
          <w:tblHeader/>
        </w:trPr>
        <w:tc>
          <w:tcPr>
            <w:tcW w:w="4440" w:type="dxa"/>
            <w:tcBorders>
              <w:top w:val="single" w:sz="12" w:space="0" w:color="auto"/>
              <w:left w:val="nil"/>
              <w:bottom w:val="single" w:sz="12" w:space="0" w:color="auto"/>
              <w:right w:val="nil"/>
            </w:tcBorders>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Category</w:t>
            </w:r>
          </w:p>
          <w:p w:rsidR="00132228" w:rsidRDefault="00132228" w:rsidP="00DE340C">
            <w:pPr>
              <w:keepLines/>
              <w:rPr>
                <w:rFonts w:ascii="Arial" w:hAnsi="Arial" w:cs="Arial"/>
                <w:b/>
                <w:color w:val="0000FF"/>
                <w:sz w:val="20"/>
              </w:rPr>
            </w:pPr>
          </w:p>
        </w:tc>
        <w:tc>
          <w:tcPr>
            <w:tcW w:w="1440" w:type="dxa"/>
            <w:tcBorders>
              <w:top w:val="single" w:sz="12" w:space="0" w:color="auto"/>
              <w:left w:val="nil"/>
              <w:bottom w:val="single" w:sz="12" w:space="0" w:color="auto"/>
              <w:right w:val="nil"/>
            </w:tcBorders>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Minimum ($)</w:t>
            </w:r>
          </w:p>
        </w:tc>
        <w:tc>
          <w:tcPr>
            <w:tcW w:w="1491" w:type="dxa"/>
            <w:tcBorders>
              <w:top w:val="single" w:sz="12" w:space="0" w:color="auto"/>
              <w:left w:val="nil"/>
              <w:bottom w:val="single" w:sz="12" w:space="0" w:color="auto"/>
              <w:right w:val="nil"/>
            </w:tcBorders>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Maximum ($)</w:t>
            </w:r>
          </w:p>
        </w:tc>
      </w:tr>
      <w:tr w:rsidR="00132228" w:rsidTr="00DE340C">
        <w:trPr>
          <w:cantSplit/>
          <w:tblHeader/>
        </w:trPr>
        <w:tc>
          <w:tcPr>
            <w:tcW w:w="7371" w:type="dxa"/>
            <w:gridSpan w:val="3"/>
            <w:tcBorders>
              <w:top w:val="single" w:sz="12" w:space="0" w:color="auto"/>
              <w:left w:val="nil"/>
              <w:bottom w:val="nil"/>
              <w:right w:val="nil"/>
            </w:tcBorders>
            <w:shd w:val="clear" w:color="auto" w:fill="99CCFF"/>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Salary ranges—SES positions</w:t>
            </w:r>
          </w:p>
          <w:p w:rsidR="00132228" w:rsidRDefault="00132228" w:rsidP="00DE340C">
            <w:pPr>
              <w:keepLines/>
              <w:rPr>
                <w:rFonts w:ascii="Arial" w:hAnsi="Arial" w:cs="Arial"/>
                <w:b/>
                <w:color w:val="0000FF"/>
                <w:sz w:val="20"/>
              </w:rPr>
            </w:pPr>
          </w:p>
        </w:tc>
      </w:tr>
      <w:tr w:rsidR="00132228" w:rsidTr="00DE340C">
        <w:trPr>
          <w:cantSplit/>
        </w:trPr>
        <w:tc>
          <w:tcPr>
            <w:tcW w:w="4440" w:type="dxa"/>
            <w:tcBorders>
              <w:top w:val="nil"/>
              <w:left w:val="nil"/>
              <w:bottom w:val="single" w:sz="12" w:space="0" w:color="auto"/>
              <w:right w:val="nil"/>
            </w:tcBorders>
          </w:tcPr>
          <w:p w:rsidR="00132228" w:rsidRDefault="00132228" w:rsidP="00DE340C">
            <w:pPr>
              <w:keepLines/>
              <w:spacing w:before="60" w:after="60"/>
              <w:rPr>
                <w:rFonts w:ascii="Arial" w:hAnsi="Arial" w:cs="Arial"/>
                <w:color w:val="0000FF"/>
                <w:sz w:val="18"/>
                <w:szCs w:val="18"/>
              </w:rPr>
            </w:pPr>
            <w:r>
              <w:rPr>
                <w:rFonts w:ascii="Arial" w:hAnsi="Arial" w:cs="Arial"/>
                <w:color w:val="0000FF"/>
                <w:sz w:val="18"/>
                <w:szCs w:val="18"/>
              </w:rPr>
              <w:t>First Assistant Parliamentary Counsel (SES Band 2), Senior Assistant Parliamentary Counsel (SES Band 1) and General Manager (SES Band 1)</w:t>
            </w:r>
          </w:p>
        </w:tc>
        <w:tc>
          <w:tcPr>
            <w:tcW w:w="1440" w:type="dxa"/>
            <w:tcBorders>
              <w:top w:val="nil"/>
              <w:left w:val="nil"/>
              <w:bottom w:val="single" w:sz="12" w:space="0" w:color="auto"/>
              <w:right w:val="nil"/>
            </w:tcBorders>
          </w:tcPr>
          <w:p w:rsidR="00132228" w:rsidRPr="006C688C" w:rsidRDefault="00132228" w:rsidP="00DE340C">
            <w:pPr>
              <w:keepLines/>
              <w:tabs>
                <w:tab w:val="decimal" w:pos="840"/>
              </w:tabs>
              <w:spacing w:before="60" w:after="60"/>
              <w:rPr>
                <w:rFonts w:ascii="Arial" w:hAnsi="Arial" w:cs="Arial"/>
                <w:color w:val="0000FF"/>
                <w:sz w:val="18"/>
                <w:szCs w:val="18"/>
                <w:highlight w:val="yellow"/>
              </w:rPr>
            </w:pPr>
            <w:r>
              <w:rPr>
                <w:rFonts w:ascii="Arial" w:hAnsi="Arial" w:cs="Arial"/>
                <w:color w:val="0000FF"/>
                <w:sz w:val="18"/>
                <w:szCs w:val="18"/>
              </w:rPr>
              <w:t>147,234</w:t>
            </w:r>
          </w:p>
        </w:tc>
        <w:tc>
          <w:tcPr>
            <w:tcW w:w="1491" w:type="dxa"/>
            <w:tcBorders>
              <w:top w:val="nil"/>
              <w:left w:val="nil"/>
              <w:bottom w:val="single" w:sz="12" w:space="0" w:color="auto"/>
              <w:right w:val="nil"/>
            </w:tcBorders>
          </w:tcPr>
          <w:p w:rsidR="00132228" w:rsidRPr="006C688C" w:rsidRDefault="00132228" w:rsidP="00DE340C">
            <w:pPr>
              <w:keepLines/>
              <w:tabs>
                <w:tab w:val="decimal" w:pos="860"/>
              </w:tabs>
              <w:spacing w:before="60" w:after="60"/>
              <w:rPr>
                <w:rFonts w:ascii="Arial" w:hAnsi="Arial" w:cs="Arial"/>
                <w:color w:val="0000FF"/>
                <w:sz w:val="18"/>
                <w:szCs w:val="18"/>
                <w:highlight w:val="yellow"/>
              </w:rPr>
            </w:pPr>
            <w:r>
              <w:rPr>
                <w:rFonts w:ascii="Arial" w:hAnsi="Arial" w:cs="Arial"/>
                <w:color w:val="0000FF"/>
                <w:sz w:val="18"/>
                <w:szCs w:val="18"/>
              </w:rPr>
              <w:t>243,318</w:t>
            </w:r>
          </w:p>
        </w:tc>
      </w:tr>
      <w:tr w:rsidR="00132228" w:rsidTr="00DE340C">
        <w:trPr>
          <w:cantSplit/>
          <w:tblHeader/>
        </w:trPr>
        <w:tc>
          <w:tcPr>
            <w:tcW w:w="7371" w:type="dxa"/>
            <w:gridSpan w:val="3"/>
            <w:tcBorders>
              <w:top w:val="single" w:sz="12" w:space="0" w:color="auto"/>
              <w:left w:val="nil"/>
              <w:bottom w:val="nil"/>
              <w:right w:val="nil"/>
            </w:tcBorders>
            <w:shd w:val="clear" w:color="auto" w:fill="99CCFF"/>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Salary ranges—Non-SES drafting positions</w:t>
            </w:r>
          </w:p>
          <w:p w:rsidR="00132228" w:rsidRDefault="00132228" w:rsidP="00DE340C">
            <w:pPr>
              <w:keepLines/>
              <w:rPr>
                <w:rFonts w:ascii="Arial" w:hAnsi="Arial" w:cs="Arial"/>
                <w:b/>
                <w:color w:val="0000FF"/>
                <w:sz w:val="20"/>
              </w:rPr>
            </w:pPr>
          </w:p>
        </w:tc>
      </w:tr>
      <w:tr w:rsidR="00132228" w:rsidTr="00DE340C">
        <w:trPr>
          <w:cantSplit/>
        </w:trPr>
        <w:tc>
          <w:tcPr>
            <w:tcW w:w="4440" w:type="dxa"/>
            <w:tcBorders>
              <w:top w:val="nil"/>
              <w:left w:val="nil"/>
              <w:bottom w:val="single" w:sz="4" w:space="0" w:color="auto"/>
              <w:right w:val="nil"/>
            </w:tcBorders>
          </w:tcPr>
          <w:p w:rsidR="00132228" w:rsidRDefault="00132228" w:rsidP="00DE340C">
            <w:pPr>
              <w:keepLines/>
              <w:spacing w:before="60" w:after="60"/>
              <w:rPr>
                <w:rFonts w:ascii="Arial" w:hAnsi="Arial" w:cs="Arial"/>
                <w:color w:val="0000FF"/>
                <w:sz w:val="18"/>
                <w:szCs w:val="18"/>
              </w:rPr>
            </w:pPr>
            <w:r>
              <w:rPr>
                <w:rFonts w:ascii="Arial" w:hAnsi="Arial" w:cs="Arial"/>
                <w:color w:val="0000FF"/>
                <w:sz w:val="18"/>
                <w:szCs w:val="18"/>
              </w:rPr>
              <w:t>Assistant Parliamentary Counsel Grade 3</w:t>
            </w:r>
          </w:p>
        </w:tc>
        <w:tc>
          <w:tcPr>
            <w:tcW w:w="1440" w:type="dxa"/>
            <w:tcBorders>
              <w:top w:val="nil"/>
              <w:left w:val="nil"/>
              <w:bottom w:val="single" w:sz="4" w:space="0" w:color="auto"/>
              <w:right w:val="nil"/>
            </w:tcBorders>
          </w:tcPr>
          <w:p w:rsidR="00132228" w:rsidRDefault="005E54C1"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113,609</w:t>
            </w:r>
          </w:p>
        </w:tc>
        <w:tc>
          <w:tcPr>
            <w:tcW w:w="1491" w:type="dxa"/>
            <w:tcBorders>
              <w:top w:val="nil"/>
              <w:left w:val="nil"/>
              <w:bottom w:val="single" w:sz="4" w:space="0" w:color="auto"/>
              <w:right w:val="nil"/>
            </w:tcBorders>
          </w:tcPr>
          <w:p w:rsidR="00132228" w:rsidRDefault="005E54C1"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136,774</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rPr>
                <w:rFonts w:ascii="Arial" w:hAnsi="Arial" w:cs="Arial"/>
                <w:color w:val="0000FF"/>
                <w:sz w:val="18"/>
                <w:szCs w:val="18"/>
              </w:rPr>
            </w:pPr>
            <w:r>
              <w:rPr>
                <w:rFonts w:ascii="Arial" w:hAnsi="Arial" w:cs="Arial"/>
                <w:color w:val="0000FF"/>
                <w:sz w:val="18"/>
                <w:szCs w:val="18"/>
              </w:rPr>
              <w:t>Assistant Parliamentary Counsel Grade 2</w:t>
            </w:r>
          </w:p>
        </w:tc>
        <w:tc>
          <w:tcPr>
            <w:tcW w:w="1440" w:type="dxa"/>
            <w:tcBorders>
              <w:top w:val="single" w:sz="4" w:space="0" w:color="auto"/>
              <w:left w:val="nil"/>
              <w:bottom w:val="single" w:sz="4" w:space="0" w:color="auto"/>
              <w:right w:val="nil"/>
            </w:tcBorders>
          </w:tcPr>
          <w:p w:rsidR="00132228" w:rsidRDefault="005E54C1"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98,765</w:t>
            </w:r>
          </w:p>
        </w:tc>
        <w:tc>
          <w:tcPr>
            <w:tcW w:w="1491" w:type="dxa"/>
            <w:tcBorders>
              <w:top w:val="single" w:sz="4" w:space="0" w:color="auto"/>
              <w:left w:val="nil"/>
              <w:bottom w:val="single" w:sz="4" w:space="0" w:color="auto"/>
              <w:right w:val="nil"/>
            </w:tcBorders>
          </w:tcPr>
          <w:p w:rsidR="00132228" w:rsidRDefault="005E54C1"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119,926</w:t>
            </w:r>
          </w:p>
        </w:tc>
      </w:tr>
      <w:tr w:rsidR="00132228" w:rsidTr="00DE340C">
        <w:trPr>
          <w:cantSplit/>
        </w:trPr>
        <w:tc>
          <w:tcPr>
            <w:tcW w:w="4440" w:type="dxa"/>
            <w:tcBorders>
              <w:top w:val="single" w:sz="4" w:space="0" w:color="auto"/>
              <w:left w:val="nil"/>
              <w:bottom w:val="single" w:sz="12" w:space="0" w:color="auto"/>
              <w:right w:val="nil"/>
            </w:tcBorders>
          </w:tcPr>
          <w:p w:rsidR="00132228" w:rsidRDefault="00132228" w:rsidP="00DE340C">
            <w:pPr>
              <w:keepLines/>
              <w:spacing w:before="60" w:after="60"/>
              <w:rPr>
                <w:rFonts w:ascii="Arial" w:hAnsi="Arial" w:cs="Arial"/>
                <w:color w:val="0000FF"/>
                <w:sz w:val="18"/>
                <w:szCs w:val="18"/>
              </w:rPr>
            </w:pPr>
            <w:r>
              <w:rPr>
                <w:rFonts w:ascii="Arial" w:hAnsi="Arial" w:cs="Arial"/>
                <w:color w:val="0000FF"/>
                <w:sz w:val="18"/>
                <w:szCs w:val="18"/>
              </w:rPr>
              <w:t>Assistant Parliamentary Counsel Grade 1</w:t>
            </w:r>
          </w:p>
        </w:tc>
        <w:tc>
          <w:tcPr>
            <w:tcW w:w="1440" w:type="dxa"/>
            <w:tcBorders>
              <w:top w:val="single" w:sz="4" w:space="0" w:color="auto"/>
              <w:left w:val="nil"/>
              <w:bottom w:val="single" w:sz="12" w:space="0" w:color="auto"/>
              <w:right w:val="nil"/>
            </w:tcBorders>
          </w:tcPr>
          <w:p w:rsidR="00132228" w:rsidRDefault="005E54C1"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60,898</w:t>
            </w:r>
          </w:p>
        </w:tc>
        <w:tc>
          <w:tcPr>
            <w:tcW w:w="1491" w:type="dxa"/>
            <w:tcBorders>
              <w:top w:val="single" w:sz="4" w:space="0" w:color="auto"/>
              <w:left w:val="nil"/>
              <w:bottom w:val="single" w:sz="12" w:space="0" w:color="auto"/>
              <w:right w:val="nil"/>
            </w:tcBorders>
          </w:tcPr>
          <w:p w:rsidR="00132228" w:rsidRDefault="005E54C1"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113,609</w:t>
            </w:r>
          </w:p>
        </w:tc>
      </w:tr>
      <w:tr w:rsidR="00132228" w:rsidTr="00DE340C">
        <w:trPr>
          <w:cantSplit/>
          <w:tblHeader/>
        </w:trPr>
        <w:tc>
          <w:tcPr>
            <w:tcW w:w="7371" w:type="dxa"/>
            <w:gridSpan w:val="3"/>
            <w:tcBorders>
              <w:top w:val="single" w:sz="12" w:space="0" w:color="auto"/>
              <w:left w:val="nil"/>
              <w:bottom w:val="nil"/>
              <w:right w:val="nil"/>
            </w:tcBorders>
            <w:shd w:val="clear" w:color="auto" w:fill="99CCFF"/>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Salary ranges—Non-SES non-drafting positions</w:t>
            </w:r>
          </w:p>
          <w:p w:rsidR="00132228" w:rsidRDefault="00132228" w:rsidP="00DE340C">
            <w:pPr>
              <w:keepLines/>
              <w:rPr>
                <w:rFonts w:ascii="Arial" w:hAnsi="Arial" w:cs="Arial"/>
                <w:b/>
                <w:color w:val="0000FF"/>
                <w:sz w:val="20"/>
              </w:rPr>
            </w:pPr>
          </w:p>
        </w:tc>
      </w:tr>
      <w:tr w:rsidR="00132228" w:rsidTr="00DE340C">
        <w:trPr>
          <w:cantSplit/>
        </w:trPr>
        <w:tc>
          <w:tcPr>
            <w:tcW w:w="4440" w:type="dxa"/>
            <w:tcBorders>
              <w:top w:val="nil"/>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Executive Level 2</w:t>
            </w:r>
          </w:p>
        </w:tc>
        <w:tc>
          <w:tcPr>
            <w:tcW w:w="1440" w:type="dxa"/>
            <w:tcBorders>
              <w:top w:val="nil"/>
              <w:left w:val="nil"/>
              <w:bottom w:val="single" w:sz="4" w:space="0" w:color="auto"/>
              <w:right w:val="nil"/>
            </w:tcBorders>
          </w:tcPr>
          <w:p w:rsidR="00132228" w:rsidRDefault="005E54C1"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113,609</w:t>
            </w:r>
          </w:p>
        </w:tc>
        <w:tc>
          <w:tcPr>
            <w:tcW w:w="1491" w:type="dxa"/>
            <w:tcBorders>
              <w:top w:val="nil"/>
              <w:left w:val="nil"/>
              <w:bottom w:val="single" w:sz="4" w:space="0" w:color="auto"/>
              <w:right w:val="nil"/>
            </w:tcBorders>
          </w:tcPr>
          <w:p w:rsidR="00132228" w:rsidRDefault="005E54C1"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136,774</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Executive Level 1</w:t>
            </w:r>
          </w:p>
        </w:tc>
        <w:tc>
          <w:tcPr>
            <w:tcW w:w="1440" w:type="dxa"/>
            <w:tcBorders>
              <w:top w:val="single" w:sz="4" w:space="0" w:color="auto"/>
              <w:left w:val="nil"/>
              <w:bottom w:val="single" w:sz="4" w:space="0" w:color="auto"/>
              <w:right w:val="nil"/>
            </w:tcBorders>
          </w:tcPr>
          <w:p w:rsidR="00132228" w:rsidRDefault="005E54C1"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98,765</w:t>
            </w:r>
          </w:p>
        </w:tc>
        <w:tc>
          <w:tcPr>
            <w:tcW w:w="1491" w:type="dxa"/>
            <w:tcBorders>
              <w:top w:val="single" w:sz="4" w:space="0" w:color="auto"/>
              <w:left w:val="nil"/>
              <w:bottom w:val="single" w:sz="4" w:space="0" w:color="auto"/>
              <w:right w:val="nil"/>
            </w:tcBorders>
          </w:tcPr>
          <w:p w:rsidR="00132228" w:rsidRDefault="005E54C1"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119,926</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rPr>
                <w:rFonts w:ascii="Arial" w:hAnsi="Arial" w:cs="Arial"/>
                <w:b/>
                <w:color w:val="0000FF"/>
                <w:sz w:val="18"/>
                <w:szCs w:val="18"/>
              </w:rPr>
            </w:pPr>
            <w:r>
              <w:rPr>
                <w:rFonts w:ascii="Arial" w:hAnsi="Arial" w:cs="Arial"/>
                <w:b/>
                <w:color w:val="0000FF"/>
                <w:sz w:val="18"/>
                <w:szCs w:val="18"/>
              </w:rPr>
              <w:t>OPC Broadband B:</w:t>
            </w:r>
          </w:p>
        </w:tc>
        <w:tc>
          <w:tcPr>
            <w:tcW w:w="1440" w:type="dxa"/>
            <w:tcBorders>
              <w:top w:val="single" w:sz="4" w:space="0" w:color="auto"/>
              <w:left w:val="nil"/>
              <w:bottom w:val="single" w:sz="4" w:space="0" w:color="auto"/>
              <w:right w:val="nil"/>
            </w:tcBorders>
          </w:tcPr>
          <w:p w:rsidR="00132228" w:rsidRDefault="00132228" w:rsidP="00DE340C">
            <w:pPr>
              <w:keepLines/>
              <w:tabs>
                <w:tab w:val="decimal" w:pos="840"/>
              </w:tabs>
              <w:spacing w:before="60" w:after="60"/>
              <w:rPr>
                <w:rFonts w:ascii="Arial" w:hAnsi="Arial" w:cs="Arial"/>
                <w:color w:val="0000FF"/>
                <w:sz w:val="18"/>
                <w:szCs w:val="18"/>
              </w:rPr>
            </w:pPr>
          </w:p>
        </w:tc>
        <w:tc>
          <w:tcPr>
            <w:tcW w:w="1491" w:type="dxa"/>
            <w:tcBorders>
              <w:top w:val="single" w:sz="4" w:space="0" w:color="auto"/>
              <w:left w:val="nil"/>
              <w:bottom w:val="single" w:sz="4" w:space="0" w:color="auto"/>
              <w:right w:val="nil"/>
            </w:tcBorders>
          </w:tcPr>
          <w:p w:rsidR="00132228" w:rsidRDefault="00132228" w:rsidP="00DE340C">
            <w:pPr>
              <w:keepLines/>
              <w:tabs>
                <w:tab w:val="decimal" w:pos="860"/>
              </w:tabs>
              <w:spacing w:before="60" w:after="60"/>
              <w:rPr>
                <w:rFonts w:ascii="Arial" w:hAnsi="Arial" w:cs="Arial"/>
                <w:color w:val="0000FF"/>
                <w:sz w:val="18"/>
                <w:szCs w:val="18"/>
              </w:rPr>
            </w:pP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6</w:t>
            </w:r>
          </w:p>
        </w:tc>
        <w:tc>
          <w:tcPr>
            <w:tcW w:w="1440" w:type="dxa"/>
            <w:tcBorders>
              <w:top w:val="single" w:sz="4" w:space="0" w:color="auto"/>
              <w:left w:val="nil"/>
              <w:bottom w:val="single" w:sz="4" w:space="0" w:color="auto"/>
              <w:right w:val="nil"/>
            </w:tcBorders>
          </w:tcPr>
          <w:p w:rsidR="00132228" w:rsidRDefault="005E54C1"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77,720</w:t>
            </w:r>
          </w:p>
        </w:tc>
        <w:tc>
          <w:tcPr>
            <w:tcW w:w="1491" w:type="dxa"/>
            <w:tcBorders>
              <w:top w:val="single" w:sz="4" w:space="0" w:color="auto"/>
              <w:left w:val="nil"/>
              <w:bottom w:val="single" w:sz="4" w:space="0" w:color="auto"/>
              <w:right w:val="nil"/>
            </w:tcBorders>
          </w:tcPr>
          <w:p w:rsidR="00132228" w:rsidRDefault="00E334CF"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89,278</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5</w:t>
            </w:r>
          </w:p>
        </w:tc>
        <w:tc>
          <w:tcPr>
            <w:tcW w:w="1440" w:type="dxa"/>
            <w:tcBorders>
              <w:top w:val="single" w:sz="4" w:space="0" w:color="auto"/>
              <w:left w:val="nil"/>
              <w:bottom w:val="single" w:sz="4" w:space="0" w:color="auto"/>
              <w:right w:val="nil"/>
            </w:tcBorders>
          </w:tcPr>
          <w:p w:rsidR="00132228" w:rsidRDefault="00E334CF"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71,956</w:t>
            </w:r>
          </w:p>
        </w:tc>
        <w:tc>
          <w:tcPr>
            <w:tcW w:w="1491" w:type="dxa"/>
            <w:tcBorders>
              <w:top w:val="single" w:sz="4" w:space="0" w:color="auto"/>
              <w:left w:val="nil"/>
              <w:bottom w:val="single" w:sz="4" w:space="0" w:color="auto"/>
              <w:right w:val="nil"/>
            </w:tcBorders>
          </w:tcPr>
          <w:p w:rsidR="00132228" w:rsidRDefault="00E334CF"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76,304</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4</w:t>
            </w:r>
          </w:p>
        </w:tc>
        <w:tc>
          <w:tcPr>
            <w:tcW w:w="1440" w:type="dxa"/>
            <w:tcBorders>
              <w:top w:val="single" w:sz="4" w:space="0" w:color="auto"/>
              <w:left w:val="nil"/>
              <w:bottom w:val="single" w:sz="4" w:space="0" w:color="auto"/>
              <w:right w:val="nil"/>
            </w:tcBorders>
          </w:tcPr>
          <w:p w:rsidR="00132228" w:rsidRDefault="00E334CF"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64,514</w:t>
            </w:r>
          </w:p>
        </w:tc>
        <w:tc>
          <w:tcPr>
            <w:tcW w:w="1491" w:type="dxa"/>
            <w:tcBorders>
              <w:top w:val="single" w:sz="4" w:space="0" w:color="auto"/>
              <w:left w:val="nil"/>
              <w:bottom w:val="single" w:sz="4" w:space="0" w:color="auto"/>
              <w:right w:val="nil"/>
            </w:tcBorders>
          </w:tcPr>
          <w:p w:rsidR="00132228" w:rsidRDefault="00E334CF"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70,049</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rPr>
                <w:rFonts w:ascii="Arial" w:hAnsi="Arial" w:cs="Arial"/>
                <w:b/>
                <w:color w:val="0000FF"/>
                <w:sz w:val="18"/>
                <w:szCs w:val="18"/>
              </w:rPr>
            </w:pPr>
            <w:r>
              <w:rPr>
                <w:rFonts w:ascii="Arial" w:hAnsi="Arial" w:cs="Arial"/>
                <w:b/>
                <w:color w:val="0000FF"/>
                <w:sz w:val="18"/>
                <w:szCs w:val="18"/>
              </w:rPr>
              <w:t>OPC Broadband A:</w:t>
            </w:r>
          </w:p>
        </w:tc>
        <w:tc>
          <w:tcPr>
            <w:tcW w:w="1440" w:type="dxa"/>
            <w:tcBorders>
              <w:top w:val="single" w:sz="4" w:space="0" w:color="auto"/>
              <w:left w:val="nil"/>
              <w:bottom w:val="single" w:sz="4" w:space="0" w:color="auto"/>
              <w:right w:val="nil"/>
            </w:tcBorders>
          </w:tcPr>
          <w:p w:rsidR="00132228" w:rsidRDefault="00132228" w:rsidP="00DE340C">
            <w:pPr>
              <w:keepLines/>
              <w:tabs>
                <w:tab w:val="decimal" w:pos="840"/>
              </w:tabs>
              <w:spacing w:before="60" w:after="60"/>
              <w:rPr>
                <w:rFonts w:ascii="Arial" w:hAnsi="Arial" w:cs="Arial"/>
                <w:color w:val="0000FF"/>
                <w:sz w:val="18"/>
                <w:szCs w:val="18"/>
              </w:rPr>
            </w:pPr>
          </w:p>
        </w:tc>
        <w:tc>
          <w:tcPr>
            <w:tcW w:w="1491" w:type="dxa"/>
            <w:tcBorders>
              <w:top w:val="single" w:sz="4" w:space="0" w:color="auto"/>
              <w:left w:val="nil"/>
              <w:bottom w:val="single" w:sz="4" w:space="0" w:color="auto"/>
              <w:right w:val="nil"/>
            </w:tcBorders>
          </w:tcPr>
          <w:p w:rsidR="00132228" w:rsidRDefault="00132228" w:rsidP="00DE340C">
            <w:pPr>
              <w:keepLines/>
              <w:tabs>
                <w:tab w:val="decimal" w:pos="860"/>
              </w:tabs>
              <w:spacing w:before="60" w:after="60"/>
              <w:rPr>
                <w:rFonts w:ascii="Arial" w:hAnsi="Arial" w:cs="Arial"/>
                <w:color w:val="0000FF"/>
                <w:sz w:val="18"/>
                <w:szCs w:val="18"/>
              </w:rPr>
            </w:pP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3</w:t>
            </w:r>
          </w:p>
        </w:tc>
        <w:tc>
          <w:tcPr>
            <w:tcW w:w="1440" w:type="dxa"/>
            <w:tcBorders>
              <w:top w:val="single" w:sz="4" w:space="0" w:color="auto"/>
              <w:left w:val="nil"/>
              <w:bottom w:val="single" w:sz="4" w:space="0" w:color="auto"/>
              <w:right w:val="nil"/>
            </w:tcBorders>
          </w:tcPr>
          <w:p w:rsidR="00132228" w:rsidRDefault="00E334CF"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57,885</w:t>
            </w:r>
          </w:p>
        </w:tc>
        <w:tc>
          <w:tcPr>
            <w:tcW w:w="1491" w:type="dxa"/>
            <w:tcBorders>
              <w:top w:val="single" w:sz="4" w:space="0" w:color="auto"/>
              <w:left w:val="nil"/>
              <w:bottom w:val="single" w:sz="4" w:space="0" w:color="auto"/>
              <w:right w:val="nil"/>
            </w:tcBorders>
          </w:tcPr>
          <w:p w:rsidR="00132228" w:rsidRDefault="00E334CF"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62,477</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2</w:t>
            </w:r>
          </w:p>
        </w:tc>
        <w:tc>
          <w:tcPr>
            <w:tcW w:w="1440" w:type="dxa"/>
            <w:tcBorders>
              <w:top w:val="single" w:sz="4" w:space="0" w:color="auto"/>
              <w:left w:val="nil"/>
              <w:bottom w:val="single" w:sz="4" w:space="0" w:color="auto"/>
              <w:right w:val="nil"/>
            </w:tcBorders>
          </w:tcPr>
          <w:p w:rsidR="00132228" w:rsidRDefault="00E334CF"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50,820</w:t>
            </w:r>
          </w:p>
        </w:tc>
        <w:tc>
          <w:tcPr>
            <w:tcW w:w="1491" w:type="dxa"/>
            <w:tcBorders>
              <w:top w:val="single" w:sz="4" w:space="0" w:color="auto"/>
              <w:left w:val="nil"/>
              <w:bottom w:val="single" w:sz="4" w:space="0" w:color="auto"/>
              <w:right w:val="nil"/>
            </w:tcBorders>
          </w:tcPr>
          <w:p w:rsidR="00132228" w:rsidRDefault="00E334CF"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56,358</w:t>
            </w:r>
          </w:p>
        </w:tc>
      </w:tr>
      <w:tr w:rsidR="00132228" w:rsidTr="00DE340C">
        <w:trPr>
          <w:cantSplit/>
        </w:trPr>
        <w:tc>
          <w:tcPr>
            <w:tcW w:w="4440" w:type="dxa"/>
            <w:tcBorders>
              <w:top w:val="single" w:sz="4" w:space="0" w:color="auto"/>
              <w:left w:val="nil"/>
              <w:bottom w:val="single" w:sz="12"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1</w:t>
            </w:r>
          </w:p>
        </w:tc>
        <w:tc>
          <w:tcPr>
            <w:tcW w:w="1440" w:type="dxa"/>
            <w:tcBorders>
              <w:top w:val="single" w:sz="4" w:space="0" w:color="auto"/>
              <w:left w:val="nil"/>
              <w:bottom w:val="single" w:sz="12" w:space="0" w:color="auto"/>
              <w:right w:val="nil"/>
            </w:tcBorders>
          </w:tcPr>
          <w:p w:rsidR="00132228" w:rsidRDefault="00E334CF"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44,907</w:t>
            </w:r>
          </w:p>
        </w:tc>
        <w:tc>
          <w:tcPr>
            <w:tcW w:w="1491" w:type="dxa"/>
            <w:tcBorders>
              <w:top w:val="single" w:sz="4" w:space="0" w:color="auto"/>
              <w:left w:val="nil"/>
              <w:bottom w:val="single" w:sz="12" w:space="0" w:color="auto"/>
              <w:right w:val="nil"/>
            </w:tcBorders>
          </w:tcPr>
          <w:p w:rsidR="00132228" w:rsidRDefault="00E334CF"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49,631</w:t>
            </w:r>
          </w:p>
        </w:tc>
      </w:tr>
    </w:tbl>
    <w:p w:rsidR="001F5E11" w:rsidRPr="00AF72D1" w:rsidRDefault="001F5E11" w:rsidP="001F5E11">
      <w:pPr>
        <w:pStyle w:val="Blocks"/>
        <w:ind w:left="600" w:hanging="600"/>
        <w:rPr>
          <w:rFonts w:ascii="Arial" w:hAnsi="Arial" w:cs="Arial"/>
          <w:sz w:val="18"/>
          <w:szCs w:val="18"/>
        </w:rPr>
        <w:sectPr w:rsidR="001F5E11" w:rsidRPr="00AF72D1">
          <w:headerReference w:type="even" r:id="rId95"/>
          <w:headerReference w:type="default" r:id="rId96"/>
          <w:footerReference w:type="even" r:id="rId97"/>
          <w:footerReference w:type="default" r:id="rId98"/>
          <w:pgSz w:w="11907" w:h="16839" w:code="9"/>
          <w:pgMar w:top="1134" w:right="2410" w:bottom="4253" w:left="2410" w:header="510" w:footer="3402" w:gutter="0"/>
          <w:cols w:space="709"/>
          <w:docGrid w:linePitch="326"/>
        </w:sectPr>
      </w:pPr>
    </w:p>
    <w:p w:rsidR="00246266" w:rsidRDefault="00246266" w:rsidP="003D5FCA">
      <w:pPr>
        <w:pStyle w:val="Head2"/>
        <w:spacing w:before="0" w:after="0"/>
        <w:sectPr w:rsidR="00246266">
          <w:headerReference w:type="even" r:id="rId99"/>
          <w:headerReference w:type="default" r:id="rId100"/>
          <w:footerReference w:type="even" r:id="rId101"/>
          <w:footerReference w:type="default" r:id="rId102"/>
          <w:pgSz w:w="11907" w:h="16839" w:code="9"/>
          <w:pgMar w:top="1134" w:right="2410" w:bottom="4253" w:left="2410" w:header="510" w:footer="3402" w:gutter="0"/>
          <w:cols w:space="709"/>
          <w:docGrid w:linePitch="326"/>
        </w:sectPr>
      </w:pPr>
      <w:bookmarkStart w:id="130" w:name="_Toc463613762"/>
      <w:r>
        <w:t xml:space="preserve">Appendix </w:t>
      </w:r>
      <w:r w:rsidR="00AD12AA">
        <w:t>C</w:t>
      </w:r>
      <w:r>
        <w:t xml:space="preserve">—Reporting required by section 516A of the </w:t>
      </w:r>
      <w:r w:rsidRPr="004751FF">
        <w:rPr>
          <w:i/>
        </w:rPr>
        <w:t>Environment Protection and Biodiversity Conservation Act 1999</w:t>
      </w:r>
      <w:bookmarkEnd w:id="130"/>
    </w:p>
    <w:p w:rsidR="00246266" w:rsidRDefault="00246266" w:rsidP="003D5FCA">
      <w:pPr>
        <w:pStyle w:val="Head4"/>
        <w:spacing w:before="120"/>
        <w:rPr>
          <w:i/>
        </w:rPr>
      </w:pPr>
      <w:r>
        <w:rPr>
          <w:i/>
        </w:rPr>
        <w:t>How OPC</w:t>
      </w:r>
      <w:r w:rsidR="003C39D9">
        <w:rPr>
          <w:i/>
        </w:rPr>
        <w:t>’</w:t>
      </w:r>
      <w:r>
        <w:rPr>
          <w:i/>
        </w:rPr>
        <w:t>s activities accorded with principles of ecologically sustainable development</w:t>
      </w:r>
    </w:p>
    <w:p w:rsidR="00703A7F" w:rsidRPr="00703A7F" w:rsidRDefault="00703A7F" w:rsidP="00703A7F">
      <w:pPr>
        <w:numPr>
          <w:ilvl w:val="0"/>
          <w:numId w:val="1"/>
        </w:numPr>
        <w:spacing w:before="240" w:line="300" w:lineRule="exact"/>
        <w:rPr>
          <w:rFonts w:ascii="Arial" w:hAnsi="Arial"/>
          <w:sz w:val="20"/>
        </w:rPr>
      </w:pPr>
      <w:r w:rsidRPr="00703A7F">
        <w:rPr>
          <w:rFonts w:ascii="Arial" w:hAnsi="Arial"/>
          <w:sz w:val="20"/>
        </w:rPr>
        <w:t>OPC’s activities are fully describe</w:t>
      </w:r>
      <w:r w:rsidR="002D48EF">
        <w:rPr>
          <w:rFonts w:ascii="Arial" w:hAnsi="Arial"/>
          <w:sz w:val="20"/>
        </w:rPr>
        <w:t>d in Chapter 1 of this report.</w:t>
      </w:r>
    </w:p>
    <w:p w:rsidR="00246266" w:rsidRDefault="00703A7F" w:rsidP="00A80292">
      <w:pPr>
        <w:pStyle w:val="BodyNum"/>
      </w:pPr>
      <w:r>
        <w:t>Given that OPC did not administer any legislation during the year and OPC’s activities were undertaken largely on the instructions of clients, there was little scope for OPC’s activities to give effect to</w:t>
      </w:r>
      <w:r w:rsidR="002D48EF">
        <w:t xml:space="preserve"> the principles of ecologically-</w:t>
      </w:r>
      <w:r>
        <w:t xml:space="preserve">sustainable development listed in section 3A of the </w:t>
      </w:r>
      <w:r w:rsidRPr="007266C0">
        <w:rPr>
          <w:i/>
        </w:rPr>
        <w:t>Environment Protection and Biodiversity Conservation Act 1999</w:t>
      </w:r>
      <w:r>
        <w:t>.</w:t>
      </w:r>
    </w:p>
    <w:p w:rsidR="00246266" w:rsidRDefault="00703A7F" w:rsidP="00A80292">
      <w:pPr>
        <w:pStyle w:val="BodyNum"/>
      </w:pPr>
      <w:r>
        <w:t>However, OPC staff took opportunities in their drafting work to draw the attention of instructors to the long-term and short-term ecological implications of legislation embodying their instructions. This accords with the first of the principles listed in that section (“decision-making processes should effectively integrate both long-term and short-term economic, environmental, social and equitable considerations”).</w:t>
      </w:r>
    </w:p>
    <w:p w:rsidR="00246266" w:rsidRDefault="00246266" w:rsidP="003D5FCA">
      <w:pPr>
        <w:pStyle w:val="Head4"/>
        <w:spacing w:before="120"/>
        <w:rPr>
          <w:i/>
        </w:rPr>
      </w:pPr>
      <w:r>
        <w:rPr>
          <w:i/>
        </w:rPr>
        <w:t>Appropriations Act outcome contributing to ecologically sustainable development</w:t>
      </w:r>
    </w:p>
    <w:p w:rsidR="00246266" w:rsidRDefault="00246266" w:rsidP="00A80292">
      <w:pPr>
        <w:pStyle w:val="BodyNum"/>
      </w:pPr>
      <w:r>
        <w:t xml:space="preserve">OPC has only one Appropriations Act outcome: </w:t>
      </w:r>
      <w:r w:rsidR="00703A7F">
        <w:t>“</w:t>
      </w:r>
      <w:r w:rsidR="00703A7F" w:rsidRPr="00703A7F">
        <w:t>A body of Commonwealth laws and instruments that give effect to intended policy, and that are coherent, readable and readily accessible, through the drafting and publication of those laws and instruments</w:t>
      </w:r>
      <w:r w:rsidR="00703A7F">
        <w:t>”.</w:t>
      </w:r>
      <w:r>
        <w:t xml:space="preserve"> It is difficult to conclude that this outcome makes any identifiable contribution to ecologically sustainable development.</w:t>
      </w:r>
    </w:p>
    <w:p w:rsidR="00246266" w:rsidRPr="00703A7F" w:rsidRDefault="00246266" w:rsidP="003D5FCA">
      <w:pPr>
        <w:pStyle w:val="Head4"/>
        <w:spacing w:before="120"/>
        <w:rPr>
          <w:i/>
        </w:rPr>
      </w:pPr>
      <w:r>
        <w:rPr>
          <w:i/>
        </w:rPr>
        <w:t>Effect of OPC</w:t>
      </w:r>
      <w:r w:rsidR="003C39D9">
        <w:rPr>
          <w:i/>
        </w:rPr>
        <w:t>’</w:t>
      </w:r>
      <w:r>
        <w:rPr>
          <w:i/>
        </w:rPr>
        <w:t>s activities on the environment</w:t>
      </w:r>
    </w:p>
    <w:p w:rsidR="00AD12AA" w:rsidRPr="00CB5B68" w:rsidRDefault="00703A7F" w:rsidP="00A80292">
      <w:pPr>
        <w:pStyle w:val="BodyNum"/>
      </w:pPr>
      <w:r w:rsidRPr="00CB5B68">
        <w:t>OPC</w:t>
      </w:r>
      <w:r>
        <w:t xml:space="preserve">’s operations </w:t>
      </w:r>
      <w:r w:rsidRPr="00CB5B68">
        <w:t xml:space="preserve">have direct and indirect effects on the environment, particularly through the use of energy, transport, office equipment and materials in office equipment. The following table, which relates to some of those </w:t>
      </w:r>
      <w:r w:rsidR="004D7BCC">
        <w:t>commodities</w:t>
      </w:r>
      <w:r w:rsidRPr="00CB5B68">
        <w:t xml:space="preserve"> in the year, gives an indication of those effects and a comparison with the 201</w:t>
      </w:r>
      <w:r w:rsidR="005A04AB">
        <w:t>4</w:t>
      </w:r>
      <w:r w:rsidRPr="00CB5B68">
        <w:t>-201</w:t>
      </w:r>
      <w:r w:rsidR="005A04AB">
        <w:t>5</w:t>
      </w:r>
      <w:r w:rsidRPr="00CB5B68">
        <w:t xml:space="preserve"> year.</w:t>
      </w:r>
    </w:p>
    <w:p w:rsidR="00246266" w:rsidRDefault="00246266" w:rsidP="00246266">
      <w:pPr>
        <w:sectPr w:rsidR="00246266">
          <w:type w:val="continuous"/>
          <w:pgSz w:w="11907" w:h="16839" w:code="9"/>
          <w:pgMar w:top="1134" w:right="2410" w:bottom="4253" w:left="2410" w:header="510" w:footer="3402" w:gutter="0"/>
          <w:cols w:num="2" w:space="709"/>
          <w:docGrid w:linePitch="326"/>
        </w:sectPr>
      </w:pPr>
    </w:p>
    <w:p w:rsidR="007C2411" w:rsidRDefault="007C2411" w:rsidP="00B32762"/>
    <w:tbl>
      <w:tblPr>
        <w:tblW w:w="7075" w:type="dxa"/>
        <w:tblInd w:w="113" w:type="dxa"/>
        <w:tblLayout w:type="fixed"/>
        <w:tblLook w:val="0000" w:firstRow="0" w:lastRow="0" w:firstColumn="0" w:lastColumn="0" w:noHBand="0" w:noVBand="0"/>
      </w:tblPr>
      <w:tblGrid>
        <w:gridCol w:w="1367"/>
        <w:gridCol w:w="1190"/>
        <w:gridCol w:w="1204"/>
        <w:gridCol w:w="3314"/>
      </w:tblGrid>
      <w:tr w:rsidR="007C2411" w:rsidTr="006D7E9B">
        <w:trPr>
          <w:tblHeader/>
        </w:trPr>
        <w:tc>
          <w:tcPr>
            <w:tcW w:w="1367" w:type="dxa"/>
            <w:tcBorders>
              <w:top w:val="single" w:sz="12" w:space="0" w:color="auto"/>
              <w:bottom w:val="single" w:sz="12" w:space="0" w:color="auto"/>
            </w:tcBorders>
            <w:shd w:val="clear" w:color="auto" w:fill="auto"/>
          </w:tcPr>
          <w:p w:rsidR="007C2411" w:rsidRDefault="007C2411" w:rsidP="006D7E9B">
            <w:pPr>
              <w:pStyle w:val="Tabletexthead"/>
            </w:pPr>
            <w:r>
              <w:t>Commodity</w:t>
            </w:r>
          </w:p>
        </w:tc>
        <w:tc>
          <w:tcPr>
            <w:tcW w:w="1190" w:type="dxa"/>
            <w:tcBorders>
              <w:top w:val="single" w:sz="12" w:space="0" w:color="auto"/>
              <w:bottom w:val="single" w:sz="12" w:space="0" w:color="auto"/>
            </w:tcBorders>
            <w:shd w:val="clear" w:color="auto" w:fill="auto"/>
          </w:tcPr>
          <w:p w:rsidR="007C2411" w:rsidRDefault="00AD12AA" w:rsidP="005A04AB">
            <w:pPr>
              <w:pStyle w:val="Tabletexthead"/>
            </w:pPr>
            <w:r w:rsidRPr="00CB5B68">
              <w:rPr>
                <w:rFonts w:cs="Arial"/>
              </w:rPr>
              <w:t>Amount bought in 201</w:t>
            </w:r>
            <w:r w:rsidR="005A04AB">
              <w:rPr>
                <w:rFonts w:cs="Arial"/>
              </w:rPr>
              <w:t>5</w:t>
            </w:r>
            <w:r w:rsidRPr="00CB5B68">
              <w:rPr>
                <w:rFonts w:cs="Arial"/>
              </w:rPr>
              <w:noBreakHyphen/>
              <w:t>201</w:t>
            </w:r>
            <w:r w:rsidR="005A04AB">
              <w:rPr>
                <w:rFonts w:cs="Arial"/>
              </w:rPr>
              <w:t>6</w:t>
            </w:r>
          </w:p>
        </w:tc>
        <w:tc>
          <w:tcPr>
            <w:tcW w:w="1204" w:type="dxa"/>
            <w:tcBorders>
              <w:top w:val="single" w:sz="12" w:space="0" w:color="auto"/>
              <w:bottom w:val="single" w:sz="12" w:space="0" w:color="auto"/>
            </w:tcBorders>
            <w:shd w:val="clear" w:color="auto" w:fill="auto"/>
          </w:tcPr>
          <w:p w:rsidR="007C2411" w:rsidRDefault="00AD12AA" w:rsidP="005A04AB">
            <w:pPr>
              <w:pStyle w:val="Tabletexthead"/>
            </w:pPr>
            <w:r w:rsidRPr="00CB5B68">
              <w:rPr>
                <w:rFonts w:cs="Arial"/>
              </w:rPr>
              <w:t>Amount bought in 201</w:t>
            </w:r>
            <w:r w:rsidR="005A04AB">
              <w:rPr>
                <w:rFonts w:cs="Arial"/>
              </w:rPr>
              <w:t>4</w:t>
            </w:r>
            <w:r w:rsidRPr="00CB5B68">
              <w:rPr>
                <w:rFonts w:cs="Arial"/>
              </w:rPr>
              <w:noBreakHyphen/>
              <w:t>201</w:t>
            </w:r>
            <w:r w:rsidR="005A04AB">
              <w:rPr>
                <w:rFonts w:cs="Arial"/>
              </w:rPr>
              <w:t>5</w:t>
            </w:r>
          </w:p>
        </w:tc>
        <w:tc>
          <w:tcPr>
            <w:tcW w:w="3314" w:type="dxa"/>
            <w:tcBorders>
              <w:top w:val="single" w:sz="12" w:space="0" w:color="auto"/>
              <w:bottom w:val="single" w:sz="12" w:space="0" w:color="auto"/>
            </w:tcBorders>
            <w:shd w:val="clear" w:color="auto" w:fill="auto"/>
          </w:tcPr>
          <w:p w:rsidR="007C2411" w:rsidRDefault="007C2411" w:rsidP="006D7E9B">
            <w:pPr>
              <w:pStyle w:val="Tabletexthead"/>
            </w:pPr>
            <w:r>
              <w:t>Comments</w:t>
            </w:r>
          </w:p>
        </w:tc>
      </w:tr>
      <w:tr w:rsidR="00AD12AA" w:rsidTr="006D7E9B">
        <w:tc>
          <w:tcPr>
            <w:tcW w:w="1367" w:type="dxa"/>
            <w:tcBorders>
              <w:top w:val="single" w:sz="12" w:space="0" w:color="auto"/>
              <w:bottom w:val="single" w:sz="2" w:space="0" w:color="auto"/>
            </w:tcBorders>
            <w:shd w:val="clear" w:color="auto" w:fill="auto"/>
          </w:tcPr>
          <w:p w:rsidR="00252D0F" w:rsidRDefault="00252D0F" w:rsidP="006D7E9B">
            <w:pPr>
              <w:pStyle w:val="Tabletext"/>
              <w:spacing w:before="120"/>
              <w:rPr>
                <w:sz w:val="18"/>
                <w:szCs w:val="18"/>
              </w:rPr>
            </w:pPr>
            <w:r>
              <w:rPr>
                <w:sz w:val="18"/>
                <w:szCs w:val="18"/>
              </w:rPr>
              <w:t>Electricity used on OPC’s Forrest premises</w:t>
            </w:r>
          </w:p>
          <w:p w:rsidR="00252D0F" w:rsidRDefault="00252D0F" w:rsidP="006D7E9B">
            <w:pPr>
              <w:pStyle w:val="Tabletext"/>
              <w:spacing w:before="120"/>
              <w:rPr>
                <w:sz w:val="18"/>
                <w:szCs w:val="18"/>
              </w:rPr>
            </w:pPr>
          </w:p>
          <w:p w:rsidR="00696BFB" w:rsidRDefault="00696BFB" w:rsidP="006D7E9B">
            <w:pPr>
              <w:pStyle w:val="Tabletext"/>
              <w:spacing w:before="120"/>
              <w:rPr>
                <w:sz w:val="18"/>
                <w:szCs w:val="18"/>
              </w:rPr>
            </w:pPr>
          </w:p>
          <w:p w:rsidR="00696BFB" w:rsidRDefault="00696BFB" w:rsidP="006D7E9B">
            <w:pPr>
              <w:pStyle w:val="Tabletext"/>
              <w:spacing w:before="120"/>
              <w:rPr>
                <w:sz w:val="18"/>
                <w:szCs w:val="18"/>
              </w:rPr>
            </w:pPr>
          </w:p>
          <w:p w:rsidR="00696BFB" w:rsidRDefault="00696BFB" w:rsidP="006D7E9B">
            <w:pPr>
              <w:pStyle w:val="Tabletext"/>
              <w:spacing w:before="120"/>
              <w:rPr>
                <w:sz w:val="18"/>
                <w:szCs w:val="18"/>
              </w:rPr>
            </w:pPr>
          </w:p>
          <w:p w:rsidR="0091218C" w:rsidRDefault="0091218C" w:rsidP="006D7E9B">
            <w:pPr>
              <w:pStyle w:val="Tabletext"/>
              <w:spacing w:before="120"/>
              <w:rPr>
                <w:sz w:val="18"/>
                <w:szCs w:val="18"/>
              </w:rPr>
            </w:pPr>
          </w:p>
          <w:p w:rsidR="00A37283" w:rsidRDefault="00A37283" w:rsidP="006D7E9B">
            <w:pPr>
              <w:pStyle w:val="Tabletext"/>
              <w:spacing w:before="120"/>
              <w:rPr>
                <w:sz w:val="18"/>
                <w:szCs w:val="18"/>
              </w:rPr>
            </w:pPr>
          </w:p>
          <w:p w:rsidR="00025559" w:rsidRDefault="00025559" w:rsidP="006D7E9B">
            <w:pPr>
              <w:pStyle w:val="Tabletext"/>
              <w:spacing w:before="120"/>
              <w:rPr>
                <w:sz w:val="18"/>
                <w:szCs w:val="18"/>
              </w:rPr>
            </w:pPr>
          </w:p>
          <w:p w:rsidR="00025559" w:rsidRDefault="00025559" w:rsidP="006D7E9B">
            <w:pPr>
              <w:pStyle w:val="Tabletext"/>
              <w:spacing w:before="120"/>
              <w:rPr>
                <w:sz w:val="18"/>
                <w:szCs w:val="18"/>
              </w:rPr>
            </w:pPr>
          </w:p>
          <w:p w:rsidR="00AD12AA" w:rsidRDefault="00AD12AA" w:rsidP="006D7E9B">
            <w:pPr>
              <w:pStyle w:val="Tabletext"/>
              <w:spacing w:before="120"/>
              <w:rPr>
                <w:sz w:val="18"/>
                <w:szCs w:val="18"/>
              </w:rPr>
            </w:pPr>
            <w:r>
              <w:rPr>
                <w:sz w:val="18"/>
                <w:szCs w:val="18"/>
              </w:rPr>
              <w:t>Electricity used on OPC</w:t>
            </w:r>
            <w:r w:rsidR="003C39D9">
              <w:rPr>
                <w:sz w:val="18"/>
                <w:szCs w:val="18"/>
              </w:rPr>
              <w:t>’</w:t>
            </w:r>
            <w:r>
              <w:rPr>
                <w:sz w:val="18"/>
                <w:szCs w:val="18"/>
              </w:rPr>
              <w:t xml:space="preserve">s </w:t>
            </w:r>
            <w:r w:rsidR="00703A7F">
              <w:rPr>
                <w:sz w:val="18"/>
                <w:szCs w:val="18"/>
              </w:rPr>
              <w:t xml:space="preserve">Barton </w:t>
            </w:r>
            <w:r>
              <w:rPr>
                <w:sz w:val="18"/>
                <w:szCs w:val="18"/>
              </w:rPr>
              <w:t>premises</w:t>
            </w:r>
          </w:p>
          <w:p w:rsidR="00C90246" w:rsidRDefault="005745C2" w:rsidP="006D7E9B">
            <w:pPr>
              <w:pStyle w:val="Tabletext"/>
              <w:spacing w:before="120"/>
              <w:rPr>
                <w:sz w:val="18"/>
                <w:szCs w:val="18"/>
              </w:rPr>
            </w:pPr>
            <w:r>
              <w:rPr>
                <w:sz w:val="18"/>
                <w:szCs w:val="18"/>
              </w:rPr>
              <w:t>Electricity used o</w:t>
            </w:r>
            <w:r w:rsidR="00703A7F">
              <w:rPr>
                <w:sz w:val="18"/>
                <w:szCs w:val="18"/>
              </w:rPr>
              <w:t>n OPC’s Deakin premises</w:t>
            </w:r>
          </w:p>
        </w:tc>
        <w:tc>
          <w:tcPr>
            <w:tcW w:w="1190" w:type="dxa"/>
            <w:tcBorders>
              <w:top w:val="single" w:sz="12" w:space="0" w:color="auto"/>
              <w:bottom w:val="single" w:sz="2" w:space="0" w:color="auto"/>
            </w:tcBorders>
            <w:shd w:val="clear" w:color="auto" w:fill="auto"/>
          </w:tcPr>
          <w:p w:rsidR="00252D0F" w:rsidRDefault="0091218C" w:rsidP="00252D0F">
            <w:pPr>
              <w:pStyle w:val="Tabletext"/>
              <w:spacing w:before="120"/>
              <w:rPr>
                <w:sz w:val="18"/>
                <w:szCs w:val="18"/>
              </w:rPr>
            </w:pPr>
            <w:r>
              <w:rPr>
                <w:sz w:val="18"/>
                <w:szCs w:val="18"/>
              </w:rPr>
              <w:t>111</w:t>
            </w:r>
            <w:r w:rsidR="00252D0F">
              <w:rPr>
                <w:sz w:val="18"/>
                <w:szCs w:val="18"/>
              </w:rPr>
              <w:t>,</w:t>
            </w:r>
            <w:r>
              <w:rPr>
                <w:sz w:val="18"/>
                <w:szCs w:val="18"/>
              </w:rPr>
              <w:t>671</w:t>
            </w:r>
            <w:r w:rsidR="00252D0F">
              <w:rPr>
                <w:sz w:val="18"/>
                <w:szCs w:val="18"/>
              </w:rPr>
              <w:t xml:space="preserve"> kWh</w:t>
            </w:r>
          </w:p>
          <w:p w:rsidR="00252D0F" w:rsidRDefault="00252D0F" w:rsidP="00252D0F">
            <w:pPr>
              <w:pStyle w:val="Tabletext"/>
              <w:spacing w:before="120"/>
              <w:rPr>
                <w:sz w:val="18"/>
                <w:szCs w:val="18"/>
              </w:rPr>
            </w:pPr>
          </w:p>
          <w:p w:rsidR="00252D0F" w:rsidRDefault="00252D0F" w:rsidP="00252D0F">
            <w:pPr>
              <w:pStyle w:val="Tabletext"/>
              <w:spacing w:before="120"/>
              <w:rPr>
                <w:sz w:val="18"/>
                <w:szCs w:val="18"/>
              </w:rPr>
            </w:pPr>
          </w:p>
          <w:p w:rsidR="00696BFB" w:rsidRDefault="00696BFB" w:rsidP="00BE2009">
            <w:pPr>
              <w:pStyle w:val="Tabletext"/>
              <w:spacing w:before="120"/>
              <w:rPr>
                <w:sz w:val="18"/>
                <w:szCs w:val="18"/>
              </w:rPr>
            </w:pPr>
          </w:p>
          <w:p w:rsidR="00696BFB" w:rsidRDefault="00696BFB" w:rsidP="00BE2009">
            <w:pPr>
              <w:pStyle w:val="Tabletext"/>
              <w:spacing w:before="120"/>
              <w:rPr>
                <w:sz w:val="18"/>
                <w:szCs w:val="18"/>
              </w:rPr>
            </w:pPr>
          </w:p>
          <w:p w:rsidR="00696BFB" w:rsidRDefault="00696BFB" w:rsidP="00BE2009">
            <w:pPr>
              <w:pStyle w:val="Tabletext"/>
              <w:spacing w:before="120"/>
              <w:rPr>
                <w:sz w:val="18"/>
                <w:szCs w:val="18"/>
              </w:rPr>
            </w:pPr>
          </w:p>
          <w:p w:rsidR="00696BFB" w:rsidRDefault="00696BFB" w:rsidP="00BE2009">
            <w:pPr>
              <w:pStyle w:val="Tabletext"/>
              <w:spacing w:before="120"/>
              <w:rPr>
                <w:sz w:val="18"/>
                <w:szCs w:val="18"/>
              </w:rPr>
            </w:pPr>
          </w:p>
          <w:p w:rsidR="0091218C" w:rsidRDefault="0091218C" w:rsidP="00BE2009">
            <w:pPr>
              <w:pStyle w:val="Tabletext"/>
              <w:spacing w:before="120"/>
              <w:rPr>
                <w:sz w:val="18"/>
                <w:szCs w:val="18"/>
              </w:rPr>
            </w:pPr>
          </w:p>
          <w:p w:rsidR="00A37283" w:rsidRDefault="00A37283" w:rsidP="00BE2009">
            <w:pPr>
              <w:pStyle w:val="Tabletext"/>
              <w:spacing w:before="120"/>
              <w:rPr>
                <w:sz w:val="18"/>
                <w:szCs w:val="18"/>
              </w:rPr>
            </w:pPr>
          </w:p>
          <w:p w:rsidR="00025559" w:rsidRDefault="00025559" w:rsidP="00BE2009">
            <w:pPr>
              <w:pStyle w:val="Tabletext"/>
              <w:spacing w:before="120"/>
              <w:rPr>
                <w:sz w:val="18"/>
                <w:szCs w:val="18"/>
              </w:rPr>
            </w:pPr>
          </w:p>
          <w:p w:rsidR="00025559" w:rsidRDefault="00025559" w:rsidP="00BE2009">
            <w:pPr>
              <w:pStyle w:val="Tabletext"/>
              <w:spacing w:before="120"/>
              <w:rPr>
                <w:sz w:val="18"/>
                <w:szCs w:val="18"/>
              </w:rPr>
            </w:pPr>
          </w:p>
          <w:p w:rsidR="00AD12AA" w:rsidRDefault="0091218C" w:rsidP="00BE2009">
            <w:pPr>
              <w:pStyle w:val="Tabletext"/>
              <w:spacing w:before="120"/>
              <w:rPr>
                <w:sz w:val="18"/>
                <w:szCs w:val="18"/>
              </w:rPr>
            </w:pPr>
            <w:r>
              <w:rPr>
                <w:sz w:val="18"/>
                <w:szCs w:val="18"/>
              </w:rPr>
              <w:t>15</w:t>
            </w:r>
            <w:r w:rsidR="00E138AA">
              <w:rPr>
                <w:sz w:val="18"/>
                <w:szCs w:val="18"/>
              </w:rPr>
              <w:t>,</w:t>
            </w:r>
            <w:r>
              <w:rPr>
                <w:sz w:val="18"/>
                <w:szCs w:val="18"/>
              </w:rPr>
              <w:t>258</w:t>
            </w:r>
            <w:r w:rsidR="00BE2009">
              <w:rPr>
                <w:sz w:val="18"/>
                <w:szCs w:val="18"/>
              </w:rPr>
              <w:t xml:space="preserve"> </w:t>
            </w:r>
            <w:r w:rsidR="00A37283">
              <w:rPr>
                <w:sz w:val="18"/>
                <w:szCs w:val="18"/>
              </w:rPr>
              <w:t xml:space="preserve"> </w:t>
            </w:r>
            <w:r w:rsidR="00AD12AA">
              <w:rPr>
                <w:sz w:val="18"/>
                <w:szCs w:val="18"/>
              </w:rPr>
              <w:t>kWh</w:t>
            </w:r>
          </w:p>
          <w:p w:rsidR="00703A7F" w:rsidRDefault="00703A7F" w:rsidP="00BE2009">
            <w:pPr>
              <w:pStyle w:val="Tabletext"/>
              <w:spacing w:before="120"/>
              <w:rPr>
                <w:sz w:val="18"/>
                <w:szCs w:val="18"/>
              </w:rPr>
            </w:pPr>
          </w:p>
          <w:p w:rsidR="00C90246" w:rsidRDefault="0091218C" w:rsidP="0091218C">
            <w:pPr>
              <w:pStyle w:val="Tabletext"/>
              <w:spacing w:before="120"/>
              <w:rPr>
                <w:sz w:val="18"/>
                <w:szCs w:val="18"/>
              </w:rPr>
            </w:pPr>
            <w:r>
              <w:rPr>
                <w:sz w:val="18"/>
                <w:szCs w:val="18"/>
              </w:rPr>
              <w:t>71</w:t>
            </w:r>
            <w:r w:rsidR="00E138AA">
              <w:rPr>
                <w:sz w:val="18"/>
                <w:szCs w:val="18"/>
              </w:rPr>
              <w:t>,</w:t>
            </w:r>
            <w:r>
              <w:rPr>
                <w:sz w:val="18"/>
                <w:szCs w:val="18"/>
              </w:rPr>
              <w:t>644</w:t>
            </w:r>
            <w:r w:rsidR="00703A7F">
              <w:rPr>
                <w:sz w:val="18"/>
                <w:szCs w:val="18"/>
              </w:rPr>
              <w:t xml:space="preserve"> </w:t>
            </w:r>
            <w:r w:rsidR="00A37283">
              <w:rPr>
                <w:sz w:val="18"/>
                <w:szCs w:val="18"/>
              </w:rPr>
              <w:t xml:space="preserve"> </w:t>
            </w:r>
            <w:r w:rsidR="00703A7F">
              <w:rPr>
                <w:sz w:val="18"/>
                <w:szCs w:val="18"/>
              </w:rPr>
              <w:t>kWh</w:t>
            </w:r>
          </w:p>
        </w:tc>
        <w:tc>
          <w:tcPr>
            <w:tcW w:w="1204" w:type="dxa"/>
            <w:tcBorders>
              <w:top w:val="single" w:sz="12" w:space="0" w:color="auto"/>
              <w:bottom w:val="single" w:sz="2" w:space="0" w:color="auto"/>
            </w:tcBorders>
            <w:shd w:val="clear" w:color="auto" w:fill="auto"/>
          </w:tcPr>
          <w:p w:rsidR="00252D0F" w:rsidRDefault="00252D0F" w:rsidP="00AD12AA">
            <w:pPr>
              <w:pStyle w:val="Tabletext"/>
              <w:spacing w:before="120"/>
              <w:rPr>
                <w:sz w:val="18"/>
                <w:szCs w:val="18"/>
              </w:rPr>
            </w:pPr>
            <w:r>
              <w:rPr>
                <w:sz w:val="18"/>
                <w:szCs w:val="18"/>
              </w:rPr>
              <w:t>1,391    kWh</w:t>
            </w:r>
          </w:p>
          <w:p w:rsidR="00252D0F" w:rsidRDefault="00252D0F" w:rsidP="00AD12AA">
            <w:pPr>
              <w:pStyle w:val="Tabletext"/>
              <w:spacing w:before="120"/>
              <w:rPr>
                <w:sz w:val="18"/>
                <w:szCs w:val="18"/>
              </w:rPr>
            </w:pPr>
          </w:p>
          <w:p w:rsidR="00252D0F" w:rsidRDefault="00252D0F" w:rsidP="00AD12AA">
            <w:pPr>
              <w:pStyle w:val="Tabletext"/>
              <w:spacing w:before="120"/>
              <w:rPr>
                <w:sz w:val="18"/>
                <w:szCs w:val="18"/>
              </w:rPr>
            </w:pPr>
          </w:p>
          <w:p w:rsidR="00696BFB" w:rsidRDefault="00696BFB" w:rsidP="00AD12AA">
            <w:pPr>
              <w:pStyle w:val="Tabletext"/>
              <w:spacing w:before="120"/>
              <w:rPr>
                <w:sz w:val="18"/>
                <w:szCs w:val="18"/>
              </w:rPr>
            </w:pPr>
          </w:p>
          <w:p w:rsidR="00696BFB" w:rsidRDefault="00696BFB" w:rsidP="00AD12AA">
            <w:pPr>
              <w:pStyle w:val="Tabletext"/>
              <w:spacing w:before="120"/>
              <w:rPr>
                <w:sz w:val="18"/>
                <w:szCs w:val="18"/>
              </w:rPr>
            </w:pPr>
          </w:p>
          <w:p w:rsidR="00696BFB" w:rsidRDefault="00696BFB" w:rsidP="00AD12AA">
            <w:pPr>
              <w:pStyle w:val="Tabletext"/>
              <w:spacing w:before="120"/>
              <w:rPr>
                <w:sz w:val="18"/>
                <w:szCs w:val="18"/>
              </w:rPr>
            </w:pPr>
          </w:p>
          <w:p w:rsidR="00696BFB" w:rsidRDefault="00696BFB" w:rsidP="00AD12AA">
            <w:pPr>
              <w:pStyle w:val="Tabletext"/>
              <w:spacing w:before="120"/>
              <w:rPr>
                <w:sz w:val="18"/>
                <w:szCs w:val="18"/>
              </w:rPr>
            </w:pPr>
          </w:p>
          <w:p w:rsidR="0091218C" w:rsidRDefault="0091218C" w:rsidP="00AD12AA">
            <w:pPr>
              <w:pStyle w:val="Tabletext"/>
              <w:spacing w:before="120"/>
              <w:rPr>
                <w:sz w:val="18"/>
                <w:szCs w:val="18"/>
              </w:rPr>
            </w:pPr>
          </w:p>
          <w:p w:rsidR="0091218C" w:rsidRDefault="0091218C" w:rsidP="00AD12AA">
            <w:pPr>
              <w:pStyle w:val="Tabletext"/>
              <w:spacing w:before="120"/>
              <w:rPr>
                <w:sz w:val="18"/>
                <w:szCs w:val="18"/>
              </w:rPr>
            </w:pPr>
          </w:p>
          <w:p w:rsidR="00025559" w:rsidRDefault="00025559" w:rsidP="00AD12AA">
            <w:pPr>
              <w:pStyle w:val="Tabletext"/>
              <w:spacing w:before="120"/>
              <w:rPr>
                <w:sz w:val="18"/>
                <w:szCs w:val="18"/>
              </w:rPr>
            </w:pPr>
          </w:p>
          <w:p w:rsidR="00025559" w:rsidRDefault="00025559" w:rsidP="00AD12AA">
            <w:pPr>
              <w:pStyle w:val="Tabletext"/>
              <w:spacing w:before="120"/>
              <w:rPr>
                <w:sz w:val="18"/>
                <w:szCs w:val="18"/>
              </w:rPr>
            </w:pPr>
          </w:p>
          <w:p w:rsidR="00AD12AA" w:rsidRDefault="005A04AB" w:rsidP="00AD12AA">
            <w:pPr>
              <w:pStyle w:val="Tabletext"/>
              <w:spacing w:before="120"/>
              <w:rPr>
                <w:sz w:val="18"/>
                <w:szCs w:val="18"/>
              </w:rPr>
            </w:pPr>
            <w:r>
              <w:rPr>
                <w:sz w:val="18"/>
                <w:szCs w:val="18"/>
              </w:rPr>
              <w:t>108</w:t>
            </w:r>
            <w:r w:rsidR="00591D8E">
              <w:rPr>
                <w:sz w:val="18"/>
                <w:szCs w:val="18"/>
              </w:rPr>
              <w:t>,</w:t>
            </w:r>
            <w:r>
              <w:rPr>
                <w:sz w:val="18"/>
                <w:szCs w:val="18"/>
              </w:rPr>
              <w:t>858</w:t>
            </w:r>
            <w:r w:rsidR="00AD12AA">
              <w:rPr>
                <w:sz w:val="18"/>
                <w:szCs w:val="18"/>
              </w:rPr>
              <w:t xml:space="preserve"> kWh</w:t>
            </w:r>
          </w:p>
          <w:p w:rsidR="00703A7F" w:rsidRDefault="00703A7F" w:rsidP="00AD12AA">
            <w:pPr>
              <w:pStyle w:val="Tabletext"/>
              <w:spacing w:before="120"/>
              <w:rPr>
                <w:sz w:val="18"/>
                <w:szCs w:val="18"/>
              </w:rPr>
            </w:pPr>
          </w:p>
          <w:p w:rsidR="00C90246" w:rsidRDefault="005A04AB" w:rsidP="00AD12AA">
            <w:pPr>
              <w:pStyle w:val="Tabletext"/>
              <w:spacing w:before="120"/>
              <w:rPr>
                <w:sz w:val="18"/>
                <w:szCs w:val="18"/>
              </w:rPr>
            </w:pPr>
            <w:r>
              <w:rPr>
                <w:sz w:val="18"/>
                <w:szCs w:val="18"/>
              </w:rPr>
              <w:t>278</w:t>
            </w:r>
            <w:r w:rsidR="00591D8E">
              <w:rPr>
                <w:sz w:val="18"/>
                <w:szCs w:val="18"/>
              </w:rPr>
              <w:t>,</w:t>
            </w:r>
            <w:r>
              <w:rPr>
                <w:sz w:val="18"/>
                <w:szCs w:val="18"/>
              </w:rPr>
              <w:t>365</w:t>
            </w:r>
            <w:r w:rsidR="00C01C05">
              <w:rPr>
                <w:sz w:val="18"/>
                <w:szCs w:val="18"/>
              </w:rPr>
              <w:t xml:space="preserve"> kWh</w:t>
            </w:r>
          </w:p>
        </w:tc>
        <w:tc>
          <w:tcPr>
            <w:tcW w:w="3314" w:type="dxa"/>
            <w:tcBorders>
              <w:top w:val="single" w:sz="12" w:space="0" w:color="auto"/>
              <w:bottom w:val="single" w:sz="2" w:space="0" w:color="auto"/>
            </w:tcBorders>
            <w:shd w:val="clear" w:color="auto" w:fill="auto"/>
          </w:tcPr>
          <w:p w:rsidR="00025559" w:rsidRDefault="00025559" w:rsidP="00703A7F">
            <w:pPr>
              <w:pStyle w:val="Tabletext"/>
              <w:spacing w:before="120"/>
              <w:rPr>
                <w:sz w:val="18"/>
                <w:szCs w:val="18"/>
              </w:rPr>
            </w:pPr>
            <w:r>
              <w:rPr>
                <w:sz w:val="18"/>
                <w:szCs w:val="18"/>
              </w:rPr>
              <w:t>In 2015</w:t>
            </w:r>
            <w:r>
              <w:rPr>
                <w:sz w:val="18"/>
                <w:szCs w:val="18"/>
              </w:rPr>
              <w:noBreakHyphen/>
              <w:t>2016, 9,121 kWh of the electricity was “green power”.</w:t>
            </w:r>
          </w:p>
          <w:p w:rsidR="00252D0F" w:rsidRDefault="00252D0F" w:rsidP="00703A7F">
            <w:pPr>
              <w:pStyle w:val="Tabletext"/>
              <w:spacing w:before="120"/>
              <w:rPr>
                <w:sz w:val="18"/>
                <w:szCs w:val="18"/>
              </w:rPr>
            </w:pPr>
            <w:r>
              <w:rPr>
                <w:sz w:val="18"/>
                <w:szCs w:val="18"/>
              </w:rPr>
              <w:t>OPC was granted access to our new premises in Forrest on 1 May 2015 to commence the fit-out construc</w:t>
            </w:r>
            <w:r w:rsidR="00696BFB">
              <w:rPr>
                <w:sz w:val="18"/>
                <w:szCs w:val="18"/>
              </w:rPr>
              <w:t>tion works. OPC relocated from the Barton and Deakin premises</w:t>
            </w:r>
            <w:r>
              <w:rPr>
                <w:sz w:val="18"/>
                <w:szCs w:val="18"/>
              </w:rPr>
              <w:t xml:space="preserve"> </w:t>
            </w:r>
            <w:r w:rsidR="00696BFB">
              <w:rPr>
                <w:sz w:val="18"/>
                <w:szCs w:val="18"/>
              </w:rPr>
              <w:t>to the Forrest premises on</w:t>
            </w:r>
            <w:r>
              <w:rPr>
                <w:sz w:val="18"/>
                <w:szCs w:val="18"/>
              </w:rPr>
              <w:t xml:space="preserve"> 10 August 2015.</w:t>
            </w:r>
            <w:r w:rsidR="00696BFB">
              <w:rPr>
                <w:sz w:val="18"/>
                <w:szCs w:val="18"/>
              </w:rPr>
              <w:t xml:space="preserve"> This accounts for the substantial increase in electricity usage at the Forrest premises and substantial decreases at the Barton and Deakin premises.</w:t>
            </w:r>
            <w:r w:rsidR="00025559">
              <w:rPr>
                <w:sz w:val="18"/>
                <w:szCs w:val="18"/>
              </w:rPr>
              <w:t xml:space="preserve"> Electricity at Forrest and Barton does not include electricity used in air-conditioning and lift services supplied by the lessor of the premises.</w:t>
            </w:r>
          </w:p>
          <w:p w:rsidR="0091218C" w:rsidRDefault="0091218C" w:rsidP="00703A7F">
            <w:pPr>
              <w:pStyle w:val="Tabletext"/>
              <w:spacing w:before="120"/>
              <w:rPr>
                <w:sz w:val="18"/>
                <w:szCs w:val="18"/>
              </w:rPr>
            </w:pPr>
            <w:r>
              <w:rPr>
                <w:sz w:val="18"/>
                <w:szCs w:val="18"/>
              </w:rPr>
              <w:t>In 2015-2016, 1,335 kWh of the electricity was “green power”.</w:t>
            </w:r>
          </w:p>
          <w:p w:rsidR="00C90246" w:rsidRDefault="00703A7F" w:rsidP="0091218C">
            <w:pPr>
              <w:pStyle w:val="Tabletext"/>
              <w:spacing w:before="120"/>
              <w:rPr>
                <w:sz w:val="18"/>
                <w:szCs w:val="18"/>
              </w:rPr>
            </w:pPr>
            <w:r>
              <w:rPr>
                <w:sz w:val="18"/>
                <w:szCs w:val="18"/>
              </w:rPr>
              <w:t>The Deakin lease is for an entire building with OPC responsible for the costs of central services such as air</w:t>
            </w:r>
            <w:r w:rsidR="005745C2">
              <w:rPr>
                <w:sz w:val="18"/>
                <w:szCs w:val="18"/>
              </w:rPr>
              <w:t>-</w:t>
            </w:r>
            <w:r>
              <w:rPr>
                <w:sz w:val="18"/>
                <w:szCs w:val="18"/>
              </w:rPr>
              <w:t>conditioning and lifts.</w:t>
            </w:r>
            <w:r w:rsidR="00025559">
              <w:rPr>
                <w:sz w:val="18"/>
                <w:szCs w:val="18"/>
              </w:rPr>
              <w:t xml:space="preserve"> </w:t>
            </w:r>
            <w:r w:rsidR="00C01C05">
              <w:rPr>
                <w:sz w:val="18"/>
                <w:szCs w:val="18"/>
              </w:rPr>
              <w:t>In 201</w:t>
            </w:r>
            <w:r w:rsidR="00252D0F">
              <w:rPr>
                <w:sz w:val="18"/>
                <w:szCs w:val="18"/>
              </w:rPr>
              <w:t>5</w:t>
            </w:r>
            <w:r w:rsidR="00C01C05">
              <w:rPr>
                <w:sz w:val="18"/>
                <w:szCs w:val="18"/>
              </w:rPr>
              <w:t>-201</w:t>
            </w:r>
            <w:r w:rsidR="00252D0F">
              <w:rPr>
                <w:sz w:val="18"/>
                <w:szCs w:val="18"/>
              </w:rPr>
              <w:t>6</w:t>
            </w:r>
            <w:r w:rsidR="00C01C05">
              <w:rPr>
                <w:sz w:val="18"/>
                <w:szCs w:val="18"/>
              </w:rPr>
              <w:t>,</w:t>
            </w:r>
            <w:r>
              <w:rPr>
                <w:sz w:val="18"/>
                <w:szCs w:val="18"/>
              </w:rPr>
              <w:t xml:space="preserve"> </w:t>
            </w:r>
            <w:r w:rsidR="0091218C">
              <w:rPr>
                <w:sz w:val="18"/>
                <w:szCs w:val="18"/>
              </w:rPr>
              <w:t>7</w:t>
            </w:r>
            <w:r w:rsidR="00E138AA">
              <w:rPr>
                <w:sz w:val="18"/>
                <w:szCs w:val="18"/>
              </w:rPr>
              <w:t>,</w:t>
            </w:r>
            <w:r w:rsidR="0091218C">
              <w:rPr>
                <w:sz w:val="18"/>
                <w:szCs w:val="18"/>
              </w:rPr>
              <w:t>164</w:t>
            </w:r>
            <w:r>
              <w:rPr>
                <w:sz w:val="18"/>
                <w:szCs w:val="18"/>
              </w:rPr>
              <w:t xml:space="preserve"> kWh of the electr</w:t>
            </w:r>
            <w:r w:rsidR="0091218C">
              <w:rPr>
                <w:sz w:val="18"/>
                <w:szCs w:val="18"/>
              </w:rPr>
              <w:t>icity was “green power”</w:t>
            </w:r>
            <w:r>
              <w:rPr>
                <w:sz w:val="18"/>
                <w:szCs w:val="18"/>
              </w:rPr>
              <w:t>.</w:t>
            </w:r>
          </w:p>
        </w:tc>
      </w:tr>
      <w:tr w:rsidR="00AD12AA" w:rsidTr="006D7E9B">
        <w:tc>
          <w:tcPr>
            <w:tcW w:w="1367" w:type="dxa"/>
            <w:tcBorders>
              <w:top w:val="single" w:sz="2" w:space="0" w:color="auto"/>
              <w:bottom w:val="single" w:sz="12" w:space="0" w:color="auto"/>
            </w:tcBorders>
            <w:shd w:val="clear" w:color="auto" w:fill="auto"/>
          </w:tcPr>
          <w:p w:rsidR="00AD12AA" w:rsidRDefault="00AD12AA" w:rsidP="006D7E9B">
            <w:pPr>
              <w:pStyle w:val="Tabletext"/>
              <w:spacing w:before="120"/>
              <w:rPr>
                <w:sz w:val="18"/>
                <w:szCs w:val="18"/>
              </w:rPr>
            </w:pPr>
            <w:r>
              <w:rPr>
                <w:sz w:val="18"/>
                <w:szCs w:val="18"/>
              </w:rPr>
              <w:t>Copy paper</w:t>
            </w:r>
          </w:p>
        </w:tc>
        <w:tc>
          <w:tcPr>
            <w:tcW w:w="1190" w:type="dxa"/>
            <w:tcBorders>
              <w:top w:val="single" w:sz="2" w:space="0" w:color="auto"/>
              <w:bottom w:val="single" w:sz="12" w:space="0" w:color="auto"/>
            </w:tcBorders>
            <w:shd w:val="clear" w:color="auto" w:fill="auto"/>
          </w:tcPr>
          <w:p w:rsidR="00AD12AA" w:rsidRDefault="0091218C" w:rsidP="00252D0F">
            <w:pPr>
              <w:pStyle w:val="Tabletext"/>
              <w:spacing w:before="120"/>
              <w:rPr>
                <w:sz w:val="18"/>
                <w:szCs w:val="18"/>
              </w:rPr>
            </w:pPr>
            <w:r>
              <w:rPr>
                <w:sz w:val="18"/>
                <w:szCs w:val="18"/>
              </w:rPr>
              <w:t>6.2</w:t>
            </w:r>
            <w:r w:rsidR="0082366A">
              <w:rPr>
                <w:sz w:val="18"/>
                <w:szCs w:val="18"/>
              </w:rPr>
              <w:t xml:space="preserve"> t</w:t>
            </w:r>
          </w:p>
        </w:tc>
        <w:tc>
          <w:tcPr>
            <w:tcW w:w="1204" w:type="dxa"/>
            <w:tcBorders>
              <w:top w:val="single" w:sz="2" w:space="0" w:color="auto"/>
              <w:bottom w:val="single" w:sz="12" w:space="0" w:color="auto"/>
            </w:tcBorders>
            <w:shd w:val="clear" w:color="auto" w:fill="auto"/>
          </w:tcPr>
          <w:p w:rsidR="00AD12AA" w:rsidRDefault="00252D0F" w:rsidP="004009B3">
            <w:pPr>
              <w:pStyle w:val="Tabletext"/>
              <w:spacing w:before="120"/>
              <w:rPr>
                <w:sz w:val="18"/>
                <w:szCs w:val="18"/>
              </w:rPr>
            </w:pPr>
            <w:r>
              <w:rPr>
                <w:sz w:val="18"/>
                <w:szCs w:val="18"/>
              </w:rPr>
              <w:t>1.1</w:t>
            </w:r>
            <w:r w:rsidR="00591D8E">
              <w:rPr>
                <w:sz w:val="18"/>
                <w:szCs w:val="18"/>
              </w:rPr>
              <w:t xml:space="preserve"> t</w:t>
            </w:r>
          </w:p>
        </w:tc>
        <w:tc>
          <w:tcPr>
            <w:tcW w:w="3314" w:type="dxa"/>
            <w:tcBorders>
              <w:top w:val="single" w:sz="2" w:space="0" w:color="auto"/>
              <w:bottom w:val="single" w:sz="12" w:space="0" w:color="auto"/>
            </w:tcBorders>
            <w:shd w:val="clear" w:color="auto" w:fill="auto"/>
          </w:tcPr>
          <w:p w:rsidR="00264C44" w:rsidRPr="0091218C" w:rsidRDefault="00AD12AA" w:rsidP="0091218C">
            <w:pPr>
              <w:pStyle w:val="Tabletext"/>
              <w:spacing w:before="120"/>
              <w:rPr>
                <w:sz w:val="18"/>
                <w:szCs w:val="18"/>
              </w:rPr>
            </w:pPr>
            <w:r w:rsidRPr="0091218C">
              <w:rPr>
                <w:sz w:val="18"/>
                <w:szCs w:val="18"/>
              </w:rPr>
              <w:t>The copy paper is used in office printers and copiers.</w:t>
            </w:r>
            <w:r w:rsidR="00264C44" w:rsidRPr="0091218C">
              <w:rPr>
                <w:sz w:val="18"/>
                <w:szCs w:val="18"/>
              </w:rPr>
              <w:t xml:space="preserve"> The substantial </w:t>
            </w:r>
            <w:r w:rsidR="0091218C" w:rsidRPr="0091218C">
              <w:rPr>
                <w:sz w:val="18"/>
                <w:szCs w:val="18"/>
              </w:rPr>
              <w:t>increase</w:t>
            </w:r>
            <w:r w:rsidR="00264C44" w:rsidRPr="0091218C">
              <w:rPr>
                <w:sz w:val="18"/>
                <w:szCs w:val="18"/>
              </w:rPr>
              <w:t xml:space="preserve"> in paper </w:t>
            </w:r>
            <w:r w:rsidR="001A1A12" w:rsidRPr="0091218C">
              <w:rPr>
                <w:sz w:val="18"/>
                <w:szCs w:val="18"/>
              </w:rPr>
              <w:t xml:space="preserve">bought </w:t>
            </w:r>
            <w:r w:rsidR="00C90246" w:rsidRPr="0091218C">
              <w:rPr>
                <w:sz w:val="18"/>
                <w:szCs w:val="18"/>
              </w:rPr>
              <w:t>is mostly</w:t>
            </w:r>
            <w:r w:rsidR="00264C44" w:rsidRPr="0091218C">
              <w:rPr>
                <w:sz w:val="18"/>
                <w:szCs w:val="18"/>
              </w:rPr>
              <w:t xml:space="preserve"> attributed to the </w:t>
            </w:r>
            <w:r w:rsidR="0091218C" w:rsidRPr="0091218C">
              <w:rPr>
                <w:sz w:val="18"/>
                <w:szCs w:val="18"/>
              </w:rPr>
              <w:t>replenishment of back-up</w:t>
            </w:r>
            <w:r w:rsidR="00C90246" w:rsidRPr="0091218C">
              <w:rPr>
                <w:sz w:val="18"/>
                <w:szCs w:val="18"/>
              </w:rPr>
              <w:t xml:space="preserve"> stocks </w:t>
            </w:r>
            <w:r w:rsidR="0091218C" w:rsidRPr="0091218C">
              <w:rPr>
                <w:sz w:val="18"/>
                <w:szCs w:val="18"/>
              </w:rPr>
              <w:t xml:space="preserve">after </w:t>
            </w:r>
            <w:r w:rsidR="00C90246" w:rsidRPr="0091218C">
              <w:rPr>
                <w:sz w:val="18"/>
                <w:szCs w:val="18"/>
              </w:rPr>
              <w:t xml:space="preserve">relocating to </w:t>
            </w:r>
            <w:r w:rsidR="00A37283">
              <w:rPr>
                <w:sz w:val="18"/>
                <w:szCs w:val="18"/>
              </w:rPr>
              <w:t xml:space="preserve">the </w:t>
            </w:r>
            <w:r w:rsidR="00C90246" w:rsidRPr="0091218C">
              <w:rPr>
                <w:sz w:val="18"/>
                <w:szCs w:val="18"/>
              </w:rPr>
              <w:t>new premises in the 2015-2016 year.</w:t>
            </w:r>
          </w:p>
        </w:tc>
      </w:tr>
    </w:tbl>
    <w:p w:rsidR="00747A99" w:rsidRDefault="00747A99" w:rsidP="0002050A"/>
    <w:p w:rsidR="0002050A" w:rsidRPr="0002050A" w:rsidRDefault="0002050A" w:rsidP="0002050A">
      <w:pPr>
        <w:sectPr w:rsidR="0002050A" w:rsidRPr="0002050A">
          <w:type w:val="continuous"/>
          <w:pgSz w:w="11907" w:h="16839" w:code="9"/>
          <w:pgMar w:top="1134" w:right="2410" w:bottom="4253" w:left="2410" w:header="510" w:footer="3402" w:gutter="0"/>
          <w:cols w:space="720"/>
          <w:docGrid w:linePitch="326"/>
        </w:sectPr>
      </w:pPr>
    </w:p>
    <w:p w:rsidR="00246266" w:rsidRDefault="00246266" w:rsidP="001A1A12">
      <w:pPr>
        <w:pStyle w:val="BodyNum"/>
      </w:pPr>
      <w:r>
        <w:t>These figures do not include energy and paper used by the contractor engaged by OPC to print Bills for introduction into the Parliament.</w:t>
      </w:r>
    </w:p>
    <w:p w:rsidR="00246266" w:rsidRDefault="00246266" w:rsidP="00A80292">
      <w:pPr>
        <w:pStyle w:val="BodyNum"/>
      </w:pPr>
      <w:r>
        <w:t>No figures on OPC</w:t>
      </w:r>
      <w:r w:rsidR="003C39D9">
        <w:t>’</w:t>
      </w:r>
      <w:r>
        <w:t>s use of water are available</w:t>
      </w:r>
      <w:r w:rsidR="00A87AEB">
        <w:t xml:space="preserve"> for the </w:t>
      </w:r>
      <w:r w:rsidR="0091218C">
        <w:t xml:space="preserve">Forrest or </w:t>
      </w:r>
      <w:r w:rsidR="00A87AEB">
        <w:t>Barton premises</w:t>
      </w:r>
      <w:r>
        <w:t xml:space="preserve">, as there is no separate metering of water used </w:t>
      </w:r>
      <w:r w:rsidR="0042653C">
        <w:t>by OPC</w:t>
      </w:r>
      <w:r>
        <w:t>.</w:t>
      </w:r>
      <w:r w:rsidR="00866AD6">
        <w:t xml:space="preserve"> Figures for OPC’s use of water on the De</w:t>
      </w:r>
      <w:r w:rsidR="00A87AEB">
        <w:t>akin premises</w:t>
      </w:r>
      <w:r w:rsidR="007B6032">
        <w:t xml:space="preserve"> were</w:t>
      </w:r>
      <w:r w:rsidR="00A87AEB">
        <w:t xml:space="preserve"> not available for </w:t>
      </w:r>
      <w:r w:rsidR="007B6032">
        <w:t xml:space="preserve">this financial </w:t>
      </w:r>
      <w:r w:rsidR="00A87AEB">
        <w:t>year.</w:t>
      </w:r>
    </w:p>
    <w:p w:rsidR="00246266" w:rsidRDefault="00246266" w:rsidP="00246266">
      <w:pPr>
        <w:pStyle w:val="Head4"/>
        <w:rPr>
          <w:i/>
        </w:rPr>
      </w:pPr>
      <w:r>
        <w:rPr>
          <w:i/>
        </w:rPr>
        <w:t>Measures to minimise the effect of OPC</w:t>
      </w:r>
      <w:r w:rsidR="003C39D9">
        <w:rPr>
          <w:i/>
        </w:rPr>
        <w:t>’</w:t>
      </w:r>
      <w:r>
        <w:rPr>
          <w:i/>
        </w:rPr>
        <w:t>s activities on the environment</w:t>
      </w:r>
    </w:p>
    <w:p w:rsidR="00A202E5" w:rsidRDefault="0042653C" w:rsidP="00A80292">
      <w:pPr>
        <w:pStyle w:val="BodyNum"/>
      </w:pPr>
      <w:r>
        <w:t>In 201</w:t>
      </w:r>
      <w:r w:rsidR="00C378BC">
        <w:t>5-2016</w:t>
      </w:r>
      <w:r w:rsidR="00A202E5">
        <w:t xml:space="preserve">, OPC </w:t>
      </w:r>
      <w:r w:rsidR="002D48EF">
        <w:t xml:space="preserve">moved to </w:t>
      </w:r>
      <w:r w:rsidR="00C378BC">
        <w:t>new premises at</w:t>
      </w:r>
      <w:r w:rsidR="00A202E5">
        <w:t xml:space="preserve"> </w:t>
      </w:r>
      <w:r>
        <w:t>Level 4,</w:t>
      </w:r>
      <w:r w:rsidR="00A202E5">
        <w:t xml:space="preserve"> 28 Sydney Avenue, Forrest. The building is new A Grade </w:t>
      </w:r>
      <w:r>
        <w:t>office accommodation</w:t>
      </w:r>
      <w:r w:rsidR="004D755D">
        <w:t>. The design of the buildi</w:t>
      </w:r>
      <w:r w:rsidR="003D0C17">
        <w:t xml:space="preserve">ng provides a balance between </w:t>
      </w:r>
      <w:r w:rsidR="004D755D">
        <w:t>commercial and sustainable development with a targeted 5 star NABERS energy rating.</w:t>
      </w:r>
    </w:p>
    <w:p w:rsidR="004D755D" w:rsidRDefault="004D755D" w:rsidP="00A80292">
      <w:pPr>
        <w:pStyle w:val="BodyNum"/>
      </w:pPr>
      <w:r>
        <w:t>OPC</w:t>
      </w:r>
      <w:r w:rsidR="00C378BC">
        <w:t>’s</w:t>
      </w:r>
      <w:r>
        <w:t xml:space="preserve"> </w:t>
      </w:r>
      <w:r w:rsidR="00C378BC">
        <w:t xml:space="preserve">workplace design </w:t>
      </w:r>
      <w:r w:rsidR="0042653C">
        <w:t>maximise</w:t>
      </w:r>
      <w:r w:rsidR="00C378BC">
        <w:t>s</w:t>
      </w:r>
      <w:r>
        <w:t xml:space="preserve"> environmental sustainability, with a strong focus on access to natural light. The elongated floor plate has core services, meeting, utility and storage rooms inbound, allowing all employee work spaces to be located within 12 metres of the perimeter windows. The fit-out has been designed to complement the building’s environmental objectives including apply</w:t>
      </w:r>
      <w:r w:rsidR="0042653C">
        <w:t>ing</w:t>
      </w:r>
      <w:r>
        <w:t xml:space="preserve"> best practice in the selection of materials. Practical i</w:t>
      </w:r>
      <w:r w:rsidR="00B47C50">
        <w:t>nclusions in the design include</w:t>
      </w:r>
      <w:r>
        <w:t xml:space="preserve"> recycling provisions, use of natural and recycled materials, and plants for air quality and visual amenity.</w:t>
      </w:r>
    </w:p>
    <w:p w:rsidR="00246266" w:rsidRDefault="00246266" w:rsidP="00A80292">
      <w:pPr>
        <w:pStyle w:val="BodyNum"/>
      </w:pPr>
      <w:r>
        <w:t>The following measures were in place throughout the year to minimise the effect of OPC</w:t>
      </w:r>
      <w:r w:rsidR="003C39D9">
        <w:t>’</w:t>
      </w:r>
      <w:r>
        <w:t>s activities on the environment:</w:t>
      </w:r>
    </w:p>
    <w:p w:rsidR="00246266" w:rsidRDefault="00893AED" w:rsidP="00893AED">
      <w:pPr>
        <w:pStyle w:val="AnnualReportBullet"/>
        <w:tabs>
          <w:tab w:val="left" w:pos="360"/>
        </w:tabs>
        <w:ind w:left="360" w:hanging="360"/>
      </w:pPr>
      <w:r>
        <w:rPr>
          <w:rFonts w:ascii="Symbol" w:hAnsi="Symbol"/>
        </w:rPr>
        <w:t></w:t>
      </w:r>
      <w:r>
        <w:rPr>
          <w:rFonts w:ascii="Symbol" w:hAnsi="Symbol"/>
        </w:rPr>
        <w:tab/>
      </w:r>
      <w:r w:rsidR="00246266">
        <w:t>energy efficiency is routinely taken into account in decisions a</w:t>
      </w:r>
      <w:r w:rsidR="004D755D">
        <w:t>bout acquiring equipment</w:t>
      </w:r>
      <w:r w:rsidR="00246266">
        <w:t>;</w:t>
      </w:r>
    </w:p>
    <w:p w:rsidR="00246266" w:rsidRDefault="00893AED" w:rsidP="00893AED">
      <w:pPr>
        <w:pStyle w:val="AnnualReportBullet"/>
        <w:tabs>
          <w:tab w:val="left" w:pos="360"/>
        </w:tabs>
        <w:ind w:left="360" w:hanging="360"/>
      </w:pPr>
      <w:r>
        <w:rPr>
          <w:rFonts w:ascii="Symbol" w:hAnsi="Symbol"/>
        </w:rPr>
        <w:t></w:t>
      </w:r>
      <w:r>
        <w:rPr>
          <w:rFonts w:ascii="Symbol" w:hAnsi="Symbol"/>
        </w:rPr>
        <w:tab/>
      </w:r>
      <w:r w:rsidR="00246266">
        <w:t>double-sided printing and photocopying facilities are available, and staff are enco</w:t>
      </w:r>
      <w:r w:rsidR="004D755D">
        <w:t>uraged to use them</w:t>
      </w:r>
      <w:r w:rsidR="000A778F">
        <w:t>;</w:t>
      </w:r>
    </w:p>
    <w:p w:rsidR="00264C44" w:rsidRDefault="00264C44" w:rsidP="00893AED">
      <w:pPr>
        <w:pStyle w:val="AnnualReportBullet"/>
        <w:tabs>
          <w:tab w:val="left" w:pos="360"/>
        </w:tabs>
        <w:ind w:left="360" w:hanging="360"/>
      </w:pPr>
      <w:r>
        <w:rPr>
          <w:rFonts w:ascii="Symbol" w:hAnsi="Symbol"/>
        </w:rPr>
        <w:t></w:t>
      </w:r>
      <w:r>
        <w:rPr>
          <w:rFonts w:ascii="Symbol" w:hAnsi="Symbol"/>
        </w:rPr>
        <w:tab/>
      </w:r>
      <w:r>
        <w:t>where possible, OPC is moving to online publication of documents to reduce the number of copies being printed;</w:t>
      </w:r>
    </w:p>
    <w:p w:rsidR="000A778F" w:rsidRDefault="00893AED" w:rsidP="00893AED">
      <w:pPr>
        <w:pStyle w:val="AnnualReportBullet"/>
        <w:tabs>
          <w:tab w:val="left" w:pos="360"/>
        </w:tabs>
        <w:ind w:left="360" w:hanging="360"/>
      </w:pPr>
      <w:r>
        <w:rPr>
          <w:rFonts w:ascii="Symbol" w:hAnsi="Symbol"/>
        </w:rPr>
        <w:t></w:t>
      </w:r>
      <w:r>
        <w:rPr>
          <w:rFonts w:ascii="Symbol" w:hAnsi="Symbol"/>
        </w:rPr>
        <w:tab/>
      </w:r>
      <w:r w:rsidR="000A778F">
        <w:t>work procedures</w:t>
      </w:r>
      <w:r w:rsidR="00433AE5">
        <w:t xml:space="preserve"> are modified</w:t>
      </w:r>
      <w:r w:rsidR="000A778F">
        <w:t xml:space="preserve"> to avoid paper use where practicable </w:t>
      </w:r>
      <w:r w:rsidR="005745C2">
        <w:t xml:space="preserve">by, for example, </w:t>
      </w:r>
      <w:r w:rsidR="000A778F">
        <w:t xml:space="preserve">editing documents on screen, </w:t>
      </w:r>
      <w:r w:rsidR="005745C2">
        <w:t>using</w:t>
      </w:r>
      <w:r w:rsidR="000A778F">
        <w:t xml:space="preserve"> electronic forms of communication and filing documents in the electronic </w:t>
      </w:r>
      <w:r w:rsidR="00D015F3">
        <w:t xml:space="preserve">records </w:t>
      </w:r>
      <w:r w:rsidR="000A778F">
        <w:t>management system;</w:t>
      </w:r>
    </w:p>
    <w:p w:rsidR="00246266" w:rsidRDefault="00893AED" w:rsidP="00893AED">
      <w:pPr>
        <w:pStyle w:val="AnnualReportBullet"/>
        <w:tabs>
          <w:tab w:val="left" w:pos="360"/>
        </w:tabs>
        <w:ind w:left="360" w:hanging="360"/>
      </w:pPr>
      <w:r>
        <w:rPr>
          <w:rFonts w:ascii="Symbol" w:hAnsi="Symbol"/>
        </w:rPr>
        <w:t></w:t>
      </w:r>
      <w:r>
        <w:rPr>
          <w:rFonts w:ascii="Symbol" w:hAnsi="Symbol"/>
        </w:rPr>
        <w:tab/>
      </w:r>
      <w:r w:rsidR="00246266">
        <w:t>OPC has arrangements to collect toner cartridges, paper, glass, plastic and aluminium used in the office</w:t>
      </w:r>
      <w:r w:rsidR="00433AE5">
        <w:t xml:space="preserve"> for recycling</w:t>
      </w:r>
      <w:r w:rsidR="004D7BCC">
        <w:t>;</w:t>
      </w:r>
    </w:p>
    <w:p w:rsidR="00C378BC" w:rsidRPr="00C378BC" w:rsidRDefault="00893AED" w:rsidP="00893AED">
      <w:pPr>
        <w:pStyle w:val="AnnualReportBullet"/>
        <w:tabs>
          <w:tab w:val="left" w:pos="360"/>
        </w:tabs>
        <w:ind w:left="360" w:hanging="360"/>
        <w:rPr>
          <w:rFonts w:ascii="Symbol" w:hAnsi="Symbol"/>
        </w:rPr>
        <w:sectPr w:rsidR="00C378BC" w:rsidRPr="00C378BC">
          <w:type w:val="continuous"/>
          <w:pgSz w:w="11907" w:h="16839" w:code="9"/>
          <w:pgMar w:top="1134" w:right="2410" w:bottom="4253" w:left="2410" w:header="510" w:footer="3402" w:gutter="0"/>
          <w:cols w:num="2" w:space="709"/>
          <w:docGrid w:linePitch="326"/>
        </w:sectPr>
      </w:pPr>
      <w:r>
        <w:rPr>
          <w:rFonts w:ascii="Symbol" w:hAnsi="Symbol"/>
        </w:rPr>
        <w:t></w:t>
      </w:r>
      <w:r>
        <w:rPr>
          <w:rFonts w:ascii="Symbol" w:hAnsi="Symbol"/>
        </w:rPr>
        <w:tab/>
      </w:r>
      <w:r w:rsidR="00246266">
        <w:t>staff are encouraged to turn off lights and office equipment when not in use.</w:t>
      </w:r>
    </w:p>
    <w:p w:rsidR="00246266" w:rsidRDefault="00246266" w:rsidP="00246266">
      <w:pPr>
        <w:pStyle w:val="AnnualReportBullet"/>
        <w:ind w:left="360" w:hanging="360"/>
        <w:rPr>
          <w:i/>
        </w:rPr>
        <w:sectPr w:rsidR="00246266">
          <w:type w:val="continuous"/>
          <w:pgSz w:w="11907" w:h="16839" w:code="9"/>
          <w:pgMar w:top="1134" w:right="2410" w:bottom="4253" w:left="2410" w:header="510" w:footer="3402" w:gutter="0"/>
          <w:cols w:num="2" w:space="709"/>
          <w:docGrid w:linePitch="326"/>
        </w:sectPr>
      </w:pPr>
    </w:p>
    <w:p w:rsidR="00246266" w:rsidRDefault="00246266" w:rsidP="00246266">
      <w:pPr>
        <w:pStyle w:val="Head2"/>
      </w:pPr>
      <w:bookmarkStart w:id="131" w:name="_Toc463613763"/>
      <w:r>
        <w:t>App</w:t>
      </w:r>
      <w:r w:rsidR="0012505E">
        <w:t xml:space="preserve">endix </w:t>
      </w:r>
      <w:r w:rsidR="00BF06ED">
        <w:t>D</w:t>
      </w:r>
      <w:r w:rsidR="00FB2F79">
        <w:t>—Financial Statements 201</w:t>
      </w:r>
      <w:r w:rsidR="00A37283">
        <w:t>5</w:t>
      </w:r>
      <w:r>
        <w:t>-20</w:t>
      </w:r>
      <w:r w:rsidR="004C0F06">
        <w:t>1</w:t>
      </w:r>
      <w:r w:rsidR="00A37283">
        <w:t>6</w:t>
      </w:r>
      <w:bookmarkEnd w:id="131"/>
    </w:p>
    <w:p w:rsidR="00246266" w:rsidRDefault="00246266" w:rsidP="00246266">
      <w:pPr>
        <w:pStyle w:val="Head4"/>
      </w:pPr>
      <w:r>
        <w:t>Contents</w:t>
      </w:r>
    </w:p>
    <w:p w:rsidR="00246266" w:rsidRDefault="00246266" w:rsidP="00246266">
      <w:pPr>
        <w:pStyle w:val="Body"/>
      </w:pPr>
      <w:r>
        <w:t>Auditor-General</w:t>
      </w:r>
      <w:r w:rsidR="003C39D9">
        <w:t>’</w:t>
      </w:r>
      <w:r>
        <w:t>s Report on Financial Statements</w:t>
      </w:r>
    </w:p>
    <w:p w:rsidR="00246266" w:rsidRDefault="00246266" w:rsidP="00246266">
      <w:pPr>
        <w:pStyle w:val="Body"/>
      </w:pPr>
      <w:r>
        <w:t>Certification of Financial Statements</w:t>
      </w:r>
    </w:p>
    <w:p w:rsidR="00246266" w:rsidRDefault="00167530" w:rsidP="00246266">
      <w:pPr>
        <w:pStyle w:val="Body"/>
      </w:pPr>
      <w:r>
        <w:t xml:space="preserve">Statement of Comprehensive </w:t>
      </w:r>
      <w:r w:rsidR="00246266">
        <w:t>Income</w:t>
      </w:r>
    </w:p>
    <w:p w:rsidR="00246266" w:rsidRDefault="00C01C05" w:rsidP="00246266">
      <w:pPr>
        <w:pStyle w:val="Body"/>
      </w:pPr>
      <w:r>
        <w:t>Statement of Financial Position</w:t>
      </w:r>
    </w:p>
    <w:p w:rsidR="00246266" w:rsidRDefault="00246266" w:rsidP="00246266">
      <w:pPr>
        <w:pStyle w:val="Body"/>
      </w:pPr>
      <w:r>
        <w:t>Statement of Changes in Equity</w:t>
      </w:r>
    </w:p>
    <w:p w:rsidR="00246266" w:rsidRDefault="00246266" w:rsidP="00246266">
      <w:pPr>
        <w:pStyle w:val="Body"/>
      </w:pPr>
      <w:r>
        <w:t>Cash Flow Statement</w:t>
      </w:r>
    </w:p>
    <w:p w:rsidR="000352B8" w:rsidRDefault="00CB76DF" w:rsidP="003C39D9">
      <w:pPr>
        <w:pStyle w:val="Body"/>
      </w:pPr>
      <w:r>
        <w:t xml:space="preserve">Notes to </w:t>
      </w:r>
      <w:r w:rsidR="00C51461">
        <w:t xml:space="preserve">and forming part of the </w:t>
      </w:r>
      <w:r>
        <w:t>Financial Statements</w:t>
      </w:r>
    </w:p>
    <w:p w:rsidR="00007805" w:rsidRDefault="00007805">
      <w:pPr>
        <w:rPr>
          <w:rFonts w:ascii="Arial" w:hAnsi="Arial"/>
          <w:color w:val="000000"/>
          <w:sz w:val="20"/>
          <w:szCs w:val="20"/>
        </w:rPr>
      </w:pPr>
      <w:r>
        <w:rPr>
          <w:rFonts w:ascii="Arial" w:hAnsi="Arial"/>
          <w:color w:val="000000"/>
          <w:sz w:val="20"/>
          <w:szCs w:val="20"/>
        </w:rPr>
        <w:br w:type="page"/>
      </w:r>
    </w:p>
    <w:p w:rsidR="00DB20F7" w:rsidRDefault="000571B5">
      <w:pPr>
        <w:rPr>
          <w:rFonts w:ascii="Arial" w:hAnsi="Arial"/>
          <w:color w:val="000000"/>
          <w:sz w:val="20"/>
          <w:szCs w:val="20"/>
        </w:rPr>
      </w:pPr>
      <w:r>
        <w:rPr>
          <w:rFonts w:ascii="Arial" w:hAnsi="Arial"/>
          <w:noProof/>
          <w:color w:val="000000"/>
          <w:sz w:val="20"/>
          <w:szCs w:val="20"/>
        </w:rPr>
        <w:drawing>
          <wp:inline distT="0" distB="0" distL="0" distR="0" wp14:anchorId="31AC45BC" wp14:editId="38FC18EF">
            <wp:extent cx="4495800" cy="71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2).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500245" cy="7158986"/>
                    </a:xfrm>
                    <a:prstGeom prst="rect">
                      <a:avLst/>
                    </a:prstGeom>
                  </pic:spPr>
                </pic:pic>
              </a:graphicData>
            </a:graphic>
          </wp:inline>
        </w:drawing>
      </w:r>
    </w:p>
    <w:p w:rsidR="00DB20F7" w:rsidRDefault="00F908D3" w:rsidP="00C75936">
      <w:pPr>
        <w:ind w:left="-284"/>
        <w:rPr>
          <w:rFonts w:ascii="Arial" w:hAnsi="Arial"/>
          <w:color w:val="000000"/>
          <w:sz w:val="20"/>
          <w:szCs w:val="20"/>
        </w:rPr>
      </w:pPr>
      <w:r>
        <w:rPr>
          <w:rFonts w:ascii="Arial" w:hAnsi="Arial"/>
          <w:noProof/>
          <w:color w:val="000000"/>
          <w:sz w:val="20"/>
          <w:szCs w:val="20"/>
        </w:rPr>
        <w:drawing>
          <wp:inline distT="0" distB="0" distL="0" distR="0" wp14:anchorId="3A556849" wp14:editId="798E7BBA">
            <wp:extent cx="4648200" cy="40917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2).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652796" cy="4095750"/>
                    </a:xfrm>
                    <a:prstGeom prst="rect">
                      <a:avLst/>
                    </a:prstGeom>
                  </pic:spPr>
                </pic:pic>
              </a:graphicData>
            </a:graphic>
          </wp:inline>
        </w:drawing>
      </w:r>
    </w:p>
    <w:p w:rsidR="00007805" w:rsidRDefault="00221F34">
      <w:pPr>
        <w:rPr>
          <w:rFonts w:ascii="Arial" w:hAnsi="Arial"/>
          <w:color w:val="000000"/>
          <w:sz w:val="20"/>
          <w:szCs w:val="20"/>
        </w:rPr>
      </w:pPr>
      <w:r>
        <w:rPr>
          <w:rFonts w:ascii="Arial" w:hAnsi="Arial"/>
          <w:noProof/>
          <w:color w:val="000000"/>
          <w:sz w:val="20"/>
          <w:szCs w:val="20"/>
        </w:rPr>
        <w:drawing>
          <wp:inline distT="0" distB="0" distL="0" distR="0" wp14:anchorId="6A2D8C26" wp14:editId="70667820">
            <wp:extent cx="4500245" cy="4184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 AND CFO statement.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00245" cy="4184650"/>
                    </a:xfrm>
                    <a:prstGeom prst="rect">
                      <a:avLst/>
                    </a:prstGeom>
                  </pic:spPr>
                </pic:pic>
              </a:graphicData>
            </a:graphic>
          </wp:inline>
        </w:drawing>
      </w:r>
    </w:p>
    <w:p w:rsidR="00007805" w:rsidRDefault="00007805">
      <w:pPr>
        <w:rPr>
          <w:rFonts w:ascii="Arial" w:hAnsi="Arial"/>
          <w:color w:val="000000"/>
          <w:sz w:val="20"/>
          <w:szCs w:val="20"/>
        </w:rPr>
      </w:pPr>
    </w:p>
    <w:p w:rsidR="00007805" w:rsidRDefault="00007805">
      <w:pPr>
        <w:rPr>
          <w:rFonts w:ascii="Arial" w:hAnsi="Arial"/>
          <w:color w:val="000000"/>
          <w:sz w:val="20"/>
          <w:szCs w:val="20"/>
        </w:rPr>
      </w:pPr>
    </w:p>
    <w:p w:rsidR="00DC7B00" w:rsidRDefault="008161CD" w:rsidP="00DC7B00">
      <w:pPr>
        <w:spacing w:before="120"/>
        <w:ind w:right="1366"/>
      </w:pPr>
      <w:r>
        <w:rPr>
          <w:noProof/>
        </w:rPr>
        <w:drawing>
          <wp:inline distT="0" distB="0" distL="0" distR="0" wp14:anchorId="261B5A2A" wp14:editId="025EBE60">
            <wp:extent cx="4497572" cy="5922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6">
                      <a:extLst>
                        <a:ext uri="{28A0092B-C50C-407E-A947-70E740481C1C}">
                          <a14:useLocalDpi xmlns:a14="http://schemas.microsoft.com/office/drawing/2010/main" val="0"/>
                        </a:ext>
                      </a:extLst>
                    </a:blip>
                    <a:srcRect b="3228"/>
                    <a:stretch/>
                  </pic:blipFill>
                  <pic:spPr bwMode="auto">
                    <a:xfrm>
                      <a:off x="0" y="0"/>
                      <a:ext cx="4500245" cy="5925854"/>
                    </a:xfrm>
                    <a:prstGeom prst="rect">
                      <a:avLst/>
                    </a:prstGeom>
                    <a:noFill/>
                    <a:ln>
                      <a:noFill/>
                    </a:ln>
                    <a:extLst>
                      <a:ext uri="{53640926-AAD7-44D8-BBD7-CCE9431645EC}">
                        <a14:shadowObscured xmlns:a14="http://schemas.microsoft.com/office/drawing/2010/main"/>
                      </a:ext>
                    </a:extLst>
                  </pic:spPr>
                </pic:pic>
              </a:graphicData>
            </a:graphic>
          </wp:inline>
        </w:drawing>
      </w:r>
    </w:p>
    <w:p w:rsidR="00DC7B00" w:rsidRPr="00913E30" w:rsidRDefault="00913E30" w:rsidP="00624931">
      <w:pPr>
        <w:spacing w:before="120"/>
        <w:ind w:right="-2410"/>
        <w:rPr>
          <w:sz w:val="18"/>
          <w:szCs w:val="18"/>
        </w:rPr>
      </w:pPr>
      <w:r>
        <w:rPr>
          <w:sz w:val="18"/>
          <w:szCs w:val="18"/>
        </w:rPr>
        <w:t xml:space="preserve"> </w:t>
      </w:r>
      <w:r w:rsidRPr="00913E30">
        <w:rPr>
          <w:sz w:val="18"/>
          <w:szCs w:val="18"/>
        </w:rPr>
        <w:t>The above statement should be read in co</w:t>
      </w:r>
      <w:r>
        <w:rPr>
          <w:sz w:val="18"/>
          <w:szCs w:val="18"/>
        </w:rPr>
        <w:t>njunction with the accompany</w:t>
      </w:r>
      <w:r w:rsidR="00624931">
        <w:rPr>
          <w:sz w:val="18"/>
          <w:szCs w:val="18"/>
        </w:rPr>
        <w:t>ing</w:t>
      </w:r>
      <w:r>
        <w:rPr>
          <w:sz w:val="18"/>
          <w:szCs w:val="18"/>
        </w:rPr>
        <w:t xml:space="preserve"> </w:t>
      </w:r>
      <w:r w:rsidR="00624931">
        <w:rPr>
          <w:sz w:val="18"/>
          <w:szCs w:val="18"/>
        </w:rPr>
        <w:t>notes.</w:t>
      </w:r>
    </w:p>
    <w:p w:rsidR="00DC7B00" w:rsidRDefault="008161CD" w:rsidP="00DC7B00">
      <w:pPr>
        <w:spacing w:before="120"/>
      </w:pPr>
      <w:r>
        <w:rPr>
          <w:noProof/>
          <w:sz w:val="20"/>
        </w:rPr>
        <w:drawing>
          <wp:inline distT="0" distB="0" distL="0" distR="0" wp14:anchorId="07BA166F" wp14:editId="08FB6497">
            <wp:extent cx="4497572" cy="6283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7">
                      <a:extLst>
                        <a:ext uri="{28A0092B-C50C-407E-A947-70E740481C1C}">
                          <a14:useLocalDpi xmlns:a14="http://schemas.microsoft.com/office/drawing/2010/main" val="0"/>
                        </a:ext>
                      </a:extLst>
                    </a:blip>
                    <a:srcRect b="6116"/>
                    <a:stretch/>
                  </pic:blipFill>
                  <pic:spPr bwMode="auto">
                    <a:xfrm>
                      <a:off x="0" y="0"/>
                      <a:ext cx="4500245" cy="6287576"/>
                    </a:xfrm>
                    <a:prstGeom prst="rect">
                      <a:avLst/>
                    </a:prstGeom>
                    <a:noFill/>
                    <a:ln>
                      <a:noFill/>
                    </a:ln>
                    <a:extLst>
                      <a:ext uri="{53640926-AAD7-44D8-BBD7-CCE9431645EC}">
                        <a14:shadowObscured xmlns:a14="http://schemas.microsoft.com/office/drawing/2010/main"/>
                      </a:ext>
                    </a:extLst>
                  </pic:spPr>
                </pic:pic>
              </a:graphicData>
            </a:graphic>
          </wp:inline>
        </w:drawing>
      </w:r>
    </w:p>
    <w:p w:rsidR="00983B3C" w:rsidRPr="00913E30" w:rsidRDefault="00983B3C" w:rsidP="00983B3C">
      <w:pPr>
        <w:spacing w:before="120"/>
        <w:ind w:right="-2410"/>
        <w:rPr>
          <w:sz w:val="18"/>
          <w:szCs w:val="18"/>
        </w:rPr>
      </w:pPr>
      <w:r>
        <w:rPr>
          <w:sz w:val="18"/>
          <w:szCs w:val="18"/>
        </w:rPr>
        <w:t xml:space="preserve"> </w:t>
      </w:r>
      <w:r w:rsidRPr="00913E30">
        <w:rPr>
          <w:sz w:val="18"/>
          <w:szCs w:val="18"/>
        </w:rPr>
        <w:t>The above statement should be read in co</w:t>
      </w:r>
      <w:r>
        <w:rPr>
          <w:sz w:val="18"/>
          <w:szCs w:val="18"/>
        </w:rPr>
        <w:t>njunction with the accompanying notes.</w:t>
      </w:r>
    </w:p>
    <w:p w:rsidR="00983B3C" w:rsidRDefault="00983B3C" w:rsidP="00DC7B00">
      <w:pPr>
        <w:spacing w:before="120"/>
      </w:pPr>
    </w:p>
    <w:p w:rsidR="00DC7B00" w:rsidRDefault="00DC7B00" w:rsidP="00983B3C">
      <w:pPr>
        <w:jc w:val="both"/>
      </w:pPr>
      <w:r>
        <w:br w:type="page"/>
      </w:r>
    </w:p>
    <w:p w:rsidR="008161CD" w:rsidRDefault="00BB06DC" w:rsidP="005D5D36">
      <w:pPr>
        <w:spacing w:before="120"/>
        <w:rPr>
          <w:noProof/>
        </w:rPr>
      </w:pPr>
      <w:r>
        <w:rPr>
          <w:noProof/>
        </w:rPr>
        <w:drawing>
          <wp:inline distT="0" distB="0" distL="0" distR="0" wp14:anchorId="2F4EAB2C" wp14:editId="780975A6">
            <wp:extent cx="6973362" cy="4495434"/>
            <wp:effectExtent l="635"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rot="16200000">
                      <a:off x="0" y="0"/>
                      <a:ext cx="6965499" cy="4490365"/>
                    </a:xfrm>
                    <a:prstGeom prst="rect">
                      <a:avLst/>
                    </a:prstGeom>
                  </pic:spPr>
                </pic:pic>
              </a:graphicData>
            </a:graphic>
          </wp:inline>
        </w:drawing>
      </w:r>
      <w:r w:rsidR="008161CD">
        <w:rPr>
          <w:noProof/>
        </w:rPr>
        <w:br w:type="page"/>
      </w:r>
    </w:p>
    <w:p w:rsidR="00DC7B00" w:rsidRDefault="008161CD" w:rsidP="00DC7B00">
      <w:pPr>
        <w:spacing w:before="120"/>
        <w:ind w:right="1366"/>
      </w:pPr>
      <w:r>
        <w:rPr>
          <w:noProof/>
          <w:sz w:val="20"/>
        </w:rPr>
        <w:drawing>
          <wp:inline distT="0" distB="0" distL="0" distR="0" wp14:anchorId="1DF3633C" wp14:editId="1D32A6ED">
            <wp:extent cx="4497572" cy="6049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9">
                      <a:extLst>
                        <a:ext uri="{28A0092B-C50C-407E-A947-70E740481C1C}">
                          <a14:useLocalDpi xmlns:a14="http://schemas.microsoft.com/office/drawing/2010/main" val="0"/>
                        </a:ext>
                      </a:extLst>
                    </a:blip>
                    <a:srcRect b="2862"/>
                    <a:stretch/>
                  </pic:blipFill>
                  <pic:spPr bwMode="auto">
                    <a:xfrm>
                      <a:off x="0" y="0"/>
                      <a:ext cx="4500245" cy="6053521"/>
                    </a:xfrm>
                    <a:prstGeom prst="rect">
                      <a:avLst/>
                    </a:prstGeom>
                    <a:noFill/>
                    <a:ln>
                      <a:noFill/>
                    </a:ln>
                    <a:extLst>
                      <a:ext uri="{53640926-AAD7-44D8-BBD7-CCE9431645EC}">
                        <a14:shadowObscured xmlns:a14="http://schemas.microsoft.com/office/drawing/2010/main"/>
                      </a:ext>
                    </a:extLst>
                  </pic:spPr>
                </pic:pic>
              </a:graphicData>
            </a:graphic>
          </wp:inline>
        </w:drawing>
      </w:r>
    </w:p>
    <w:p w:rsidR="00983B3C" w:rsidRPr="00913E30" w:rsidRDefault="00983B3C" w:rsidP="00983B3C">
      <w:pPr>
        <w:spacing w:before="120"/>
        <w:ind w:right="-2410"/>
        <w:rPr>
          <w:sz w:val="18"/>
          <w:szCs w:val="18"/>
        </w:rPr>
      </w:pPr>
      <w:r>
        <w:rPr>
          <w:sz w:val="18"/>
          <w:szCs w:val="18"/>
        </w:rPr>
        <w:t xml:space="preserve"> </w:t>
      </w:r>
      <w:r w:rsidRPr="00913E30">
        <w:rPr>
          <w:sz w:val="18"/>
          <w:szCs w:val="18"/>
        </w:rPr>
        <w:t>The above statement should be read in co</w:t>
      </w:r>
      <w:r>
        <w:rPr>
          <w:sz w:val="18"/>
          <w:szCs w:val="18"/>
        </w:rPr>
        <w:t>njunction with the accompanying notes.</w:t>
      </w:r>
    </w:p>
    <w:p w:rsidR="00983B3C" w:rsidRPr="005576E0" w:rsidRDefault="00983B3C" w:rsidP="008161CD">
      <w:pPr>
        <w:spacing w:before="120"/>
        <w:ind w:right="1366"/>
        <w:sectPr w:rsidR="00983B3C" w:rsidRPr="005576E0" w:rsidSect="00E61F4C">
          <w:pgSz w:w="11907" w:h="16839" w:code="9"/>
          <w:pgMar w:top="1134" w:right="2410" w:bottom="4253" w:left="2410" w:header="510" w:footer="3402" w:gutter="0"/>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7088"/>
      </w:tblGrid>
      <w:tr w:rsidR="009E3078" w:rsidRPr="00412F3D" w:rsidTr="0048242C">
        <w:trPr>
          <w:trHeight w:val="243"/>
        </w:trPr>
        <w:tc>
          <w:tcPr>
            <w:tcW w:w="7088" w:type="dxa"/>
            <w:shd w:val="clear" w:color="auto" w:fill="A6A6A6" w:themeFill="background1" w:themeFillShade="A6"/>
          </w:tcPr>
          <w:p w:rsidR="009E3078" w:rsidRPr="00412F3D" w:rsidRDefault="009E3078" w:rsidP="0048242C">
            <w:pPr>
              <w:tabs>
                <w:tab w:val="left" w:pos="6112"/>
              </w:tabs>
              <w:spacing w:before="120"/>
              <w:rPr>
                <w:rFonts w:ascii="Arial" w:hAnsi="Arial" w:cs="Arial"/>
                <w:b/>
                <w:bCs/>
                <w:sz w:val="18"/>
                <w:szCs w:val="18"/>
              </w:rPr>
            </w:pPr>
            <w:r w:rsidRPr="009E3078">
              <w:rPr>
                <w:rFonts w:ascii="Arial" w:hAnsi="Arial" w:cs="Arial"/>
                <w:b/>
                <w:bCs/>
                <w:color w:val="FFFFFF" w:themeColor="background1"/>
                <w:sz w:val="18"/>
                <w:szCs w:val="18"/>
              </w:rPr>
              <w:t>CONTENTS</w:t>
            </w:r>
          </w:p>
        </w:tc>
      </w:tr>
    </w:tbl>
    <w:tbl>
      <w:tblPr>
        <w:tblW w:w="7088" w:type="dxa"/>
        <w:tblInd w:w="108" w:type="dxa"/>
        <w:tblLook w:val="04A0" w:firstRow="1" w:lastRow="0" w:firstColumn="1" w:lastColumn="0" w:noHBand="0" w:noVBand="1"/>
      </w:tblPr>
      <w:tblGrid>
        <w:gridCol w:w="6494"/>
        <w:gridCol w:w="594"/>
      </w:tblGrid>
      <w:tr w:rsidR="009E3078" w:rsidRPr="00C472CD" w:rsidTr="008161CD">
        <w:trPr>
          <w:gridAfter w:val="1"/>
          <w:wAfter w:w="594" w:type="dxa"/>
          <w:trHeight w:val="267"/>
        </w:trPr>
        <w:tc>
          <w:tcPr>
            <w:tcW w:w="6494" w:type="dxa"/>
            <w:tcBorders>
              <w:top w:val="nil"/>
              <w:left w:val="nil"/>
              <w:bottom w:val="nil"/>
              <w:right w:val="nil"/>
            </w:tcBorders>
            <w:shd w:val="clear" w:color="auto" w:fill="auto"/>
            <w:noWrap/>
          </w:tcPr>
          <w:p w:rsidR="009E3078" w:rsidRDefault="009E3078" w:rsidP="008B4C16">
            <w:pPr>
              <w:rPr>
                <w:b/>
                <w:bCs/>
                <w:sz w:val="18"/>
                <w:szCs w:val="18"/>
              </w:rPr>
            </w:pPr>
          </w:p>
        </w:tc>
      </w:tr>
      <w:tr w:rsidR="009A2691" w:rsidRPr="00C472CD" w:rsidTr="008161CD">
        <w:trPr>
          <w:gridAfter w:val="1"/>
          <w:wAfter w:w="594" w:type="dxa"/>
          <w:trHeight w:val="267"/>
        </w:trPr>
        <w:tc>
          <w:tcPr>
            <w:tcW w:w="6494" w:type="dxa"/>
            <w:tcBorders>
              <w:top w:val="nil"/>
              <w:left w:val="nil"/>
              <w:bottom w:val="nil"/>
              <w:right w:val="nil"/>
            </w:tcBorders>
            <w:shd w:val="clear" w:color="auto" w:fill="auto"/>
            <w:noWrap/>
            <w:hideMark/>
          </w:tcPr>
          <w:p w:rsidR="009E3078" w:rsidRPr="009E3078" w:rsidRDefault="009A2691" w:rsidP="008B4C16">
            <w:pPr>
              <w:rPr>
                <w:b/>
                <w:bCs/>
                <w:sz w:val="22"/>
                <w:szCs w:val="22"/>
              </w:rPr>
            </w:pPr>
            <w:r w:rsidRPr="009E3078">
              <w:rPr>
                <w:b/>
                <w:bCs/>
                <w:sz w:val="22"/>
                <w:szCs w:val="22"/>
              </w:rPr>
              <w:t>Notes</w:t>
            </w:r>
            <w:r w:rsidR="00C51461" w:rsidRPr="009E3078">
              <w:rPr>
                <w:b/>
                <w:bCs/>
                <w:sz w:val="22"/>
                <w:szCs w:val="22"/>
              </w:rPr>
              <w:t xml:space="preserve"> to and forming part of the </w:t>
            </w:r>
            <w:r w:rsidR="009E3078">
              <w:rPr>
                <w:b/>
                <w:bCs/>
                <w:sz w:val="22"/>
                <w:szCs w:val="22"/>
              </w:rPr>
              <w:t>Financial Statements</w:t>
            </w:r>
          </w:p>
        </w:tc>
      </w:tr>
      <w:tr w:rsidR="009E3078" w:rsidRPr="00C472CD" w:rsidTr="008161CD">
        <w:trPr>
          <w:gridAfter w:val="1"/>
          <w:wAfter w:w="594" w:type="dxa"/>
          <w:trHeight w:val="267"/>
        </w:trPr>
        <w:tc>
          <w:tcPr>
            <w:tcW w:w="6494" w:type="dxa"/>
            <w:tcBorders>
              <w:top w:val="nil"/>
              <w:left w:val="nil"/>
              <w:bottom w:val="nil"/>
              <w:right w:val="nil"/>
            </w:tcBorders>
            <w:shd w:val="clear" w:color="auto" w:fill="auto"/>
            <w:noWrap/>
          </w:tcPr>
          <w:p w:rsidR="009E3078" w:rsidRPr="009E3078" w:rsidRDefault="009E3078" w:rsidP="009E3078">
            <w:pPr>
              <w:spacing w:before="60"/>
              <w:rPr>
                <w:b/>
                <w:bCs/>
                <w:sz w:val="18"/>
                <w:szCs w:val="18"/>
              </w:rPr>
            </w:pPr>
            <w:r>
              <w:rPr>
                <w:b/>
                <w:bCs/>
                <w:sz w:val="18"/>
                <w:szCs w:val="18"/>
              </w:rPr>
              <w:t>Overview</w:t>
            </w:r>
          </w:p>
        </w:tc>
      </w:tr>
      <w:tr w:rsidR="009E3078" w:rsidRPr="00C472CD" w:rsidTr="008161CD">
        <w:trPr>
          <w:gridAfter w:val="1"/>
          <w:wAfter w:w="594" w:type="dxa"/>
          <w:trHeight w:val="267"/>
        </w:trPr>
        <w:tc>
          <w:tcPr>
            <w:tcW w:w="6494" w:type="dxa"/>
            <w:tcBorders>
              <w:top w:val="nil"/>
              <w:left w:val="nil"/>
              <w:bottom w:val="nil"/>
              <w:right w:val="nil"/>
            </w:tcBorders>
            <w:shd w:val="clear" w:color="auto" w:fill="auto"/>
            <w:noWrap/>
          </w:tcPr>
          <w:p w:rsidR="009E3078" w:rsidRDefault="009E3078" w:rsidP="009E3078">
            <w:pPr>
              <w:spacing w:before="60"/>
              <w:rPr>
                <w:b/>
                <w:bCs/>
                <w:sz w:val="18"/>
                <w:szCs w:val="18"/>
              </w:rPr>
            </w:pPr>
            <w:r>
              <w:rPr>
                <w:b/>
                <w:bCs/>
                <w:sz w:val="18"/>
                <w:szCs w:val="18"/>
              </w:rPr>
              <w:t>Budget Variance Explanations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rPr>
                <w:b/>
                <w:sz w:val="18"/>
                <w:szCs w:val="18"/>
              </w:rPr>
            </w:pPr>
            <w:r w:rsidRPr="00312276">
              <w:rPr>
                <w:b/>
                <w:sz w:val="18"/>
                <w:szCs w:val="18"/>
              </w:rPr>
              <w:t>1: Financial Performance</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1.1 Expenses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1.2 Income</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rPr>
                <w:b/>
                <w:sz w:val="18"/>
                <w:szCs w:val="18"/>
              </w:rPr>
            </w:pPr>
            <w:r w:rsidRPr="00312276">
              <w:rPr>
                <w:b/>
                <w:sz w:val="18"/>
                <w:szCs w:val="18"/>
              </w:rPr>
              <w:t>2: Financial Position</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2.1 Financial Assets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2.2 Non-Financial Assets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2.3 Payables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2.4 Other Provisions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rPr>
                <w:b/>
                <w:sz w:val="18"/>
                <w:szCs w:val="18"/>
              </w:rPr>
            </w:pPr>
            <w:r w:rsidRPr="00312276">
              <w:rPr>
                <w:b/>
                <w:sz w:val="18"/>
                <w:szCs w:val="18"/>
              </w:rPr>
              <w:t>3: Funding</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3.1 Appropriations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3.2 Net Cash Appropriation Arrangements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3.3 Cash Flow Reconciliation</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rPr>
                <w:b/>
                <w:sz w:val="18"/>
                <w:szCs w:val="18"/>
              </w:rPr>
            </w:pPr>
            <w:r w:rsidRPr="00312276">
              <w:rPr>
                <w:b/>
                <w:sz w:val="18"/>
                <w:szCs w:val="18"/>
              </w:rPr>
              <w:t>4: People and Relationships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4.1 Employee Provisions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4.2 Senior Management Personnel Remuneration</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rPr>
                <w:b/>
                <w:sz w:val="18"/>
                <w:szCs w:val="18"/>
              </w:rPr>
            </w:pPr>
            <w:r w:rsidRPr="00312276">
              <w:rPr>
                <w:b/>
                <w:sz w:val="18"/>
                <w:szCs w:val="18"/>
              </w:rPr>
              <w:t>5: Managing Uncertainties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sz w:val="18"/>
                <w:szCs w:val="18"/>
              </w:rPr>
            </w:pPr>
            <w:r w:rsidRPr="00312276">
              <w:rPr>
                <w:sz w:val="18"/>
                <w:szCs w:val="18"/>
              </w:rPr>
              <w:t>5.1 Financial Instruments</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color w:val="000000"/>
                <w:sz w:val="18"/>
                <w:szCs w:val="18"/>
              </w:rPr>
            </w:pPr>
            <w:r w:rsidRPr="00312276">
              <w:rPr>
                <w:color w:val="000000"/>
                <w:sz w:val="18"/>
                <w:szCs w:val="18"/>
              </w:rPr>
              <w:t>5.2 Fair Value Measurement</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rPr>
                <w:b/>
                <w:color w:val="000000"/>
                <w:sz w:val="18"/>
                <w:szCs w:val="18"/>
              </w:rPr>
            </w:pPr>
            <w:r w:rsidRPr="00312276">
              <w:rPr>
                <w:b/>
                <w:color w:val="000000"/>
                <w:sz w:val="18"/>
                <w:szCs w:val="18"/>
              </w:rPr>
              <w:t>6: Other Information</w:t>
            </w:r>
          </w:p>
        </w:tc>
      </w:tr>
      <w:tr w:rsidR="008161CD" w:rsidRPr="00312276" w:rsidTr="008161CD">
        <w:trPr>
          <w:trHeight w:val="267"/>
        </w:trPr>
        <w:tc>
          <w:tcPr>
            <w:tcW w:w="7088" w:type="dxa"/>
            <w:gridSpan w:val="2"/>
            <w:shd w:val="clear" w:color="auto" w:fill="auto"/>
            <w:noWrap/>
            <w:vAlign w:val="bottom"/>
          </w:tcPr>
          <w:p w:rsidR="008161CD" w:rsidRPr="00312276" w:rsidRDefault="008161CD" w:rsidP="008161CD">
            <w:pPr>
              <w:ind w:left="720"/>
              <w:rPr>
                <w:color w:val="000000"/>
                <w:sz w:val="18"/>
                <w:szCs w:val="18"/>
              </w:rPr>
            </w:pPr>
            <w:r w:rsidRPr="00312276">
              <w:rPr>
                <w:color w:val="000000"/>
                <w:sz w:val="18"/>
                <w:szCs w:val="18"/>
              </w:rPr>
              <w:t>6.1 Reporting of Outcomes</w:t>
            </w:r>
          </w:p>
        </w:tc>
      </w:tr>
    </w:tbl>
    <w:p w:rsidR="00DC7B00" w:rsidRDefault="00DC7B00" w:rsidP="00DC7B00">
      <w:pPr>
        <w:tabs>
          <w:tab w:val="left" w:pos="6112"/>
        </w:tabs>
        <w:spacing w:before="120"/>
        <w:ind w:left="108"/>
        <w:rPr>
          <w:rFonts w:ascii="Arial" w:hAnsi="Arial" w:cs="Arial"/>
          <w:bCs/>
          <w:i/>
          <w:sz w:val="16"/>
          <w:szCs w:val="16"/>
        </w:rPr>
      </w:pPr>
    </w:p>
    <w:p w:rsidR="005D5D36" w:rsidRPr="005576E0" w:rsidRDefault="00DC7B00" w:rsidP="005D5D36">
      <w:pPr>
        <w:tabs>
          <w:tab w:val="left" w:pos="6112"/>
        </w:tabs>
        <w:spacing w:before="120"/>
        <w:ind w:left="108"/>
      </w:pPr>
      <w:r w:rsidRPr="005576E0">
        <w:rPr>
          <w:rFonts w:ascii="Arial" w:hAnsi="Arial" w:cs="Arial"/>
          <w:bCs/>
          <w:i/>
          <w:sz w:val="16"/>
          <w:szCs w:val="16"/>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7088"/>
      </w:tblGrid>
      <w:tr w:rsidR="008161CD" w:rsidRPr="00412F3D" w:rsidTr="00C51461">
        <w:trPr>
          <w:trHeight w:val="243"/>
        </w:trPr>
        <w:tc>
          <w:tcPr>
            <w:tcW w:w="7088" w:type="dxa"/>
            <w:shd w:val="clear" w:color="auto" w:fill="A6A6A6" w:themeFill="background1" w:themeFillShade="A6"/>
          </w:tcPr>
          <w:p w:rsidR="008161CD" w:rsidRPr="00412F3D" w:rsidRDefault="00C51461" w:rsidP="008161CD">
            <w:pPr>
              <w:tabs>
                <w:tab w:val="left" w:pos="6112"/>
              </w:tabs>
              <w:spacing w:before="120"/>
              <w:rPr>
                <w:rFonts w:ascii="Arial" w:hAnsi="Arial" w:cs="Arial"/>
                <w:b/>
                <w:bCs/>
                <w:sz w:val="18"/>
                <w:szCs w:val="18"/>
              </w:rPr>
            </w:pPr>
            <w:r>
              <w:rPr>
                <w:rFonts w:ascii="Arial" w:hAnsi="Arial" w:cs="Arial"/>
                <w:b/>
                <w:bCs/>
                <w:sz w:val="18"/>
                <w:szCs w:val="18"/>
              </w:rPr>
              <w:t>OVERVIEW</w:t>
            </w:r>
          </w:p>
        </w:tc>
      </w:tr>
    </w:tbl>
    <w:p w:rsidR="008161CD" w:rsidRDefault="008161CD" w:rsidP="008161CD">
      <w:pPr>
        <w:tabs>
          <w:tab w:val="left" w:pos="6112"/>
        </w:tabs>
        <w:spacing w:before="120"/>
        <w:ind w:left="108"/>
        <w:rPr>
          <w:b/>
          <w:bCs/>
          <w:sz w:val="18"/>
          <w:szCs w:val="18"/>
        </w:rPr>
      </w:pPr>
    </w:p>
    <w:p w:rsidR="008161CD" w:rsidRPr="00107997" w:rsidRDefault="008161CD" w:rsidP="008161CD">
      <w:pPr>
        <w:tabs>
          <w:tab w:val="left" w:pos="6112"/>
        </w:tabs>
        <w:spacing w:before="120"/>
        <w:ind w:left="108"/>
        <w:rPr>
          <w:rFonts w:ascii="Arial" w:hAnsi="Arial" w:cs="Arial"/>
          <w:sz w:val="20"/>
        </w:rPr>
      </w:pPr>
      <w:r w:rsidRPr="00107997">
        <w:rPr>
          <w:b/>
          <w:bCs/>
          <w:sz w:val="18"/>
          <w:szCs w:val="18"/>
        </w:rPr>
        <w:t>1   Objectives of Office of Parliamentary Counsel (OPC)</w:t>
      </w:r>
    </w:p>
    <w:p w:rsidR="008161CD" w:rsidRPr="00107997" w:rsidRDefault="008161CD" w:rsidP="008161CD">
      <w:pPr>
        <w:spacing w:before="60"/>
        <w:ind w:left="108"/>
        <w:rPr>
          <w:sz w:val="18"/>
          <w:szCs w:val="18"/>
        </w:rPr>
      </w:pPr>
      <w:r w:rsidRPr="00107997">
        <w:rPr>
          <w:sz w:val="18"/>
          <w:szCs w:val="18"/>
        </w:rPr>
        <w:t>OPC is an Australian Government controlled entity.  It is a not-for-profit entity.</w:t>
      </w:r>
      <w:r w:rsidRPr="00107997">
        <w:rPr>
          <w:color w:val="FF0000"/>
          <w:sz w:val="18"/>
          <w:szCs w:val="18"/>
        </w:rPr>
        <w:t xml:space="preserve"> </w:t>
      </w:r>
      <w:r w:rsidRPr="00107997">
        <w:rPr>
          <w:sz w:val="18"/>
          <w:szCs w:val="18"/>
        </w:rPr>
        <w:t>The objectives of OPC are:</w:t>
      </w:r>
    </w:p>
    <w:p w:rsidR="008161CD" w:rsidRPr="00107997" w:rsidRDefault="008161CD" w:rsidP="008161CD">
      <w:pPr>
        <w:pStyle w:val="BodyParaBullet"/>
        <w:numPr>
          <w:ilvl w:val="2"/>
          <w:numId w:val="16"/>
        </w:numPr>
        <w:spacing w:before="0" w:line="240" w:lineRule="auto"/>
        <w:ind w:left="794" w:hanging="284"/>
        <w:rPr>
          <w:szCs w:val="18"/>
        </w:rPr>
      </w:pPr>
      <w:r w:rsidRPr="00107997">
        <w:rPr>
          <w:szCs w:val="18"/>
        </w:rPr>
        <w:t>to enable the government to carry out its legislative program through the drafting of all Bills, all legislative instruments to be made or approved by the Governor-General (Federal Executive Council instruments) and a range of other instruments; and</w:t>
      </w:r>
    </w:p>
    <w:p w:rsidR="008161CD" w:rsidRPr="00107997" w:rsidRDefault="008161CD" w:rsidP="008161CD">
      <w:pPr>
        <w:pStyle w:val="BodyParaBullet"/>
        <w:numPr>
          <w:ilvl w:val="2"/>
          <w:numId w:val="16"/>
        </w:numPr>
        <w:spacing w:before="0" w:line="240" w:lineRule="auto"/>
        <w:ind w:left="794" w:hanging="284"/>
        <w:rPr>
          <w:szCs w:val="18"/>
        </w:rPr>
      </w:pPr>
      <w:r w:rsidRPr="00107997">
        <w:rPr>
          <w:szCs w:val="18"/>
        </w:rPr>
        <w:t>to ensure Commonwealth laws and instruments are freely available and accessible to everyone by publishing those laws and instruments on the Federal Register of Legislation (the Legislation Register) website.</w:t>
      </w:r>
    </w:p>
    <w:p w:rsidR="008161CD" w:rsidRPr="00107997" w:rsidRDefault="008161CD" w:rsidP="008161CD">
      <w:pPr>
        <w:tabs>
          <w:tab w:val="left" w:pos="6112"/>
        </w:tabs>
        <w:spacing w:before="60"/>
        <w:ind w:left="108"/>
        <w:rPr>
          <w:sz w:val="18"/>
          <w:szCs w:val="18"/>
        </w:rPr>
      </w:pPr>
      <w:r w:rsidRPr="00107997">
        <w:rPr>
          <w:sz w:val="18"/>
          <w:szCs w:val="18"/>
        </w:rPr>
        <w:t>OPC is structured to meet one outcome:</w:t>
      </w:r>
    </w:p>
    <w:p w:rsidR="008161CD" w:rsidRPr="00107997" w:rsidRDefault="008161CD" w:rsidP="008161CD">
      <w:pPr>
        <w:tabs>
          <w:tab w:val="left" w:pos="6112"/>
        </w:tabs>
        <w:ind w:left="108"/>
        <w:rPr>
          <w:sz w:val="18"/>
          <w:szCs w:val="18"/>
        </w:rPr>
      </w:pPr>
      <w:r w:rsidRPr="00107997">
        <w:rPr>
          <w:sz w:val="18"/>
          <w:szCs w:val="18"/>
        </w:rPr>
        <w:t>Outcome 1: A body of Commonwealth laws and instruments that give effect to intended policy, and that are coherent, readable and readily accessible, through the drafting and publication of those laws and instruments.</w:t>
      </w:r>
    </w:p>
    <w:p w:rsidR="008161CD" w:rsidRPr="00107997" w:rsidRDefault="008161CD" w:rsidP="008161CD">
      <w:pPr>
        <w:spacing w:before="60"/>
        <w:ind w:left="108"/>
        <w:rPr>
          <w:sz w:val="18"/>
          <w:szCs w:val="18"/>
        </w:rPr>
      </w:pPr>
      <w:r w:rsidRPr="00107997">
        <w:rPr>
          <w:sz w:val="18"/>
          <w:szCs w:val="18"/>
        </w:rPr>
        <w:t xml:space="preserve">OPC's activities contributing toward this outcome are classified as departmental. </w:t>
      </w:r>
    </w:p>
    <w:p w:rsidR="008161CD" w:rsidRPr="00107997" w:rsidRDefault="008161CD" w:rsidP="008161CD">
      <w:pPr>
        <w:spacing w:before="60"/>
        <w:ind w:left="108"/>
        <w:rPr>
          <w:sz w:val="18"/>
          <w:szCs w:val="18"/>
        </w:rPr>
      </w:pPr>
      <w:r w:rsidRPr="00107997">
        <w:rPr>
          <w:sz w:val="18"/>
          <w:szCs w:val="18"/>
        </w:rPr>
        <w:t>OPC has one program, legislative drafting and publishing, and five program components contributing to meeting Outcome 1. The program components are as follows:</w:t>
      </w:r>
    </w:p>
    <w:p w:rsidR="008161CD" w:rsidRPr="00107997" w:rsidRDefault="008161CD" w:rsidP="008161CD">
      <w:pPr>
        <w:pStyle w:val="BodyParaBullet"/>
        <w:numPr>
          <w:ilvl w:val="2"/>
          <w:numId w:val="16"/>
        </w:numPr>
        <w:spacing w:before="0" w:line="240" w:lineRule="auto"/>
        <w:ind w:left="794" w:hanging="284"/>
        <w:rPr>
          <w:szCs w:val="18"/>
        </w:rPr>
      </w:pPr>
      <w:r w:rsidRPr="00107997">
        <w:rPr>
          <w:szCs w:val="18"/>
        </w:rPr>
        <w:t>Legislation</w:t>
      </w:r>
    </w:p>
    <w:p w:rsidR="008161CD" w:rsidRPr="00107997" w:rsidRDefault="008161CD" w:rsidP="008161CD">
      <w:pPr>
        <w:pStyle w:val="BodyParaBullet"/>
        <w:numPr>
          <w:ilvl w:val="2"/>
          <w:numId w:val="16"/>
        </w:numPr>
        <w:spacing w:before="0" w:line="240" w:lineRule="auto"/>
        <w:ind w:left="794" w:hanging="284"/>
        <w:rPr>
          <w:szCs w:val="18"/>
        </w:rPr>
      </w:pPr>
      <w:r w:rsidRPr="00107997">
        <w:rPr>
          <w:szCs w:val="18"/>
        </w:rPr>
        <w:t>Program and project management</w:t>
      </w:r>
    </w:p>
    <w:p w:rsidR="008161CD" w:rsidRPr="00107997" w:rsidRDefault="008161CD" w:rsidP="008161CD">
      <w:pPr>
        <w:pStyle w:val="BodyParaBullet"/>
        <w:numPr>
          <w:ilvl w:val="2"/>
          <w:numId w:val="16"/>
        </w:numPr>
        <w:spacing w:before="0" w:line="240" w:lineRule="auto"/>
        <w:ind w:left="794" w:hanging="284"/>
        <w:rPr>
          <w:szCs w:val="18"/>
        </w:rPr>
      </w:pPr>
      <w:r w:rsidRPr="00107997">
        <w:rPr>
          <w:szCs w:val="18"/>
        </w:rPr>
        <w:t>Legislative drafting capability</w:t>
      </w:r>
    </w:p>
    <w:p w:rsidR="008161CD" w:rsidRPr="00107997" w:rsidRDefault="008161CD" w:rsidP="008161CD">
      <w:pPr>
        <w:pStyle w:val="BodyParaBullet"/>
        <w:numPr>
          <w:ilvl w:val="2"/>
          <w:numId w:val="16"/>
        </w:numPr>
        <w:spacing w:before="0" w:line="240" w:lineRule="auto"/>
        <w:ind w:left="794" w:hanging="284"/>
        <w:rPr>
          <w:szCs w:val="18"/>
        </w:rPr>
      </w:pPr>
      <w:r w:rsidRPr="00107997">
        <w:rPr>
          <w:szCs w:val="18"/>
        </w:rPr>
        <w:t xml:space="preserve">Standardisation and quality control of legislation </w:t>
      </w:r>
    </w:p>
    <w:p w:rsidR="008161CD" w:rsidRPr="00107997" w:rsidRDefault="008161CD" w:rsidP="008161CD">
      <w:pPr>
        <w:pStyle w:val="BodyParaBullet"/>
        <w:numPr>
          <w:ilvl w:val="2"/>
          <w:numId w:val="16"/>
        </w:numPr>
        <w:spacing w:before="0" w:line="240" w:lineRule="auto"/>
        <w:ind w:left="794" w:hanging="284"/>
        <w:rPr>
          <w:szCs w:val="18"/>
        </w:rPr>
      </w:pPr>
      <w:r w:rsidRPr="00107997">
        <w:rPr>
          <w:szCs w:val="18"/>
        </w:rPr>
        <w:t>Publication</w:t>
      </w:r>
    </w:p>
    <w:p w:rsidR="008161CD" w:rsidRPr="00107997" w:rsidRDefault="008161CD" w:rsidP="008161CD">
      <w:pPr>
        <w:spacing w:before="60"/>
        <w:ind w:left="108"/>
        <w:rPr>
          <w:sz w:val="18"/>
          <w:szCs w:val="18"/>
        </w:rPr>
      </w:pPr>
      <w:r w:rsidRPr="00107997">
        <w:rPr>
          <w:sz w:val="18"/>
          <w:szCs w:val="18"/>
        </w:rPr>
        <w:t>The continued existence of OPC in its present form is dependent on Government policy and on continuing appropriations by Parliament for OPC’s administration and programs.</w:t>
      </w:r>
    </w:p>
    <w:p w:rsidR="008161CD" w:rsidRPr="00107997" w:rsidRDefault="008161CD" w:rsidP="008161CD">
      <w:pPr>
        <w:spacing w:before="60"/>
        <w:ind w:left="108"/>
        <w:rPr>
          <w:rFonts w:ascii="Arial" w:hAnsi="Arial" w:cs="Arial"/>
          <w:sz w:val="20"/>
        </w:rPr>
      </w:pPr>
      <w:r w:rsidRPr="00107997">
        <w:rPr>
          <w:b/>
          <w:bCs/>
          <w:sz w:val="18"/>
          <w:szCs w:val="18"/>
        </w:rPr>
        <w:t>2   Basis of Preparation of the Financial Statements</w:t>
      </w:r>
    </w:p>
    <w:p w:rsidR="008161CD" w:rsidRPr="00107997" w:rsidRDefault="008161CD" w:rsidP="008161CD">
      <w:pPr>
        <w:spacing w:before="60"/>
        <w:ind w:left="108"/>
        <w:rPr>
          <w:sz w:val="18"/>
          <w:szCs w:val="18"/>
        </w:rPr>
      </w:pPr>
      <w:r w:rsidRPr="00107997">
        <w:rPr>
          <w:sz w:val="18"/>
          <w:szCs w:val="18"/>
        </w:rPr>
        <w:t xml:space="preserve">The Financial Statements and notes are general purpose financial statements and are required by section 42 of the </w:t>
      </w:r>
      <w:r w:rsidRPr="00107997">
        <w:rPr>
          <w:i/>
          <w:sz w:val="18"/>
          <w:szCs w:val="18"/>
        </w:rPr>
        <w:t>Public Governance, Performance and Accountability Act 2013.</w:t>
      </w:r>
    </w:p>
    <w:p w:rsidR="008161CD" w:rsidRPr="00107997" w:rsidRDefault="008161CD" w:rsidP="008161CD">
      <w:pPr>
        <w:spacing w:before="60"/>
        <w:ind w:left="108"/>
        <w:rPr>
          <w:sz w:val="18"/>
          <w:szCs w:val="18"/>
        </w:rPr>
      </w:pPr>
      <w:r w:rsidRPr="00107997">
        <w:rPr>
          <w:sz w:val="18"/>
          <w:szCs w:val="18"/>
        </w:rPr>
        <w:t>The Financial Statements have been prepared in accordance with:</w:t>
      </w:r>
    </w:p>
    <w:p w:rsidR="008161CD" w:rsidRPr="00107997" w:rsidRDefault="008161CD" w:rsidP="008161CD">
      <w:pPr>
        <w:pStyle w:val="BodyParaBullet"/>
        <w:numPr>
          <w:ilvl w:val="2"/>
          <w:numId w:val="16"/>
        </w:numPr>
        <w:spacing w:before="60" w:line="240" w:lineRule="auto"/>
        <w:ind w:left="794" w:hanging="284"/>
        <w:rPr>
          <w:szCs w:val="18"/>
        </w:rPr>
      </w:pPr>
      <w:r w:rsidRPr="00107997">
        <w:rPr>
          <w:i/>
          <w:szCs w:val="18"/>
        </w:rPr>
        <w:t>Public Governance, Performance and Accountability Act 2013</w:t>
      </w:r>
      <w:r w:rsidRPr="005316BF">
        <w:rPr>
          <w:i/>
          <w:szCs w:val="18"/>
        </w:rPr>
        <w:t xml:space="preserve"> (Financial Reporting) </w:t>
      </w:r>
      <w:r>
        <w:rPr>
          <w:i/>
          <w:szCs w:val="18"/>
        </w:rPr>
        <w:t xml:space="preserve">Rule 2015 </w:t>
      </w:r>
      <w:r w:rsidRPr="00107997">
        <w:rPr>
          <w:szCs w:val="18"/>
        </w:rPr>
        <w:t>for reporting periods on or after 1 July 2015; and</w:t>
      </w:r>
    </w:p>
    <w:p w:rsidR="008161CD" w:rsidRPr="00107997" w:rsidRDefault="008161CD" w:rsidP="008161CD">
      <w:pPr>
        <w:pStyle w:val="BodyParaBullet"/>
        <w:numPr>
          <w:ilvl w:val="2"/>
          <w:numId w:val="16"/>
        </w:numPr>
        <w:spacing w:before="60" w:line="240" w:lineRule="auto"/>
        <w:ind w:left="794" w:hanging="284"/>
        <w:rPr>
          <w:szCs w:val="18"/>
        </w:rPr>
      </w:pPr>
      <w:r w:rsidRPr="00107997">
        <w:rPr>
          <w:szCs w:val="18"/>
        </w:rPr>
        <w:t>Australian Accounting Standards and Interpretations issued by the Australian Accounting Standards Board (AASB) that apply for the reporting period.</w:t>
      </w:r>
    </w:p>
    <w:p w:rsidR="008161CD" w:rsidRPr="00107997" w:rsidRDefault="008161CD" w:rsidP="008161CD">
      <w:pPr>
        <w:spacing w:before="60"/>
        <w:ind w:left="108"/>
        <w:rPr>
          <w:sz w:val="18"/>
          <w:szCs w:val="18"/>
        </w:rPr>
      </w:pPr>
      <w:r w:rsidRPr="00107997">
        <w:rPr>
          <w:sz w:val="18"/>
          <w:szCs w:val="18"/>
        </w:rPr>
        <w:t>The Financial Statements have been prepared on an accrual basis and are in accordance with the historical cost convention, except for certain assets at fair value.  Except where stated, no allowance is made for the effect of changing prices on the results or the financial position.</w:t>
      </w:r>
    </w:p>
    <w:p w:rsidR="008161CD" w:rsidRPr="00107997" w:rsidRDefault="008161CD" w:rsidP="008161CD">
      <w:pPr>
        <w:spacing w:before="60"/>
        <w:ind w:left="108"/>
        <w:rPr>
          <w:sz w:val="18"/>
          <w:szCs w:val="18"/>
        </w:rPr>
      </w:pPr>
      <w:r w:rsidRPr="00107997">
        <w:rPr>
          <w:sz w:val="18"/>
          <w:szCs w:val="18"/>
        </w:rPr>
        <w:t>The Financial Statements are presented in Australian dollars and values are rounded to the nearest thousand unless otherwise specified.</w:t>
      </w:r>
    </w:p>
    <w:p w:rsidR="008161CD" w:rsidRDefault="008161CD" w:rsidP="005D5D36">
      <w:pPr>
        <w:spacing w:before="120"/>
      </w:pPr>
      <w:r>
        <w:br w:type="page"/>
      </w:r>
    </w:p>
    <w:p w:rsidR="008161CD" w:rsidRPr="00107997" w:rsidRDefault="008161CD" w:rsidP="008161CD">
      <w:pPr>
        <w:tabs>
          <w:tab w:val="left" w:pos="6112"/>
        </w:tabs>
        <w:spacing w:before="120"/>
        <w:rPr>
          <w:rFonts w:ascii="Arial" w:hAnsi="Arial" w:cs="Arial"/>
          <w:sz w:val="20"/>
        </w:rPr>
      </w:pPr>
      <w:r w:rsidRPr="00107997">
        <w:rPr>
          <w:b/>
          <w:bCs/>
          <w:sz w:val="18"/>
          <w:szCs w:val="18"/>
        </w:rPr>
        <w:t>3   New Australian Accounting Standards</w:t>
      </w:r>
    </w:p>
    <w:p w:rsidR="008161CD" w:rsidRPr="00107997" w:rsidRDefault="008161CD" w:rsidP="008161CD">
      <w:pPr>
        <w:tabs>
          <w:tab w:val="left" w:pos="6112"/>
        </w:tabs>
        <w:spacing w:before="60"/>
        <w:rPr>
          <w:rFonts w:ascii="Arial" w:hAnsi="Arial" w:cs="Arial"/>
          <w:sz w:val="20"/>
        </w:rPr>
      </w:pPr>
      <w:r w:rsidRPr="00107997">
        <w:rPr>
          <w:b/>
          <w:bCs/>
          <w:i/>
          <w:iCs/>
          <w:sz w:val="18"/>
          <w:szCs w:val="18"/>
          <w:u w:val="single"/>
        </w:rPr>
        <w:t>Adoption of new Australian Accounting Standard requirements</w:t>
      </w:r>
    </w:p>
    <w:p w:rsidR="008161CD" w:rsidRPr="00107997" w:rsidRDefault="008161CD" w:rsidP="008161CD">
      <w:pPr>
        <w:spacing w:before="60"/>
        <w:rPr>
          <w:sz w:val="18"/>
          <w:szCs w:val="18"/>
        </w:rPr>
      </w:pPr>
      <w:r w:rsidRPr="00107997">
        <w:rPr>
          <w:sz w:val="18"/>
          <w:szCs w:val="18"/>
        </w:rPr>
        <w:t xml:space="preserve">In 2014-15, OPC elected to apply AASB 2015-7 </w:t>
      </w:r>
      <w:r w:rsidRPr="00107997">
        <w:rPr>
          <w:i/>
          <w:sz w:val="18"/>
          <w:szCs w:val="18"/>
        </w:rPr>
        <w:t>Amendments to Australian Accounting Standards - Fair Value Disclosures of Not-for-Profit Public Sector Entitie</w:t>
      </w:r>
      <w:r w:rsidRPr="00107997">
        <w:rPr>
          <w:sz w:val="18"/>
          <w:szCs w:val="18"/>
        </w:rPr>
        <w:t>s. This election continues for the current reporting period.</w:t>
      </w:r>
    </w:p>
    <w:p w:rsidR="008161CD" w:rsidRPr="00107997" w:rsidRDefault="008161CD" w:rsidP="008161CD">
      <w:pPr>
        <w:spacing w:before="60"/>
        <w:rPr>
          <w:bCs/>
          <w:iCs/>
          <w:sz w:val="18"/>
          <w:szCs w:val="18"/>
        </w:rPr>
      </w:pPr>
      <w:r w:rsidRPr="00107997">
        <w:rPr>
          <w:bCs/>
          <w:iCs/>
          <w:sz w:val="18"/>
          <w:szCs w:val="18"/>
        </w:rPr>
        <w:t>The new standards, any amendments to standards and interpretations which have been issued will have no impact for the current reporting period.</w:t>
      </w:r>
    </w:p>
    <w:p w:rsidR="008161CD" w:rsidRPr="00107997" w:rsidRDefault="008161CD" w:rsidP="008161CD">
      <w:pPr>
        <w:spacing w:before="60"/>
        <w:rPr>
          <w:rFonts w:ascii="Arial" w:hAnsi="Arial" w:cs="Arial"/>
          <w:sz w:val="20"/>
        </w:rPr>
      </w:pPr>
      <w:r w:rsidRPr="00107997">
        <w:rPr>
          <w:b/>
          <w:bCs/>
          <w:i/>
          <w:iCs/>
          <w:sz w:val="18"/>
          <w:szCs w:val="18"/>
          <w:u w:val="single"/>
        </w:rPr>
        <w:t>Future Australian Accounting Standard requirements</w:t>
      </w:r>
    </w:p>
    <w:p w:rsidR="008161CD" w:rsidRDefault="008161CD" w:rsidP="008161CD">
      <w:pPr>
        <w:tabs>
          <w:tab w:val="left" w:pos="6112"/>
        </w:tabs>
        <w:spacing w:before="60"/>
        <w:rPr>
          <w:sz w:val="18"/>
          <w:szCs w:val="18"/>
        </w:rPr>
      </w:pPr>
      <w:r w:rsidRPr="00107997">
        <w:rPr>
          <w:sz w:val="18"/>
          <w:szCs w:val="18"/>
        </w:rPr>
        <w:t>The new standards, any amendments to standards and interpretations which have been issued have been reviewed.</w:t>
      </w:r>
    </w:p>
    <w:p w:rsidR="008161CD" w:rsidRDefault="008161CD" w:rsidP="008161CD">
      <w:pPr>
        <w:tabs>
          <w:tab w:val="left" w:pos="6112"/>
        </w:tabs>
        <w:spacing w:before="60"/>
        <w:rPr>
          <w:sz w:val="18"/>
          <w:szCs w:val="18"/>
        </w:rPr>
      </w:pPr>
      <w:r>
        <w:rPr>
          <w:sz w:val="18"/>
          <w:szCs w:val="18"/>
        </w:rPr>
        <w:t>The following new standard has been issued and is applicable to future reporting periods and may have a material effect on OPC’s Financial Statements.</w:t>
      </w:r>
    </w:p>
    <w:p w:rsidR="008161CD" w:rsidRPr="009957FC" w:rsidRDefault="008161CD" w:rsidP="008161CD">
      <w:pPr>
        <w:tabs>
          <w:tab w:val="left" w:pos="6112"/>
        </w:tabs>
        <w:spacing w:before="60"/>
        <w:rPr>
          <w:sz w:val="6"/>
          <w:szCs w:val="16"/>
        </w:rPr>
      </w:pPr>
    </w:p>
    <w:tbl>
      <w:tblPr>
        <w:tblStyle w:val="TableGrid"/>
        <w:tblW w:w="0" w:type="auto"/>
        <w:tblInd w:w="108" w:type="dxa"/>
        <w:tblLook w:val="04A0" w:firstRow="1" w:lastRow="0" w:firstColumn="1" w:lastColumn="0" w:noHBand="0" w:noVBand="1"/>
      </w:tblPr>
      <w:tblGrid>
        <w:gridCol w:w="1843"/>
        <w:gridCol w:w="1134"/>
        <w:gridCol w:w="4111"/>
      </w:tblGrid>
      <w:tr w:rsidR="008161CD" w:rsidRPr="00255A26" w:rsidTr="008161CD">
        <w:tc>
          <w:tcPr>
            <w:tcW w:w="1843" w:type="dxa"/>
          </w:tcPr>
          <w:p w:rsidR="008161CD" w:rsidRPr="00255A26" w:rsidRDefault="008161CD" w:rsidP="008161CD">
            <w:pPr>
              <w:tabs>
                <w:tab w:val="left" w:pos="6112"/>
              </w:tabs>
              <w:spacing w:before="60"/>
              <w:rPr>
                <w:b/>
                <w:sz w:val="18"/>
                <w:szCs w:val="18"/>
              </w:rPr>
            </w:pPr>
            <w:r w:rsidRPr="00255A26">
              <w:rPr>
                <w:b/>
                <w:sz w:val="18"/>
                <w:szCs w:val="18"/>
              </w:rPr>
              <w:t>Standard</w:t>
            </w:r>
          </w:p>
        </w:tc>
        <w:tc>
          <w:tcPr>
            <w:tcW w:w="1134" w:type="dxa"/>
          </w:tcPr>
          <w:p w:rsidR="008161CD" w:rsidRPr="00255A26" w:rsidRDefault="008161CD" w:rsidP="008161CD">
            <w:pPr>
              <w:tabs>
                <w:tab w:val="left" w:pos="6112"/>
              </w:tabs>
              <w:spacing w:before="60"/>
              <w:rPr>
                <w:b/>
                <w:sz w:val="18"/>
                <w:szCs w:val="18"/>
              </w:rPr>
            </w:pPr>
            <w:r w:rsidRPr="00255A26">
              <w:rPr>
                <w:b/>
                <w:sz w:val="18"/>
                <w:szCs w:val="18"/>
              </w:rPr>
              <w:t>Applicable from</w:t>
            </w:r>
          </w:p>
        </w:tc>
        <w:tc>
          <w:tcPr>
            <w:tcW w:w="4111" w:type="dxa"/>
          </w:tcPr>
          <w:p w:rsidR="008161CD" w:rsidRPr="00255A26" w:rsidRDefault="008161CD" w:rsidP="008161CD">
            <w:pPr>
              <w:tabs>
                <w:tab w:val="left" w:pos="6112"/>
              </w:tabs>
              <w:spacing w:before="60"/>
              <w:rPr>
                <w:b/>
                <w:sz w:val="18"/>
                <w:szCs w:val="18"/>
              </w:rPr>
            </w:pPr>
            <w:r w:rsidRPr="00255A26">
              <w:rPr>
                <w:b/>
                <w:sz w:val="18"/>
                <w:szCs w:val="18"/>
              </w:rPr>
              <w:t>Nature of impending change/s in accounting policy and likely impact on initial application</w:t>
            </w:r>
          </w:p>
        </w:tc>
      </w:tr>
      <w:tr w:rsidR="008161CD" w:rsidTr="008161CD">
        <w:tc>
          <w:tcPr>
            <w:tcW w:w="1843" w:type="dxa"/>
          </w:tcPr>
          <w:p w:rsidR="008161CD" w:rsidRDefault="008161CD" w:rsidP="008161CD">
            <w:pPr>
              <w:tabs>
                <w:tab w:val="left" w:pos="6112"/>
              </w:tabs>
              <w:spacing w:before="60"/>
              <w:rPr>
                <w:sz w:val="18"/>
                <w:szCs w:val="18"/>
              </w:rPr>
            </w:pPr>
            <w:r>
              <w:rPr>
                <w:sz w:val="18"/>
                <w:szCs w:val="18"/>
              </w:rPr>
              <w:t>AASB 16</w:t>
            </w:r>
            <w:r>
              <w:rPr>
                <w:sz w:val="18"/>
                <w:szCs w:val="18"/>
              </w:rPr>
              <w:br/>
              <w:t>Leases</w:t>
            </w:r>
          </w:p>
        </w:tc>
        <w:tc>
          <w:tcPr>
            <w:tcW w:w="1134" w:type="dxa"/>
          </w:tcPr>
          <w:p w:rsidR="008161CD" w:rsidRDefault="008161CD" w:rsidP="008161CD">
            <w:pPr>
              <w:tabs>
                <w:tab w:val="left" w:pos="6112"/>
              </w:tabs>
              <w:spacing w:before="60"/>
              <w:rPr>
                <w:sz w:val="18"/>
                <w:szCs w:val="18"/>
              </w:rPr>
            </w:pPr>
            <w:r>
              <w:rPr>
                <w:sz w:val="18"/>
                <w:szCs w:val="18"/>
              </w:rPr>
              <w:t>1 July 2019</w:t>
            </w:r>
          </w:p>
        </w:tc>
        <w:tc>
          <w:tcPr>
            <w:tcW w:w="4111" w:type="dxa"/>
          </w:tcPr>
          <w:p w:rsidR="008161CD" w:rsidRDefault="008161CD" w:rsidP="008161CD">
            <w:pPr>
              <w:tabs>
                <w:tab w:val="left" w:pos="6112"/>
              </w:tabs>
              <w:spacing w:before="60"/>
              <w:rPr>
                <w:sz w:val="18"/>
                <w:szCs w:val="18"/>
              </w:rPr>
            </w:pPr>
            <w:r>
              <w:rPr>
                <w:sz w:val="18"/>
                <w:szCs w:val="18"/>
              </w:rPr>
              <w:t xml:space="preserve">Lessees will be required to bring all leases on the Statement of  Financial Position as the distinction between operating and finance leases has been eliminated. </w:t>
            </w:r>
          </w:p>
        </w:tc>
      </w:tr>
    </w:tbl>
    <w:p w:rsidR="008161CD" w:rsidRPr="00107997" w:rsidRDefault="008161CD" w:rsidP="008161CD">
      <w:pPr>
        <w:tabs>
          <w:tab w:val="left" w:pos="6112"/>
        </w:tabs>
        <w:spacing w:before="60"/>
        <w:rPr>
          <w:b/>
          <w:bCs/>
          <w:sz w:val="18"/>
          <w:szCs w:val="18"/>
        </w:rPr>
      </w:pPr>
      <w:r w:rsidRPr="00107997">
        <w:rPr>
          <w:b/>
          <w:bCs/>
          <w:sz w:val="18"/>
          <w:szCs w:val="18"/>
        </w:rPr>
        <w:t>4   Contingent Liabilities and Contingent Assets</w:t>
      </w:r>
    </w:p>
    <w:p w:rsidR="008161CD" w:rsidRPr="00107997" w:rsidRDefault="008161CD" w:rsidP="008161CD">
      <w:pPr>
        <w:tabs>
          <w:tab w:val="left" w:pos="6112"/>
        </w:tabs>
        <w:spacing w:before="60"/>
        <w:rPr>
          <w:i/>
          <w:sz w:val="18"/>
          <w:szCs w:val="18"/>
        </w:rPr>
      </w:pPr>
      <w:r w:rsidRPr="00107997">
        <w:rPr>
          <w:sz w:val="18"/>
          <w:szCs w:val="18"/>
        </w:rPr>
        <w:t>OPC has no quantifiable or unquantifiable contingent assets or liabilities as at 30 June 2016 (2015:nil).</w:t>
      </w:r>
    </w:p>
    <w:p w:rsidR="008161CD" w:rsidRPr="00107997" w:rsidRDefault="008161CD" w:rsidP="008161CD">
      <w:pPr>
        <w:spacing w:before="60"/>
        <w:rPr>
          <w:b/>
          <w:bCs/>
          <w:sz w:val="18"/>
          <w:szCs w:val="18"/>
        </w:rPr>
      </w:pPr>
      <w:r w:rsidRPr="00107997">
        <w:rPr>
          <w:b/>
          <w:sz w:val="18"/>
          <w:szCs w:val="18"/>
        </w:rPr>
        <w:t>5</w:t>
      </w:r>
      <w:r w:rsidRPr="00107997">
        <w:rPr>
          <w:b/>
          <w:bCs/>
          <w:sz w:val="18"/>
          <w:szCs w:val="18"/>
        </w:rPr>
        <w:t xml:space="preserve">   Taxation </w:t>
      </w:r>
    </w:p>
    <w:p w:rsidR="008161CD" w:rsidRPr="00107997" w:rsidRDefault="008161CD" w:rsidP="008161CD">
      <w:pPr>
        <w:spacing w:before="60"/>
        <w:rPr>
          <w:sz w:val="18"/>
          <w:szCs w:val="18"/>
        </w:rPr>
      </w:pPr>
      <w:r w:rsidRPr="00107997">
        <w:rPr>
          <w:sz w:val="18"/>
          <w:szCs w:val="18"/>
        </w:rPr>
        <w:t>OPC is exempt from all forms of taxation except fringe benefits tax (FBT) and the goods and services tax (GST).</w:t>
      </w:r>
    </w:p>
    <w:p w:rsidR="008161CD" w:rsidRPr="00107997" w:rsidRDefault="008161CD" w:rsidP="008161CD">
      <w:pPr>
        <w:spacing w:before="60"/>
        <w:rPr>
          <w:sz w:val="18"/>
          <w:szCs w:val="18"/>
        </w:rPr>
      </w:pPr>
      <w:r w:rsidRPr="00107997">
        <w:rPr>
          <w:sz w:val="18"/>
          <w:szCs w:val="18"/>
        </w:rPr>
        <w:t>Revenues, expenses and assets are recognised net of GST:</w:t>
      </w:r>
    </w:p>
    <w:p w:rsidR="008161CD" w:rsidRPr="00107997" w:rsidRDefault="008161CD" w:rsidP="008161CD">
      <w:pPr>
        <w:pStyle w:val="BodyParaBullet"/>
        <w:numPr>
          <w:ilvl w:val="2"/>
          <w:numId w:val="16"/>
        </w:numPr>
        <w:spacing w:before="0" w:line="240" w:lineRule="auto"/>
        <w:ind w:left="794" w:hanging="284"/>
        <w:rPr>
          <w:szCs w:val="18"/>
        </w:rPr>
      </w:pPr>
      <w:r w:rsidRPr="00107997">
        <w:rPr>
          <w:szCs w:val="18"/>
        </w:rPr>
        <w:t>except where the amount of GST incurred is not recoverable from the Australian Taxation Office; and</w:t>
      </w:r>
    </w:p>
    <w:p w:rsidR="008161CD" w:rsidRPr="00107997" w:rsidRDefault="008161CD" w:rsidP="008161CD">
      <w:pPr>
        <w:pStyle w:val="BodyParaBullet"/>
        <w:numPr>
          <w:ilvl w:val="2"/>
          <w:numId w:val="16"/>
        </w:numPr>
        <w:spacing w:before="0" w:line="240" w:lineRule="auto"/>
        <w:ind w:left="794" w:hanging="284"/>
        <w:rPr>
          <w:szCs w:val="18"/>
        </w:rPr>
      </w:pPr>
      <w:r w:rsidRPr="00107997">
        <w:rPr>
          <w:szCs w:val="18"/>
        </w:rPr>
        <w:t>except for receivables and payables.</w:t>
      </w:r>
    </w:p>
    <w:p w:rsidR="008161CD" w:rsidRPr="00107997" w:rsidRDefault="008161CD" w:rsidP="008161CD">
      <w:pPr>
        <w:spacing w:before="60"/>
        <w:rPr>
          <w:b/>
          <w:sz w:val="18"/>
          <w:szCs w:val="18"/>
        </w:rPr>
      </w:pPr>
      <w:r>
        <w:rPr>
          <w:b/>
          <w:sz w:val="18"/>
          <w:szCs w:val="18"/>
        </w:rPr>
        <w:t>6</w:t>
      </w:r>
      <w:r w:rsidRPr="00107997">
        <w:rPr>
          <w:b/>
          <w:sz w:val="18"/>
          <w:szCs w:val="18"/>
        </w:rPr>
        <w:t xml:space="preserve"> </w:t>
      </w:r>
      <w:r>
        <w:rPr>
          <w:b/>
          <w:sz w:val="18"/>
          <w:szCs w:val="18"/>
        </w:rPr>
        <w:t xml:space="preserve"> </w:t>
      </w:r>
      <w:r w:rsidRPr="00107997">
        <w:rPr>
          <w:b/>
          <w:sz w:val="18"/>
          <w:szCs w:val="18"/>
        </w:rPr>
        <w:t xml:space="preserve"> Events after the Reporting Date</w:t>
      </w:r>
    </w:p>
    <w:p w:rsidR="008161CD" w:rsidRPr="00107997" w:rsidRDefault="008161CD" w:rsidP="008161CD">
      <w:pPr>
        <w:spacing w:before="60"/>
        <w:rPr>
          <w:sz w:val="18"/>
          <w:szCs w:val="18"/>
        </w:rPr>
      </w:pPr>
      <w:r w:rsidRPr="00107997">
        <w:rPr>
          <w:sz w:val="18"/>
          <w:szCs w:val="18"/>
        </w:rPr>
        <w:t>There is no subsequent event that had the potential to significantly affect the ongoing structure and financial activities of the entity.</w:t>
      </w:r>
    </w:p>
    <w:p w:rsidR="008161CD" w:rsidRPr="00107997" w:rsidRDefault="008161CD" w:rsidP="008161CD">
      <w:r w:rsidRPr="00107997">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7088"/>
      </w:tblGrid>
      <w:tr w:rsidR="008161CD" w:rsidRPr="00412F3D" w:rsidTr="00C51461">
        <w:trPr>
          <w:trHeight w:val="91"/>
        </w:trPr>
        <w:tc>
          <w:tcPr>
            <w:tcW w:w="7088" w:type="dxa"/>
            <w:shd w:val="clear" w:color="auto" w:fill="A6A6A6" w:themeFill="background1" w:themeFillShade="A6"/>
          </w:tcPr>
          <w:p w:rsidR="008161CD" w:rsidRPr="00412F3D" w:rsidRDefault="008161CD" w:rsidP="008161CD">
            <w:pPr>
              <w:tabs>
                <w:tab w:val="left" w:pos="6112"/>
              </w:tabs>
              <w:spacing w:before="120"/>
              <w:rPr>
                <w:rFonts w:ascii="Arial" w:hAnsi="Arial" w:cs="Arial"/>
                <w:b/>
                <w:bCs/>
                <w:sz w:val="18"/>
                <w:szCs w:val="18"/>
              </w:rPr>
            </w:pPr>
            <w:r>
              <w:rPr>
                <w:rFonts w:ascii="Arial" w:hAnsi="Arial" w:cs="Arial"/>
                <w:b/>
                <w:bCs/>
                <w:sz w:val="18"/>
                <w:szCs w:val="18"/>
              </w:rPr>
              <w:t>BUDGET VARIANCE EXPLANATIONS</w:t>
            </w:r>
          </w:p>
        </w:tc>
      </w:tr>
    </w:tbl>
    <w:p w:rsidR="008161CD" w:rsidRPr="00D73499" w:rsidRDefault="008161CD" w:rsidP="008161CD">
      <w:pPr>
        <w:spacing w:before="60"/>
        <w:rPr>
          <w:sz w:val="18"/>
          <w:szCs w:val="18"/>
        </w:rPr>
      </w:pPr>
      <w:r w:rsidRPr="00D73499">
        <w:rPr>
          <w:sz w:val="18"/>
          <w:szCs w:val="18"/>
        </w:rPr>
        <w:t>OPC delivers drafting and advisory services for Bills and subordinate legislation, prepares compilations of laws as amended and registers laws and instruments on behalf of more than 70 Commonwealth entities.</w:t>
      </w:r>
    </w:p>
    <w:p w:rsidR="008161CD" w:rsidRPr="00D73499" w:rsidRDefault="008161CD" w:rsidP="008161CD">
      <w:pPr>
        <w:spacing w:before="60"/>
        <w:rPr>
          <w:sz w:val="18"/>
          <w:szCs w:val="18"/>
        </w:rPr>
      </w:pPr>
      <w:r w:rsidRPr="00D73499">
        <w:rPr>
          <w:sz w:val="18"/>
          <w:szCs w:val="18"/>
        </w:rPr>
        <w:t xml:space="preserve">OPC’s drafting work is regulated by the Legal Services Directions.  All Bill and regulation drafting is tied to OPC and budget funded. OPC delivers legislative publishing services to and on behalf of the whole of the Australian Government through the Federal Register of Legislation. </w:t>
      </w:r>
    </w:p>
    <w:p w:rsidR="008161CD" w:rsidRPr="00D73499" w:rsidRDefault="008161CD" w:rsidP="008161CD">
      <w:pPr>
        <w:spacing w:before="60"/>
        <w:rPr>
          <w:sz w:val="18"/>
          <w:szCs w:val="18"/>
        </w:rPr>
      </w:pPr>
      <w:r w:rsidRPr="00D73499">
        <w:rPr>
          <w:sz w:val="18"/>
          <w:szCs w:val="18"/>
        </w:rPr>
        <w:t>OPC recovers the cost of core services from Government entities that publish legislation on the Federal Register of Legislation through annual fees.</w:t>
      </w:r>
    </w:p>
    <w:p w:rsidR="008161CD" w:rsidRPr="00D73499" w:rsidRDefault="008161CD" w:rsidP="008161CD">
      <w:pPr>
        <w:spacing w:before="60"/>
        <w:rPr>
          <w:sz w:val="18"/>
          <w:szCs w:val="18"/>
        </w:rPr>
      </w:pPr>
      <w:r w:rsidRPr="00D73499">
        <w:rPr>
          <w:sz w:val="18"/>
          <w:szCs w:val="18"/>
        </w:rPr>
        <w:t xml:space="preserve">OPC provides drafting services for legislative instruments and other publishing services on a fee for service basis. The demand for these services is client driven and therefore difficult to budget accurately. </w:t>
      </w:r>
    </w:p>
    <w:p w:rsidR="008161CD" w:rsidRPr="00D73499" w:rsidRDefault="008161CD" w:rsidP="00D73499">
      <w:pPr>
        <w:spacing w:before="60"/>
        <w:rPr>
          <w:sz w:val="18"/>
          <w:szCs w:val="18"/>
        </w:rPr>
      </w:pPr>
      <w:r w:rsidRPr="00D73499">
        <w:rPr>
          <w:sz w:val="18"/>
          <w:szCs w:val="18"/>
        </w:rPr>
        <w:t>OPC co-located staff to a single new premises in Forrest in August 2015. At the time of preparing the 2015-16 budget, the schedule for construction of fit-out, final fit-out costs and allocation of these costs between the 2014-15 and 2015-16 financial years had not been finalised. The actual schedule for fit-out was slightly delayed and resulted in some costs and payments that had originally been budgeted for in 2014-15 being recognised and paid early in 2015-16. This accounts for many of the major variance explanations below.</w:t>
      </w:r>
    </w:p>
    <w:p w:rsidR="008161CD" w:rsidRPr="00D73499" w:rsidRDefault="008161CD" w:rsidP="00D73499">
      <w:pPr>
        <w:spacing w:before="60"/>
        <w:rPr>
          <w:rFonts w:eastAsiaTheme="minorHAnsi"/>
          <w:sz w:val="18"/>
          <w:szCs w:val="18"/>
          <w:lang w:eastAsia="en-US"/>
        </w:rPr>
      </w:pPr>
      <w:r w:rsidRPr="00D73499">
        <w:rPr>
          <w:sz w:val="18"/>
          <w:szCs w:val="18"/>
        </w:rPr>
        <w:t>The following is an explanation of the major variances between the original budget presented in</w:t>
      </w:r>
      <w:r w:rsidRPr="00D73499">
        <w:rPr>
          <w:rFonts w:eastAsiaTheme="minorHAnsi"/>
          <w:sz w:val="18"/>
          <w:szCs w:val="18"/>
          <w:lang w:eastAsia="en-US"/>
        </w:rPr>
        <w:t xml:space="preserve"> the 2015-16 Portfolio Budget Statements and the 2015-16 final outcome as presented in accordance with Australian Accounting Standards for OPC.</w:t>
      </w:r>
    </w:p>
    <w:p w:rsidR="008161CD" w:rsidRPr="00D73499" w:rsidRDefault="008161CD" w:rsidP="00D73499">
      <w:pPr>
        <w:spacing w:before="60"/>
        <w:rPr>
          <w:rFonts w:eastAsiaTheme="minorHAnsi"/>
          <w:sz w:val="18"/>
          <w:szCs w:val="18"/>
          <w:lang w:eastAsia="en-US"/>
        </w:rPr>
      </w:pPr>
      <w:r w:rsidRPr="00D73499">
        <w:rPr>
          <w:rFonts w:eastAsiaTheme="minorHAnsi"/>
          <w:sz w:val="18"/>
          <w:szCs w:val="18"/>
          <w:lang w:eastAsia="en-US"/>
        </w:rPr>
        <w:t>Variances are considered to be major if the variance is greater than 10% between budget and actual.</w:t>
      </w:r>
    </w:p>
    <w:p w:rsidR="008161CD" w:rsidRPr="00D73499" w:rsidRDefault="008161CD" w:rsidP="008161CD">
      <w:pPr>
        <w:pStyle w:val="Head4"/>
        <w:spacing w:before="60" w:after="0" w:line="260" w:lineRule="atLeast"/>
        <w:rPr>
          <w:rFonts w:ascii="Times New Roman" w:eastAsiaTheme="minorHAnsi" w:hAnsi="Times New Roman" w:cs="Times New Roman"/>
          <w:color w:val="auto"/>
          <w:kern w:val="0"/>
          <w:sz w:val="18"/>
          <w:szCs w:val="18"/>
          <w:lang w:eastAsia="en-US"/>
        </w:rPr>
      </w:pPr>
      <w:r w:rsidRPr="00D73499">
        <w:rPr>
          <w:rFonts w:ascii="Times New Roman" w:eastAsiaTheme="minorHAnsi" w:hAnsi="Times New Roman" w:cs="Times New Roman"/>
          <w:color w:val="auto"/>
          <w:kern w:val="0"/>
          <w:sz w:val="18"/>
          <w:szCs w:val="18"/>
          <w:lang w:eastAsia="en-US"/>
        </w:rPr>
        <w:t>Statement of Comprehensive Income</w:t>
      </w:r>
    </w:p>
    <w:p w:rsidR="008161CD" w:rsidRPr="00D73499" w:rsidRDefault="008161CD" w:rsidP="008161CD">
      <w:pPr>
        <w:pStyle w:val="Head5"/>
        <w:spacing w:before="60" w:after="0" w:line="260" w:lineRule="atLeast"/>
        <w:rPr>
          <w:rFonts w:ascii="Times New Roman" w:eastAsiaTheme="minorHAnsi" w:hAnsi="Times New Roman" w:cs="Times New Roman"/>
          <w:b w:val="0"/>
          <w:color w:val="auto"/>
          <w:kern w:val="0"/>
          <w:sz w:val="18"/>
          <w:szCs w:val="18"/>
          <w:lang w:eastAsia="en-US"/>
        </w:rPr>
      </w:pPr>
      <w:r w:rsidRPr="00D73499">
        <w:rPr>
          <w:rFonts w:ascii="Times New Roman" w:eastAsiaTheme="minorHAnsi" w:hAnsi="Times New Roman" w:cs="Times New Roman"/>
          <w:b w:val="0"/>
          <w:color w:val="auto"/>
          <w:kern w:val="0"/>
          <w:sz w:val="18"/>
          <w:szCs w:val="18"/>
          <w:lang w:eastAsia="en-US"/>
        </w:rPr>
        <w:t>Supplier expenses</w:t>
      </w:r>
    </w:p>
    <w:p w:rsidR="008161CD" w:rsidRPr="00D73499" w:rsidRDefault="008161CD" w:rsidP="00D73499">
      <w:pPr>
        <w:spacing w:before="60"/>
        <w:rPr>
          <w:sz w:val="18"/>
          <w:szCs w:val="18"/>
        </w:rPr>
      </w:pPr>
      <w:r w:rsidRPr="00D73499">
        <w:rPr>
          <w:sz w:val="18"/>
          <w:szCs w:val="18"/>
        </w:rPr>
        <w:t>Actual supplier expenses are lower than budget in line with the impact of the Attorney-General’s one-off efficiency savings to specific agencies budget measure of $0.563 million.</w:t>
      </w:r>
    </w:p>
    <w:p w:rsidR="008161CD" w:rsidRPr="00D73499" w:rsidRDefault="008161CD" w:rsidP="008161CD">
      <w:pPr>
        <w:pStyle w:val="Head5"/>
        <w:spacing w:before="0" w:after="0" w:line="260" w:lineRule="atLeast"/>
        <w:rPr>
          <w:rFonts w:ascii="Times New Roman" w:eastAsiaTheme="minorHAnsi" w:hAnsi="Times New Roman" w:cs="Times New Roman"/>
          <w:b w:val="0"/>
          <w:color w:val="auto"/>
          <w:kern w:val="0"/>
          <w:sz w:val="18"/>
          <w:szCs w:val="18"/>
          <w:lang w:eastAsia="en-US"/>
        </w:rPr>
      </w:pPr>
      <w:r w:rsidRPr="00D73499">
        <w:rPr>
          <w:rFonts w:ascii="Times New Roman" w:eastAsiaTheme="minorHAnsi" w:hAnsi="Times New Roman" w:cs="Times New Roman"/>
          <w:b w:val="0"/>
          <w:color w:val="auto"/>
          <w:kern w:val="0"/>
          <w:sz w:val="18"/>
          <w:szCs w:val="18"/>
          <w:lang w:eastAsia="en-US"/>
        </w:rPr>
        <w:t>Depreciation and amortisation</w:t>
      </w:r>
    </w:p>
    <w:p w:rsidR="008161CD" w:rsidRPr="00D73499" w:rsidRDefault="008161CD" w:rsidP="00D73499">
      <w:pPr>
        <w:spacing w:before="60"/>
        <w:rPr>
          <w:sz w:val="18"/>
          <w:szCs w:val="18"/>
        </w:rPr>
      </w:pPr>
      <w:r w:rsidRPr="00D73499">
        <w:rPr>
          <w:sz w:val="18"/>
          <w:szCs w:val="18"/>
        </w:rPr>
        <w:t>Actual depreciation is higher than budget due to the timing, categorisation and cost of the new office fit-out.</w:t>
      </w:r>
    </w:p>
    <w:p w:rsidR="008161CD" w:rsidRPr="00D73499" w:rsidRDefault="008161CD" w:rsidP="008161CD">
      <w:pPr>
        <w:pStyle w:val="Head5"/>
        <w:spacing w:before="0" w:after="0" w:line="260" w:lineRule="atLeast"/>
        <w:rPr>
          <w:rFonts w:ascii="Times New Roman" w:eastAsiaTheme="minorHAnsi" w:hAnsi="Times New Roman" w:cs="Times New Roman"/>
          <w:b w:val="0"/>
          <w:color w:val="auto"/>
          <w:kern w:val="0"/>
          <w:sz w:val="18"/>
          <w:szCs w:val="18"/>
          <w:lang w:eastAsia="en-US"/>
        </w:rPr>
      </w:pPr>
      <w:r w:rsidRPr="00D73499">
        <w:rPr>
          <w:rFonts w:ascii="Times New Roman" w:eastAsiaTheme="minorHAnsi" w:hAnsi="Times New Roman" w:cs="Times New Roman"/>
          <w:b w:val="0"/>
          <w:color w:val="auto"/>
          <w:kern w:val="0"/>
          <w:sz w:val="18"/>
          <w:szCs w:val="18"/>
          <w:lang w:eastAsia="en-US"/>
        </w:rPr>
        <w:t>Own-source income</w:t>
      </w:r>
    </w:p>
    <w:p w:rsidR="008161CD" w:rsidRPr="00D73499" w:rsidRDefault="008161CD" w:rsidP="00D73499">
      <w:pPr>
        <w:spacing w:before="60"/>
        <w:rPr>
          <w:sz w:val="18"/>
          <w:szCs w:val="18"/>
        </w:rPr>
      </w:pPr>
      <w:r w:rsidRPr="00D73499">
        <w:rPr>
          <w:sz w:val="18"/>
          <w:szCs w:val="18"/>
        </w:rPr>
        <w:t>Other gains and some other revenue was incorrectly categorised as sale of goods and rendering of services in the budget.</w:t>
      </w:r>
    </w:p>
    <w:p w:rsidR="008161CD" w:rsidRPr="00D73499" w:rsidRDefault="008161CD" w:rsidP="008161CD">
      <w:pPr>
        <w:pStyle w:val="Head4"/>
        <w:spacing w:before="60" w:after="0" w:line="260" w:lineRule="atLeast"/>
        <w:rPr>
          <w:rFonts w:ascii="Times New Roman" w:eastAsiaTheme="minorHAnsi" w:hAnsi="Times New Roman" w:cs="Times New Roman"/>
          <w:color w:val="auto"/>
          <w:kern w:val="0"/>
          <w:sz w:val="18"/>
          <w:szCs w:val="18"/>
          <w:lang w:eastAsia="en-US"/>
        </w:rPr>
      </w:pPr>
      <w:r w:rsidRPr="00D73499">
        <w:rPr>
          <w:rFonts w:ascii="Times New Roman" w:eastAsiaTheme="minorHAnsi" w:hAnsi="Times New Roman" w:cs="Times New Roman"/>
          <w:color w:val="auto"/>
          <w:kern w:val="0"/>
          <w:sz w:val="18"/>
          <w:szCs w:val="18"/>
          <w:lang w:eastAsia="en-US"/>
        </w:rPr>
        <w:t>Statement of Financial Position</w:t>
      </w:r>
    </w:p>
    <w:p w:rsidR="008161CD" w:rsidRPr="00D73499" w:rsidRDefault="008161CD" w:rsidP="008161CD">
      <w:pPr>
        <w:pStyle w:val="Head5"/>
        <w:spacing w:before="60" w:after="0" w:line="260" w:lineRule="atLeast"/>
        <w:rPr>
          <w:rFonts w:ascii="Times New Roman" w:eastAsiaTheme="minorHAnsi" w:hAnsi="Times New Roman" w:cs="Times New Roman"/>
          <w:b w:val="0"/>
          <w:color w:val="auto"/>
          <w:kern w:val="0"/>
          <w:sz w:val="18"/>
          <w:szCs w:val="18"/>
          <w:lang w:eastAsia="en-US"/>
        </w:rPr>
      </w:pPr>
      <w:r w:rsidRPr="00D73499">
        <w:rPr>
          <w:rFonts w:ascii="Times New Roman" w:eastAsiaTheme="minorHAnsi" w:hAnsi="Times New Roman" w:cs="Times New Roman"/>
          <w:b w:val="0"/>
          <w:color w:val="auto"/>
          <w:kern w:val="0"/>
          <w:sz w:val="18"/>
          <w:szCs w:val="18"/>
          <w:lang w:eastAsia="en-US"/>
        </w:rPr>
        <w:t>Trade and other receivables</w:t>
      </w:r>
    </w:p>
    <w:p w:rsidR="008161CD" w:rsidRPr="00D73499" w:rsidRDefault="008161CD" w:rsidP="00D73499">
      <w:pPr>
        <w:spacing w:before="60"/>
        <w:rPr>
          <w:sz w:val="18"/>
          <w:szCs w:val="18"/>
        </w:rPr>
      </w:pPr>
      <w:r w:rsidRPr="00D73499">
        <w:rPr>
          <w:sz w:val="18"/>
          <w:szCs w:val="18"/>
        </w:rPr>
        <w:t>Actual trade and other receivables are higher than budget mainly due to higher appropriations, offset by lower trade receivables. Appropriations receivable was higher than budget due to higher than expected surplus (after adding back non-cost recovered depreciation) for the 2015-16 year ($1.009 million); an increase in payables mainly due to early recognition of property rent ($0.966 million); and funds set aside for future Federal Register of Legislation development ($0.688 million) being incorrectly categorised as distributions to owners in the budget. Trade receivables was incorrectly overstated in the budget as the change to annual billing arrangements for legislation registration results in these receivables being nil at the end of the financial year.</w:t>
      </w:r>
    </w:p>
    <w:p w:rsidR="008161CD" w:rsidRPr="00453AF7" w:rsidRDefault="008161CD" w:rsidP="008161CD">
      <w:pPr>
        <w:pStyle w:val="Head5"/>
        <w:spacing w:before="60" w:after="0" w:line="260" w:lineRule="atLeast"/>
        <w:rPr>
          <w:rFonts w:ascii="Times New Roman" w:eastAsiaTheme="minorHAnsi" w:hAnsi="Times New Roman" w:cs="Times New Roman"/>
          <w:b w:val="0"/>
          <w:color w:val="auto"/>
          <w:kern w:val="0"/>
          <w:sz w:val="18"/>
          <w:szCs w:val="18"/>
          <w:lang w:eastAsia="en-US"/>
        </w:rPr>
      </w:pPr>
      <w:r w:rsidRPr="00453AF7">
        <w:rPr>
          <w:rFonts w:ascii="Times New Roman" w:eastAsiaTheme="minorHAnsi" w:hAnsi="Times New Roman" w:cs="Times New Roman"/>
          <w:b w:val="0"/>
          <w:color w:val="auto"/>
          <w:kern w:val="0"/>
          <w:sz w:val="18"/>
          <w:szCs w:val="18"/>
          <w:lang w:eastAsia="en-US"/>
        </w:rPr>
        <w:t>Plant and equipment</w:t>
      </w:r>
    </w:p>
    <w:p w:rsidR="008161CD" w:rsidRPr="00453AF7" w:rsidRDefault="008161CD" w:rsidP="00D73499">
      <w:pPr>
        <w:spacing w:before="60"/>
        <w:rPr>
          <w:sz w:val="18"/>
          <w:szCs w:val="18"/>
        </w:rPr>
      </w:pPr>
      <w:r w:rsidRPr="00D73499">
        <w:rPr>
          <w:sz w:val="18"/>
          <w:szCs w:val="18"/>
        </w:rPr>
        <w:t xml:space="preserve">Actual plant and equipment is lower than budget due to a valuation and impairment review at </w:t>
      </w:r>
      <w:r w:rsidRPr="00D73499">
        <w:rPr>
          <w:sz w:val="18"/>
          <w:szCs w:val="18"/>
        </w:rPr>
        <w:br/>
        <w:t xml:space="preserve">30 June 2015. The result was an impairment of surplus assets that would not be relocated to the </w:t>
      </w:r>
      <w:r w:rsidR="0038796F">
        <w:rPr>
          <w:sz w:val="18"/>
          <w:szCs w:val="18"/>
        </w:rPr>
        <w:t>new premises ($0.175</w:t>
      </w:r>
      <w:r w:rsidRPr="00453AF7">
        <w:rPr>
          <w:sz w:val="18"/>
          <w:szCs w:val="18"/>
        </w:rPr>
        <w:t xml:space="preserve"> million).</w:t>
      </w:r>
    </w:p>
    <w:p w:rsidR="00453AF7" w:rsidRPr="00453AF7" w:rsidRDefault="00453AF7" w:rsidP="00453AF7">
      <w:pPr>
        <w:pStyle w:val="Head5"/>
        <w:spacing w:before="120" w:after="0" w:line="260" w:lineRule="atLeast"/>
        <w:rPr>
          <w:rFonts w:ascii="Times New Roman" w:eastAsiaTheme="minorHAnsi" w:hAnsi="Times New Roman"/>
          <w:b w:val="0"/>
          <w:color w:val="auto"/>
          <w:kern w:val="0"/>
          <w:sz w:val="18"/>
          <w:szCs w:val="18"/>
          <w:lang w:eastAsia="en-US"/>
        </w:rPr>
      </w:pPr>
      <w:r w:rsidRPr="00453AF7">
        <w:rPr>
          <w:rFonts w:ascii="Times New Roman" w:eastAsiaTheme="minorHAnsi" w:hAnsi="Times New Roman"/>
          <w:b w:val="0"/>
          <w:color w:val="auto"/>
          <w:kern w:val="0"/>
          <w:sz w:val="18"/>
          <w:szCs w:val="18"/>
          <w:lang w:eastAsia="en-US"/>
        </w:rPr>
        <w:t>Other payables</w:t>
      </w:r>
    </w:p>
    <w:p w:rsidR="00453AF7" w:rsidRPr="00453AF7" w:rsidRDefault="00453AF7" w:rsidP="00453AF7">
      <w:pPr>
        <w:spacing w:before="60"/>
        <w:rPr>
          <w:sz w:val="18"/>
          <w:szCs w:val="18"/>
        </w:rPr>
      </w:pPr>
      <w:r w:rsidRPr="00453AF7">
        <w:rPr>
          <w:sz w:val="18"/>
          <w:szCs w:val="18"/>
        </w:rPr>
        <w:t>Actual other payables are higher than budget due to the quantum for recognition of rent payable for the new premises ($0.966 million) in accordance with AASB accounting standards was unknown at the time of preparing the budget.</w:t>
      </w:r>
    </w:p>
    <w:p w:rsidR="00453AF7" w:rsidRPr="00453AF7" w:rsidRDefault="00453AF7" w:rsidP="00453AF7">
      <w:pPr>
        <w:pStyle w:val="Head5"/>
        <w:spacing w:before="120" w:after="0" w:line="260" w:lineRule="atLeast"/>
        <w:rPr>
          <w:rFonts w:ascii="Times New Roman" w:eastAsiaTheme="minorHAnsi" w:hAnsi="Times New Roman"/>
          <w:b w:val="0"/>
          <w:color w:val="auto"/>
          <w:kern w:val="0"/>
          <w:sz w:val="18"/>
          <w:szCs w:val="18"/>
          <w:lang w:eastAsia="en-US"/>
        </w:rPr>
      </w:pPr>
      <w:r w:rsidRPr="00453AF7">
        <w:rPr>
          <w:rFonts w:ascii="Times New Roman" w:eastAsiaTheme="minorHAnsi" w:hAnsi="Times New Roman"/>
          <w:b w:val="0"/>
          <w:color w:val="auto"/>
          <w:kern w:val="0"/>
          <w:sz w:val="18"/>
          <w:szCs w:val="18"/>
          <w:lang w:eastAsia="en-US"/>
        </w:rPr>
        <w:t>Cash, other non-financial assets and suppliers</w:t>
      </w:r>
    </w:p>
    <w:p w:rsidR="00453AF7" w:rsidRPr="00453AF7" w:rsidRDefault="00453AF7" w:rsidP="00453AF7">
      <w:pPr>
        <w:spacing w:before="60"/>
        <w:rPr>
          <w:sz w:val="18"/>
          <w:szCs w:val="18"/>
        </w:rPr>
      </w:pPr>
      <w:r w:rsidRPr="00453AF7">
        <w:rPr>
          <w:sz w:val="18"/>
          <w:szCs w:val="18"/>
        </w:rPr>
        <w:t>The immaterial variances for cash, other non-financial assets and suppliers were due to timing differences for receipts and payments.</w:t>
      </w:r>
    </w:p>
    <w:p w:rsidR="00453AF7" w:rsidRPr="00453AF7" w:rsidRDefault="00453AF7" w:rsidP="00453AF7">
      <w:pPr>
        <w:pStyle w:val="Head4"/>
        <w:spacing w:before="120" w:line="260" w:lineRule="atLeast"/>
        <w:rPr>
          <w:rFonts w:ascii="Times New Roman" w:eastAsiaTheme="minorHAnsi" w:hAnsi="Times New Roman"/>
          <w:color w:val="auto"/>
          <w:kern w:val="0"/>
          <w:sz w:val="18"/>
          <w:szCs w:val="18"/>
          <w:lang w:eastAsia="en-US"/>
        </w:rPr>
      </w:pPr>
      <w:r w:rsidRPr="00453AF7">
        <w:rPr>
          <w:rFonts w:ascii="Times New Roman" w:eastAsiaTheme="minorHAnsi" w:hAnsi="Times New Roman"/>
          <w:color w:val="auto"/>
          <w:kern w:val="0"/>
          <w:sz w:val="18"/>
          <w:szCs w:val="18"/>
          <w:lang w:eastAsia="en-US"/>
        </w:rPr>
        <w:t>Statement of Changes in Equity</w:t>
      </w:r>
    </w:p>
    <w:p w:rsidR="00453AF7" w:rsidRPr="00453AF7" w:rsidRDefault="00453AF7" w:rsidP="00206BBD">
      <w:pPr>
        <w:pStyle w:val="Head5"/>
        <w:spacing w:before="0" w:after="0" w:line="240" w:lineRule="auto"/>
        <w:rPr>
          <w:rFonts w:ascii="Times New Roman" w:eastAsiaTheme="minorHAnsi" w:hAnsi="Times New Roman"/>
          <w:b w:val="0"/>
          <w:color w:val="auto"/>
          <w:kern w:val="0"/>
          <w:sz w:val="18"/>
          <w:szCs w:val="18"/>
          <w:lang w:eastAsia="en-US"/>
        </w:rPr>
      </w:pPr>
      <w:r w:rsidRPr="00453AF7">
        <w:rPr>
          <w:rFonts w:ascii="Times New Roman" w:eastAsiaTheme="minorHAnsi" w:hAnsi="Times New Roman"/>
          <w:b w:val="0"/>
          <w:color w:val="auto"/>
          <w:kern w:val="0"/>
          <w:sz w:val="18"/>
          <w:szCs w:val="18"/>
          <w:lang w:eastAsia="en-US"/>
        </w:rPr>
        <w:t>Returns of capital - funds set aside for future Federal Register of Legislation so</w:t>
      </w:r>
      <w:r w:rsidR="00206BBD">
        <w:rPr>
          <w:rFonts w:ascii="Times New Roman" w:eastAsiaTheme="minorHAnsi" w:hAnsi="Times New Roman"/>
          <w:b w:val="0"/>
          <w:color w:val="auto"/>
          <w:kern w:val="0"/>
          <w:sz w:val="18"/>
          <w:szCs w:val="18"/>
          <w:lang w:eastAsia="en-US"/>
        </w:rPr>
        <w:t xml:space="preserve">ftware </w:t>
      </w:r>
      <w:r w:rsidRPr="00453AF7">
        <w:rPr>
          <w:rFonts w:ascii="Times New Roman" w:eastAsiaTheme="minorHAnsi" w:hAnsi="Times New Roman"/>
          <w:b w:val="0"/>
          <w:color w:val="auto"/>
          <w:kern w:val="0"/>
          <w:sz w:val="18"/>
          <w:szCs w:val="18"/>
          <w:lang w:eastAsia="en-US"/>
        </w:rPr>
        <w:t>development</w:t>
      </w:r>
    </w:p>
    <w:p w:rsidR="00453AF7" w:rsidRPr="00453AF7" w:rsidRDefault="00453AF7" w:rsidP="00453AF7">
      <w:pPr>
        <w:spacing w:before="60"/>
        <w:rPr>
          <w:sz w:val="18"/>
          <w:szCs w:val="18"/>
        </w:rPr>
      </w:pPr>
      <w:r w:rsidRPr="00453AF7">
        <w:rPr>
          <w:sz w:val="18"/>
          <w:szCs w:val="18"/>
        </w:rPr>
        <w:t xml:space="preserve">The adjustment to retained earnings was incorrectly categorised in the budget. The correct categorisation for funds set aside for future Federal Register of Legislation software development is an increase in appropriations receivable.  </w:t>
      </w:r>
    </w:p>
    <w:p w:rsidR="00453AF7" w:rsidRPr="00453AF7" w:rsidRDefault="00453AF7" w:rsidP="00453AF7">
      <w:pPr>
        <w:pStyle w:val="BodyPara"/>
        <w:spacing w:before="120" w:after="60" w:line="260" w:lineRule="atLeast"/>
        <w:rPr>
          <w:rFonts w:eastAsiaTheme="minorHAnsi"/>
          <w:b/>
          <w:sz w:val="18"/>
          <w:szCs w:val="18"/>
          <w:lang w:eastAsia="en-US"/>
        </w:rPr>
      </w:pPr>
      <w:r w:rsidRPr="00453AF7">
        <w:rPr>
          <w:rFonts w:eastAsiaTheme="minorHAnsi"/>
          <w:b/>
          <w:sz w:val="18"/>
          <w:szCs w:val="18"/>
          <w:lang w:eastAsia="en-US"/>
        </w:rPr>
        <w:t>Cash Flow Statement</w:t>
      </w:r>
    </w:p>
    <w:p w:rsidR="00453AF7" w:rsidRPr="00453AF7" w:rsidRDefault="00453AF7" w:rsidP="00453AF7">
      <w:pPr>
        <w:pStyle w:val="Head5"/>
        <w:spacing w:before="0" w:after="0" w:line="260" w:lineRule="atLeast"/>
        <w:rPr>
          <w:rFonts w:ascii="Times New Roman" w:eastAsiaTheme="minorHAnsi" w:hAnsi="Times New Roman"/>
          <w:b w:val="0"/>
          <w:color w:val="auto"/>
          <w:kern w:val="0"/>
          <w:sz w:val="18"/>
          <w:szCs w:val="18"/>
          <w:lang w:eastAsia="en-US"/>
        </w:rPr>
      </w:pPr>
      <w:r w:rsidRPr="00453AF7">
        <w:rPr>
          <w:rFonts w:ascii="Times New Roman" w:eastAsiaTheme="minorHAnsi" w:hAnsi="Times New Roman"/>
          <w:b w:val="0"/>
          <w:color w:val="auto"/>
          <w:kern w:val="0"/>
          <w:sz w:val="18"/>
          <w:szCs w:val="18"/>
          <w:lang w:eastAsia="en-US"/>
        </w:rPr>
        <w:t>Opera</w:t>
      </w:r>
      <w:r w:rsidR="00206BBD">
        <w:rPr>
          <w:rFonts w:ascii="Times New Roman" w:eastAsiaTheme="minorHAnsi" w:hAnsi="Times New Roman"/>
          <w:b w:val="0"/>
          <w:color w:val="auto"/>
          <w:kern w:val="0"/>
          <w:sz w:val="18"/>
          <w:szCs w:val="18"/>
          <w:lang w:eastAsia="en-US"/>
        </w:rPr>
        <w:t>ting Activities - Appropriations</w:t>
      </w:r>
    </w:p>
    <w:p w:rsidR="00453AF7" w:rsidRPr="00453AF7" w:rsidRDefault="00453AF7" w:rsidP="00453AF7">
      <w:pPr>
        <w:spacing w:before="60"/>
        <w:rPr>
          <w:sz w:val="18"/>
          <w:szCs w:val="18"/>
        </w:rPr>
      </w:pPr>
      <w:r w:rsidRPr="00453AF7">
        <w:rPr>
          <w:sz w:val="18"/>
          <w:szCs w:val="18"/>
        </w:rPr>
        <w:t xml:space="preserve">Appropriations received was higher than budget due to the appropriation drawdown for final construction costs for the fit-out paid in the 2015-16 year ($3.214 million); the funds set aside for future Federal Register of Legislation software development ($0.688 million) being incorrectly categorised in the budget; and offset by higher than expected surplus for the 2015-16 year ($1.009 million). </w:t>
      </w:r>
    </w:p>
    <w:p w:rsidR="00453AF7" w:rsidRPr="00206BBD" w:rsidRDefault="00453AF7" w:rsidP="00206BBD">
      <w:pPr>
        <w:pStyle w:val="Head5"/>
        <w:spacing w:before="120"/>
        <w:rPr>
          <w:rFonts w:ascii="Times New Roman" w:hAnsi="Times New Roman"/>
          <w:b w:val="0"/>
          <w:color w:val="auto"/>
          <w:sz w:val="18"/>
          <w:szCs w:val="18"/>
        </w:rPr>
      </w:pPr>
      <w:r w:rsidRPr="00206BBD">
        <w:rPr>
          <w:rFonts w:ascii="Times New Roman" w:hAnsi="Times New Roman"/>
          <w:b w:val="0"/>
          <w:color w:val="auto"/>
          <w:sz w:val="18"/>
          <w:szCs w:val="18"/>
        </w:rPr>
        <w:t>Operating Activities - Net GST received</w:t>
      </w:r>
    </w:p>
    <w:p w:rsidR="00453AF7" w:rsidRPr="00453AF7" w:rsidRDefault="00453AF7" w:rsidP="00453AF7">
      <w:pPr>
        <w:spacing w:before="60"/>
        <w:rPr>
          <w:sz w:val="18"/>
          <w:szCs w:val="18"/>
        </w:rPr>
      </w:pPr>
      <w:r w:rsidRPr="00453AF7">
        <w:rPr>
          <w:sz w:val="18"/>
          <w:szCs w:val="18"/>
        </w:rPr>
        <w:t>The actual net GST received is higher than budget due to the payment of construction costs for the fit-out delayed to 2015-16.</w:t>
      </w:r>
    </w:p>
    <w:p w:rsidR="00453AF7" w:rsidRPr="00453AF7" w:rsidRDefault="00453AF7" w:rsidP="00453AF7">
      <w:pPr>
        <w:pStyle w:val="Head5"/>
        <w:spacing w:before="120"/>
        <w:rPr>
          <w:rFonts w:ascii="Times New Roman" w:hAnsi="Times New Roman"/>
          <w:b w:val="0"/>
          <w:color w:val="auto"/>
          <w:sz w:val="18"/>
          <w:szCs w:val="18"/>
        </w:rPr>
      </w:pPr>
      <w:r w:rsidRPr="00453AF7">
        <w:rPr>
          <w:rFonts w:ascii="Times New Roman" w:hAnsi="Times New Roman"/>
          <w:b w:val="0"/>
          <w:color w:val="auto"/>
          <w:sz w:val="18"/>
          <w:szCs w:val="18"/>
        </w:rPr>
        <w:t>Operating Activities - Section 74 receipts transferred to the Official Public Account</w:t>
      </w:r>
    </w:p>
    <w:p w:rsidR="00453AF7" w:rsidRPr="00453AF7" w:rsidRDefault="00453AF7" w:rsidP="00453AF7">
      <w:pPr>
        <w:spacing w:before="60"/>
        <w:rPr>
          <w:sz w:val="18"/>
          <w:szCs w:val="18"/>
        </w:rPr>
      </w:pPr>
      <w:r w:rsidRPr="00453AF7">
        <w:rPr>
          <w:sz w:val="18"/>
          <w:szCs w:val="18"/>
        </w:rPr>
        <w:t>The actual is higher than budget due to an additional GST refund and higher sales of goods and services revenue.</w:t>
      </w:r>
    </w:p>
    <w:p w:rsidR="00453AF7" w:rsidRPr="00453AF7" w:rsidRDefault="00453AF7" w:rsidP="00453AF7">
      <w:pPr>
        <w:pStyle w:val="Head5"/>
        <w:spacing w:before="120"/>
        <w:rPr>
          <w:rFonts w:ascii="Times New Roman" w:hAnsi="Times New Roman"/>
          <w:b w:val="0"/>
          <w:color w:val="auto"/>
          <w:sz w:val="18"/>
          <w:szCs w:val="18"/>
        </w:rPr>
      </w:pPr>
      <w:r w:rsidRPr="00453AF7">
        <w:rPr>
          <w:rFonts w:ascii="Times New Roman" w:hAnsi="Times New Roman"/>
          <w:b w:val="0"/>
          <w:color w:val="auto"/>
          <w:sz w:val="18"/>
          <w:szCs w:val="18"/>
        </w:rPr>
        <w:t>Operating Activities - Purchase of leasehold improvements, plant and equipment</w:t>
      </w:r>
    </w:p>
    <w:p w:rsidR="00453AF7" w:rsidRPr="00453AF7" w:rsidRDefault="00453AF7" w:rsidP="00453AF7">
      <w:pPr>
        <w:spacing w:before="60"/>
        <w:rPr>
          <w:sz w:val="18"/>
          <w:szCs w:val="18"/>
        </w:rPr>
      </w:pPr>
      <w:r w:rsidRPr="00453AF7">
        <w:rPr>
          <w:sz w:val="18"/>
          <w:szCs w:val="18"/>
        </w:rPr>
        <w:t>The actual is higher than budget as recognition and payment of construction of fit-out costs occurred in 2015-16 ($3.214 million) and not in 2014-15 as budgeted.</w:t>
      </w:r>
    </w:p>
    <w:p w:rsidR="00DC7B00" w:rsidRDefault="00DC7B00" w:rsidP="00DC7B00">
      <w:pPr>
        <w:spacing w:before="120"/>
      </w:pPr>
      <w:r w:rsidRPr="005576E0">
        <w:br w:type="page"/>
      </w:r>
    </w:p>
    <w:tbl>
      <w:tblPr>
        <w:tblW w:w="7088" w:type="dxa"/>
        <w:tblInd w:w="108" w:type="dxa"/>
        <w:tblLook w:val="04A0" w:firstRow="1" w:lastRow="0" w:firstColumn="1" w:lastColumn="0" w:noHBand="0" w:noVBand="1"/>
      </w:tblPr>
      <w:tblGrid>
        <w:gridCol w:w="7088"/>
      </w:tblGrid>
      <w:tr w:rsidR="00B549EB" w:rsidRPr="002942BC" w:rsidTr="00E42F6F">
        <w:trPr>
          <w:trHeight w:val="260"/>
        </w:trPr>
        <w:tc>
          <w:tcPr>
            <w:tcW w:w="7088" w:type="dxa"/>
            <w:shd w:val="clear" w:color="auto" w:fill="A6A6A6" w:themeFill="background1" w:themeFillShade="A6"/>
            <w:noWrap/>
            <w:vAlign w:val="bottom"/>
            <w:hideMark/>
          </w:tcPr>
          <w:p w:rsidR="00B549EB" w:rsidRPr="007924D2" w:rsidRDefault="00B549EB" w:rsidP="00E42F6F">
            <w:pPr>
              <w:rPr>
                <w:rFonts w:ascii="Arial" w:hAnsi="Arial" w:cs="Arial"/>
                <w:color w:val="FFFFFF" w:themeColor="background1"/>
                <w:sz w:val="18"/>
                <w:szCs w:val="18"/>
              </w:rPr>
            </w:pPr>
            <w:r>
              <w:rPr>
                <w:rFonts w:ascii="Arial" w:hAnsi="Arial" w:cs="Arial"/>
                <w:b/>
                <w:bCs/>
                <w:sz w:val="20"/>
                <w:szCs w:val="18"/>
              </w:rPr>
              <w:t>1. FINANCIAL PERFORMANCE</w:t>
            </w:r>
          </w:p>
        </w:tc>
      </w:tr>
      <w:tr w:rsidR="00B549EB" w:rsidRPr="007924D2" w:rsidTr="00E42F6F">
        <w:tblPrEx>
          <w:shd w:val="clear" w:color="auto" w:fill="000000" w:themeFill="text1"/>
        </w:tblPrEx>
        <w:trPr>
          <w:trHeight w:val="148"/>
        </w:trPr>
        <w:tc>
          <w:tcPr>
            <w:tcW w:w="7088" w:type="dxa"/>
            <w:shd w:val="clear" w:color="auto" w:fill="auto"/>
            <w:noWrap/>
            <w:vAlign w:val="bottom"/>
          </w:tcPr>
          <w:p w:rsidR="00B549EB" w:rsidRPr="007924D2" w:rsidRDefault="00B549EB" w:rsidP="00E42F6F">
            <w:pPr>
              <w:rPr>
                <w:rFonts w:ascii="Arial" w:hAnsi="Arial" w:cs="Arial"/>
                <w:b/>
                <w:bCs/>
                <w:color w:val="FFFFFF" w:themeColor="background1"/>
                <w:sz w:val="8"/>
                <w:szCs w:val="18"/>
              </w:rPr>
            </w:pPr>
          </w:p>
        </w:tc>
      </w:tr>
      <w:tr w:rsidR="00B549EB" w:rsidRPr="007924D2" w:rsidTr="00E42F6F">
        <w:tblPrEx>
          <w:shd w:val="clear" w:color="auto" w:fill="000000" w:themeFill="text1"/>
        </w:tblPrEx>
        <w:trPr>
          <w:trHeight w:val="225"/>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1.1: Expenses</w:t>
            </w:r>
          </w:p>
        </w:tc>
      </w:tr>
    </w:tbl>
    <w:p w:rsidR="00B549EB" w:rsidRPr="00D4588D" w:rsidRDefault="00B549EB" w:rsidP="00B549EB">
      <w:pPr>
        <w:spacing w:before="120"/>
        <w:jc w:val="center"/>
        <w:rPr>
          <w:noProof/>
          <w:sz w:val="6"/>
        </w:rPr>
      </w:pPr>
      <w:r>
        <w:rPr>
          <w:noProof/>
        </w:rPr>
        <w:drawing>
          <wp:inline distT="0" distB="0" distL="0" distR="0" wp14:anchorId="5FE0AC29" wp14:editId="493984D9">
            <wp:extent cx="4457700" cy="1457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57700" cy="1457325"/>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B549EB" w:rsidRPr="0075121F" w:rsidRDefault="00B549EB" w:rsidP="00E42F6F">
            <w:pPr>
              <w:rPr>
                <w:b/>
                <w:sz w:val="14"/>
              </w:rPr>
            </w:pPr>
            <w:r w:rsidRPr="0075121F">
              <w:rPr>
                <w:b/>
                <w:sz w:val="14"/>
              </w:rPr>
              <w:t>Accounting Policy</w:t>
            </w:r>
          </w:p>
          <w:p w:rsidR="00B549EB" w:rsidRPr="0075121F" w:rsidRDefault="00B549EB" w:rsidP="00E42F6F">
            <w:pPr>
              <w:rPr>
                <w:sz w:val="14"/>
              </w:rPr>
            </w:pPr>
            <w:r w:rsidRPr="0075121F">
              <w:rPr>
                <w:sz w:val="14"/>
              </w:rPr>
              <w:t>Accounting policies for employee related expenses are contained in the People and relationships section.</w:t>
            </w:r>
          </w:p>
        </w:tc>
      </w:tr>
    </w:tbl>
    <w:p w:rsidR="00B549EB" w:rsidRDefault="00B549EB" w:rsidP="00B549EB">
      <w:pPr>
        <w:rPr>
          <w:sz w:val="10"/>
        </w:rPr>
      </w:pPr>
    </w:p>
    <w:p w:rsidR="00280743" w:rsidRDefault="00B549EB" w:rsidP="00280743">
      <w:pPr>
        <w:spacing w:before="120"/>
      </w:pPr>
      <w:r>
        <w:rPr>
          <w:noProof/>
        </w:rPr>
        <w:drawing>
          <wp:inline distT="0" distB="0" distL="0" distR="0" wp14:anchorId="3EAA5E83" wp14:editId="28F88DB9">
            <wp:extent cx="4457700" cy="4314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57700" cy="4314825"/>
                    </a:xfrm>
                    <a:prstGeom prst="rect">
                      <a:avLst/>
                    </a:prstGeom>
                    <a:noFill/>
                    <a:ln>
                      <a:noFill/>
                    </a:ln>
                  </pic:spPr>
                </pic:pic>
              </a:graphicData>
            </a:graphic>
          </wp:inline>
        </w:drawing>
      </w:r>
      <w:r w:rsidR="00280743" w:rsidRPr="005576E0">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75"/>
        </w:trPr>
        <w:tc>
          <w:tcPr>
            <w:tcW w:w="7088" w:type="dxa"/>
            <w:shd w:val="clear" w:color="auto" w:fill="000000" w:themeFill="text1"/>
            <w:noWrap/>
            <w:vAlign w:val="bottom"/>
            <w:hideMark/>
          </w:tcPr>
          <w:p w:rsidR="00B549EB" w:rsidRPr="007924D2" w:rsidRDefault="00B549EB" w:rsidP="00E42F6F">
            <w:pPr>
              <w:rPr>
                <w:rFonts w:ascii="Arial" w:hAnsi="Arial" w:cs="Arial"/>
                <w:color w:val="FFFFFF" w:themeColor="background1"/>
                <w:sz w:val="18"/>
                <w:szCs w:val="18"/>
              </w:rPr>
            </w:pPr>
            <w:r w:rsidRPr="000F6CA6">
              <w:rPr>
                <w:rFonts w:ascii="Arial" w:hAnsi="Arial" w:cs="Arial"/>
                <w:b/>
                <w:bCs/>
                <w:color w:val="FFFFFF" w:themeColor="background1"/>
                <w:sz w:val="18"/>
                <w:szCs w:val="18"/>
              </w:rPr>
              <w:t>1.1: Expenses</w:t>
            </w:r>
          </w:p>
        </w:tc>
      </w:tr>
    </w:tbl>
    <w:p w:rsidR="00B549EB" w:rsidRPr="00B549EB" w:rsidRDefault="00B549EB" w:rsidP="00B549EB">
      <w:pPr>
        <w:pStyle w:val="Head4"/>
        <w:spacing w:before="0" w:after="0" w:line="260" w:lineRule="atLeast"/>
        <w:rPr>
          <w:rFonts w:ascii="Times New Roman" w:eastAsiaTheme="minorHAnsi" w:hAnsi="Times New Roman"/>
          <w:color w:val="auto"/>
          <w:kern w:val="0"/>
          <w:sz w:val="18"/>
          <w:szCs w:val="18"/>
          <w:lang w:eastAsia="en-US"/>
        </w:rPr>
      </w:pPr>
      <w:r w:rsidRPr="00B549EB">
        <w:rPr>
          <w:rFonts w:ascii="Times New Roman" w:eastAsiaTheme="minorHAnsi" w:hAnsi="Times New Roman"/>
          <w:color w:val="auto"/>
          <w:kern w:val="0"/>
          <w:sz w:val="18"/>
          <w:szCs w:val="18"/>
          <w:lang w:eastAsia="en-US"/>
        </w:rPr>
        <w:t>Leasing commitments</w:t>
      </w:r>
    </w:p>
    <w:p w:rsidR="00B549EB" w:rsidRPr="00B549EB" w:rsidRDefault="00B549EB" w:rsidP="00B549EB">
      <w:pPr>
        <w:pStyle w:val="Head4"/>
        <w:spacing w:before="0" w:after="0" w:line="260" w:lineRule="atLeast"/>
        <w:rPr>
          <w:rFonts w:ascii="Times New Roman" w:eastAsiaTheme="minorHAnsi" w:hAnsi="Times New Roman"/>
          <w:color w:val="auto"/>
          <w:kern w:val="0"/>
          <w:sz w:val="18"/>
          <w:szCs w:val="18"/>
          <w:lang w:eastAsia="en-US"/>
        </w:rPr>
      </w:pPr>
      <w:r w:rsidRPr="00B549EB">
        <w:rPr>
          <w:rFonts w:ascii="Times New Roman" w:eastAsiaTheme="minorHAnsi" w:hAnsi="Times New Roman"/>
          <w:color w:val="auto"/>
          <w:kern w:val="0"/>
          <w:sz w:val="18"/>
          <w:szCs w:val="18"/>
          <w:lang w:eastAsia="en-US"/>
        </w:rPr>
        <w:t>Lease for office accommodation and car parking</w:t>
      </w:r>
    </w:p>
    <w:p w:rsidR="00B549EB" w:rsidRPr="00B549EB" w:rsidRDefault="00B549EB" w:rsidP="00B549EB">
      <w:pPr>
        <w:rPr>
          <w:sz w:val="18"/>
          <w:szCs w:val="18"/>
        </w:rPr>
      </w:pPr>
      <w:r w:rsidRPr="00B549EB">
        <w:rPr>
          <w:sz w:val="18"/>
          <w:szCs w:val="18"/>
        </w:rPr>
        <w:t>OPC in its capacity as lessee entered into a new lease which commenced on 1 October 2015 for a term of 10 years with annual increases of 3.6%. The next increase is on 1 October 2016. There is an option to extend the lease by three years.</w:t>
      </w:r>
    </w:p>
    <w:p w:rsidR="00B549EB" w:rsidRPr="00B549EB" w:rsidRDefault="00B549EB" w:rsidP="00B549EB">
      <w:pPr>
        <w:pStyle w:val="Head4"/>
        <w:spacing w:before="0" w:after="0" w:line="260" w:lineRule="atLeast"/>
        <w:rPr>
          <w:rFonts w:ascii="Times New Roman" w:eastAsiaTheme="minorHAnsi" w:hAnsi="Times New Roman"/>
          <w:color w:val="auto"/>
          <w:kern w:val="0"/>
          <w:sz w:val="18"/>
          <w:szCs w:val="18"/>
          <w:lang w:eastAsia="en-US"/>
        </w:rPr>
      </w:pPr>
      <w:r w:rsidRPr="00B549EB">
        <w:rPr>
          <w:rFonts w:ascii="Times New Roman" w:eastAsiaTheme="minorHAnsi" w:hAnsi="Times New Roman"/>
          <w:color w:val="auto"/>
          <w:kern w:val="0"/>
          <w:sz w:val="18"/>
          <w:szCs w:val="18"/>
          <w:lang w:eastAsia="en-US"/>
        </w:rPr>
        <w:t>Licence agreement for offsite parking</w:t>
      </w:r>
    </w:p>
    <w:p w:rsidR="00B549EB" w:rsidRPr="00B549EB" w:rsidRDefault="00B549EB" w:rsidP="00B549EB">
      <w:pPr>
        <w:rPr>
          <w:sz w:val="18"/>
          <w:szCs w:val="18"/>
        </w:rPr>
      </w:pPr>
      <w:r w:rsidRPr="00B549EB">
        <w:rPr>
          <w:sz w:val="18"/>
          <w:szCs w:val="18"/>
        </w:rPr>
        <w:t>A licence agreement was entered into for car parking from 1 August 2015 for a term of 1 year. There is no option to extend.</w:t>
      </w:r>
    </w:p>
    <w:p w:rsidR="00B549EB" w:rsidRPr="00B549EB" w:rsidRDefault="00B549EB" w:rsidP="00B549EB">
      <w:pPr>
        <w:pStyle w:val="Head4"/>
        <w:spacing w:before="0" w:after="0" w:line="260" w:lineRule="atLeast"/>
        <w:rPr>
          <w:rFonts w:ascii="Times New Roman" w:eastAsiaTheme="minorHAnsi" w:hAnsi="Times New Roman"/>
          <w:color w:val="auto"/>
          <w:kern w:val="0"/>
          <w:sz w:val="18"/>
          <w:szCs w:val="18"/>
          <w:lang w:eastAsia="en-US"/>
        </w:rPr>
      </w:pPr>
      <w:r w:rsidRPr="00B549EB">
        <w:rPr>
          <w:rFonts w:ascii="Times New Roman" w:eastAsiaTheme="minorHAnsi" w:hAnsi="Times New Roman"/>
          <w:color w:val="auto"/>
          <w:kern w:val="0"/>
          <w:sz w:val="18"/>
          <w:szCs w:val="18"/>
          <w:lang w:eastAsia="en-US"/>
        </w:rPr>
        <w:t>Leases for motor vehicles</w:t>
      </w:r>
    </w:p>
    <w:p w:rsidR="00B549EB" w:rsidRPr="00B549EB" w:rsidRDefault="00B549EB" w:rsidP="00B549EB">
      <w:pPr>
        <w:rPr>
          <w:sz w:val="18"/>
          <w:szCs w:val="18"/>
        </w:rPr>
      </w:pPr>
      <w:r w:rsidRPr="00B549EB">
        <w:rPr>
          <w:sz w:val="18"/>
          <w:szCs w:val="18"/>
        </w:rPr>
        <w:t>OPC leases 4 vehicles under the Government Executive Vehicle Scheme, each for a term of the lesser of 2 years or 40,000kms.</w:t>
      </w:r>
    </w:p>
    <w:p w:rsidR="00B549EB" w:rsidRPr="00B549EB" w:rsidRDefault="00B549EB" w:rsidP="00B549EB">
      <w:pPr>
        <w:rPr>
          <w:sz w:val="8"/>
          <w:szCs w:val="18"/>
        </w:rPr>
      </w:pPr>
      <w:r w:rsidRPr="00B549EB">
        <w:rPr>
          <w:noProof/>
          <w:sz w:val="18"/>
          <w:szCs w:val="18"/>
        </w:rPr>
        <w:drawing>
          <wp:inline distT="0" distB="0" distL="0" distR="0" wp14:anchorId="4619BB87" wp14:editId="643C0AEC">
            <wp:extent cx="4467225" cy="13049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67225" cy="1304925"/>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B549EB" w:rsidRPr="0075121F" w:rsidRDefault="00B549EB" w:rsidP="00E42F6F">
            <w:pPr>
              <w:rPr>
                <w:b/>
                <w:sz w:val="14"/>
              </w:rPr>
            </w:pPr>
            <w:r w:rsidRPr="0075121F">
              <w:rPr>
                <w:b/>
                <w:sz w:val="14"/>
              </w:rPr>
              <w:t>Accounting Policy</w:t>
            </w:r>
          </w:p>
          <w:p w:rsidR="00B549EB" w:rsidRPr="0075121F" w:rsidRDefault="00B549EB" w:rsidP="00E42F6F">
            <w:pPr>
              <w:rPr>
                <w:b/>
                <w:i/>
                <w:sz w:val="14"/>
              </w:rPr>
            </w:pPr>
            <w:r w:rsidRPr="0075121F">
              <w:rPr>
                <w:b/>
                <w:i/>
                <w:sz w:val="14"/>
              </w:rPr>
              <w:t>Leases</w:t>
            </w:r>
          </w:p>
          <w:p w:rsidR="00B549EB" w:rsidRPr="0075121F" w:rsidRDefault="00B549EB" w:rsidP="00E42F6F">
            <w:pPr>
              <w:rPr>
                <w:sz w:val="14"/>
              </w:rPr>
            </w:pPr>
            <w:r w:rsidRPr="0075121F">
              <w:rPr>
                <w:sz w:val="14"/>
              </w:rPr>
              <w:t>Operating lease payments are expensed on a straight line basis which is representative of the pattern of benefits derived from the leased assets.</w:t>
            </w:r>
          </w:p>
        </w:tc>
      </w:tr>
    </w:tbl>
    <w:p w:rsidR="00B549EB" w:rsidRPr="00E64771" w:rsidRDefault="00B549EB" w:rsidP="00B549EB">
      <w:pPr>
        <w:rPr>
          <w:b/>
          <w:sz w:val="8"/>
        </w:rPr>
      </w:pPr>
    </w:p>
    <w:p w:rsidR="00B549EB" w:rsidRPr="00DC2057" w:rsidRDefault="00B549EB" w:rsidP="00B549EB">
      <w:pPr>
        <w:rPr>
          <w:rFonts w:ascii="Arial" w:hAnsi="Arial" w:cs="Arial"/>
          <w:b/>
          <w:bCs/>
          <w:color w:val="FFFFFF" w:themeColor="background1"/>
          <w:sz w:val="8"/>
          <w:szCs w:val="18"/>
        </w:rPr>
      </w:pPr>
      <w:r>
        <w:rPr>
          <w:rFonts w:ascii="Arial" w:hAnsi="Arial" w:cs="Arial"/>
          <w:b/>
          <w:bCs/>
          <w:noProof/>
          <w:color w:val="FFFFFF" w:themeColor="background1"/>
          <w:sz w:val="18"/>
          <w:szCs w:val="18"/>
        </w:rPr>
        <w:drawing>
          <wp:inline distT="0" distB="0" distL="0" distR="0" wp14:anchorId="6E7BFA9D" wp14:editId="254A550B">
            <wp:extent cx="4467225" cy="6000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67225" cy="600075"/>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B549EB" w:rsidRPr="0075121F" w:rsidRDefault="00B549EB" w:rsidP="00E42F6F">
            <w:pPr>
              <w:rPr>
                <w:b/>
                <w:sz w:val="14"/>
              </w:rPr>
            </w:pPr>
            <w:r w:rsidRPr="0075121F">
              <w:rPr>
                <w:b/>
                <w:sz w:val="14"/>
              </w:rPr>
              <w:t>Accounting Policy</w:t>
            </w:r>
          </w:p>
          <w:p w:rsidR="00B549EB" w:rsidRPr="0075121F" w:rsidRDefault="00B549EB" w:rsidP="00E42F6F">
            <w:pPr>
              <w:rPr>
                <w:b/>
                <w:i/>
                <w:sz w:val="14"/>
              </w:rPr>
            </w:pPr>
            <w:r w:rsidRPr="0075121F">
              <w:rPr>
                <w:b/>
                <w:i/>
                <w:sz w:val="14"/>
              </w:rPr>
              <w:t>Borrowing Costs</w:t>
            </w:r>
          </w:p>
          <w:p w:rsidR="00B549EB" w:rsidRPr="0075121F" w:rsidRDefault="00B549EB" w:rsidP="00E42F6F">
            <w:pPr>
              <w:rPr>
                <w:sz w:val="14"/>
              </w:rPr>
            </w:pPr>
            <w:r w:rsidRPr="0075121F">
              <w:rPr>
                <w:sz w:val="14"/>
              </w:rPr>
              <w:t>All borrowing costs are expensed as incurred.</w:t>
            </w:r>
          </w:p>
        </w:tc>
      </w:tr>
    </w:tbl>
    <w:p w:rsidR="00B549EB" w:rsidRPr="00BF5A07" w:rsidRDefault="00B549EB" w:rsidP="00B549EB">
      <w:pPr>
        <w:rPr>
          <w:rFonts w:ascii="Arial" w:hAnsi="Arial" w:cs="Arial"/>
          <w:b/>
          <w:bCs/>
          <w:color w:val="FFFFFF" w:themeColor="background1"/>
          <w:sz w:val="8"/>
          <w:szCs w:val="18"/>
        </w:rPr>
      </w:pPr>
    </w:p>
    <w:p w:rsidR="00B549EB" w:rsidRPr="00DC2057" w:rsidRDefault="00B549EB" w:rsidP="00B549EB">
      <w:pPr>
        <w:rPr>
          <w:rFonts w:ascii="Arial" w:hAnsi="Arial" w:cs="Arial"/>
          <w:b/>
          <w:bCs/>
          <w:color w:val="FFFFFF" w:themeColor="background1"/>
          <w:sz w:val="8"/>
          <w:szCs w:val="18"/>
        </w:rPr>
      </w:pPr>
      <w:r>
        <w:rPr>
          <w:rFonts w:ascii="Arial" w:hAnsi="Arial" w:cs="Arial"/>
          <w:b/>
          <w:bCs/>
          <w:noProof/>
          <w:color w:val="FFFFFF" w:themeColor="background1"/>
          <w:sz w:val="18"/>
          <w:szCs w:val="18"/>
        </w:rPr>
        <w:drawing>
          <wp:inline distT="0" distB="0" distL="0" distR="0" wp14:anchorId="2FAD5227" wp14:editId="27355CC4">
            <wp:extent cx="4467225" cy="10763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67225" cy="1076325"/>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B549EB" w:rsidRPr="0075121F" w:rsidRDefault="00B549EB" w:rsidP="00E42F6F">
            <w:pPr>
              <w:rPr>
                <w:b/>
                <w:sz w:val="14"/>
              </w:rPr>
            </w:pPr>
            <w:r w:rsidRPr="0075121F">
              <w:rPr>
                <w:b/>
                <w:sz w:val="14"/>
              </w:rPr>
              <w:t>Change in Accounting Policy</w:t>
            </w:r>
          </w:p>
          <w:p w:rsidR="00B549EB" w:rsidRPr="0075121F" w:rsidRDefault="00B549EB" w:rsidP="00E42F6F">
            <w:pPr>
              <w:rPr>
                <w:sz w:val="14"/>
              </w:rPr>
            </w:pPr>
            <w:r w:rsidRPr="0075121F">
              <w:rPr>
                <w:sz w:val="14"/>
              </w:rPr>
              <w:t>OPC changed the asset recognition threshold for purchases of leasehold improvements, plant and equipment, and intangibles to $2,000 (2015: $1,000).</w:t>
            </w:r>
            <w:r>
              <w:rPr>
                <w:sz w:val="14"/>
              </w:rPr>
              <w:t xml:space="preserve"> The write down due to the change in policy was $4,985 (2015:nil).</w:t>
            </w:r>
          </w:p>
        </w:tc>
      </w:tr>
    </w:tbl>
    <w:p w:rsidR="00280743" w:rsidRDefault="00280743" w:rsidP="00280743">
      <w:pPr>
        <w:spacing w:before="120"/>
      </w:pPr>
    </w:p>
    <w:p w:rsidR="00280743" w:rsidRDefault="00280743" w:rsidP="00280743">
      <w:pPr>
        <w:spacing w:before="120"/>
      </w:pPr>
      <w:r w:rsidRPr="005576E0">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color w:val="FFFFFF" w:themeColor="background1"/>
                <w:sz w:val="18"/>
                <w:szCs w:val="18"/>
              </w:rPr>
            </w:pPr>
            <w:r>
              <w:rPr>
                <w:rFonts w:ascii="Arial" w:hAnsi="Arial" w:cs="Arial"/>
                <w:b/>
                <w:bCs/>
                <w:color w:val="FFFFFF" w:themeColor="background1"/>
                <w:sz w:val="18"/>
                <w:szCs w:val="18"/>
              </w:rPr>
              <w:t>1.2: Income</w:t>
            </w:r>
          </w:p>
        </w:tc>
      </w:tr>
    </w:tbl>
    <w:p w:rsidR="00B549EB" w:rsidRPr="00E64771" w:rsidRDefault="00B549EB" w:rsidP="00B549EB">
      <w:pPr>
        <w:jc w:val="center"/>
        <w:rPr>
          <w:sz w:val="8"/>
        </w:rPr>
      </w:pPr>
      <w:r>
        <w:rPr>
          <w:noProof/>
        </w:rPr>
        <w:drawing>
          <wp:inline distT="0" distB="0" distL="0" distR="0" wp14:anchorId="62350A79" wp14:editId="27DFC07D">
            <wp:extent cx="4438650" cy="1952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38650" cy="1952625"/>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B549EB" w:rsidRPr="0075121F" w:rsidRDefault="00B549EB" w:rsidP="00E42F6F">
            <w:pPr>
              <w:rPr>
                <w:b/>
                <w:sz w:val="14"/>
              </w:rPr>
            </w:pPr>
            <w:r w:rsidRPr="0075121F">
              <w:rPr>
                <w:b/>
                <w:sz w:val="14"/>
              </w:rPr>
              <w:t>Accounting Policy</w:t>
            </w:r>
          </w:p>
          <w:p w:rsidR="00B549EB" w:rsidRPr="0075121F" w:rsidRDefault="00B549EB" w:rsidP="00E42F6F">
            <w:pPr>
              <w:rPr>
                <w:b/>
                <w:i/>
                <w:sz w:val="14"/>
              </w:rPr>
            </w:pPr>
            <w:r w:rsidRPr="0075121F">
              <w:rPr>
                <w:b/>
                <w:i/>
                <w:sz w:val="14"/>
              </w:rPr>
              <w:t>Sale of goods</w:t>
            </w:r>
          </w:p>
          <w:p w:rsidR="00B549EB" w:rsidRPr="0075121F" w:rsidRDefault="00B549EB" w:rsidP="00E42F6F">
            <w:pPr>
              <w:rPr>
                <w:sz w:val="14"/>
              </w:rPr>
            </w:pPr>
            <w:r w:rsidRPr="0075121F">
              <w:rPr>
                <w:sz w:val="14"/>
              </w:rPr>
              <w:t>Revenue from the sale of goods is recognised when the risks and rewards of ownership have passed to the buyer and the costs incurred can be reliably measured.  Risk and rewards of ownership are considered passed to the buyer at the time of delivery of the goods to the customer.</w:t>
            </w:r>
          </w:p>
          <w:p w:rsidR="00B549EB" w:rsidRPr="0075121F" w:rsidRDefault="00B549EB" w:rsidP="00E42F6F">
            <w:pPr>
              <w:rPr>
                <w:b/>
                <w:i/>
                <w:sz w:val="14"/>
              </w:rPr>
            </w:pPr>
            <w:r w:rsidRPr="0075121F">
              <w:rPr>
                <w:b/>
                <w:i/>
                <w:sz w:val="14"/>
              </w:rPr>
              <w:t>Rendering of services</w:t>
            </w:r>
          </w:p>
          <w:p w:rsidR="00B549EB" w:rsidRPr="0075121F" w:rsidRDefault="00B549EB" w:rsidP="00E42F6F">
            <w:pPr>
              <w:rPr>
                <w:sz w:val="14"/>
              </w:rPr>
            </w:pPr>
            <w:r w:rsidRPr="0075121F">
              <w:rPr>
                <w:sz w:val="14"/>
              </w:rPr>
              <w:t>Revenue is recognised when OPC has the right to be compensated for services performed and the stage of completion can be reliably measured.  It is recorded at the amount likely to be received for the provision of that service.</w:t>
            </w:r>
          </w:p>
        </w:tc>
      </w:tr>
    </w:tbl>
    <w:p w:rsidR="00B549EB" w:rsidRPr="00E64771" w:rsidRDefault="00B549EB" w:rsidP="00B549EB">
      <w:pPr>
        <w:rPr>
          <w:sz w:val="8"/>
        </w:rPr>
      </w:pPr>
      <w:r>
        <w:rPr>
          <w:noProof/>
        </w:rPr>
        <w:drawing>
          <wp:inline distT="0" distB="0" distL="0" distR="0" wp14:anchorId="4DE850E7" wp14:editId="6474916C">
            <wp:extent cx="4467225" cy="1028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67225" cy="1028700"/>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B549EB" w:rsidRPr="0075121F" w:rsidRDefault="00B549EB" w:rsidP="00E42F6F">
            <w:pPr>
              <w:rPr>
                <w:b/>
                <w:sz w:val="14"/>
              </w:rPr>
            </w:pPr>
            <w:r w:rsidRPr="0075121F">
              <w:rPr>
                <w:b/>
                <w:sz w:val="14"/>
              </w:rPr>
              <w:t>Accounting Policy</w:t>
            </w:r>
          </w:p>
          <w:p w:rsidR="00B549EB" w:rsidRPr="0075121F" w:rsidRDefault="00B549EB" w:rsidP="00E42F6F">
            <w:pPr>
              <w:rPr>
                <w:b/>
                <w:i/>
                <w:sz w:val="14"/>
              </w:rPr>
            </w:pPr>
            <w:r w:rsidRPr="0075121F">
              <w:rPr>
                <w:b/>
                <w:i/>
                <w:sz w:val="14"/>
              </w:rPr>
              <w:t>Other Revenue</w:t>
            </w:r>
          </w:p>
          <w:p w:rsidR="00B549EB" w:rsidRPr="0075121F" w:rsidRDefault="00B549EB" w:rsidP="00E42F6F">
            <w:pPr>
              <w:rPr>
                <w:sz w:val="14"/>
              </w:rPr>
            </w:pPr>
            <w:r w:rsidRPr="0075121F">
              <w:rPr>
                <w:sz w:val="14"/>
              </w:rPr>
              <w:t xml:space="preserve">Resources received free of charge are recognised as revenue when and only when, a fair value can be reliably determined and the services would have been purchased if they had not been donated.  Use of those resources is recognised as an expense. </w:t>
            </w:r>
          </w:p>
        </w:tc>
      </w:tr>
    </w:tbl>
    <w:p w:rsidR="00B549EB" w:rsidRPr="00643CF3" w:rsidRDefault="00B549EB" w:rsidP="00B549EB">
      <w:pPr>
        <w:rPr>
          <w:sz w:val="10"/>
        </w:rPr>
      </w:pPr>
    </w:p>
    <w:p w:rsidR="00B549EB" w:rsidRPr="00643CF3" w:rsidRDefault="00B549EB" w:rsidP="00B549EB">
      <w:pPr>
        <w:rPr>
          <w:sz w:val="12"/>
        </w:rPr>
      </w:pPr>
      <w:r>
        <w:rPr>
          <w:noProof/>
        </w:rPr>
        <w:drawing>
          <wp:inline distT="0" distB="0" distL="0" distR="0" wp14:anchorId="66FBBE77" wp14:editId="62C6BA16">
            <wp:extent cx="4467225" cy="1676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67225" cy="1676400"/>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rPr>
          <w:trHeight w:val="658"/>
        </w:trPr>
        <w:tc>
          <w:tcPr>
            <w:tcW w:w="7088" w:type="dxa"/>
          </w:tcPr>
          <w:p w:rsidR="00B549EB" w:rsidRPr="0075121F" w:rsidRDefault="00B549EB" w:rsidP="00E42F6F">
            <w:pPr>
              <w:rPr>
                <w:b/>
                <w:sz w:val="14"/>
              </w:rPr>
            </w:pPr>
            <w:r w:rsidRPr="0075121F">
              <w:rPr>
                <w:b/>
                <w:sz w:val="14"/>
              </w:rPr>
              <w:t>Accounting Policy</w:t>
            </w:r>
          </w:p>
          <w:p w:rsidR="00B549EB" w:rsidRPr="0075121F" w:rsidRDefault="00B549EB" w:rsidP="00E42F6F">
            <w:pPr>
              <w:rPr>
                <w:b/>
                <w:i/>
                <w:sz w:val="14"/>
              </w:rPr>
            </w:pPr>
            <w:r w:rsidRPr="0075121F">
              <w:rPr>
                <w:b/>
                <w:i/>
                <w:sz w:val="14"/>
              </w:rPr>
              <w:t>Revenue from Government</w:t>
            </w:r>
          </w:p>
          <w:p w:rsidR="00B549EB" w:rsidRPr="0075121F" w:rsidRDefault="00B549EB" w:rsidP="00E42F6F">
            <w:pPr>
              <w:rPr>
                <w:sz w:val="14"/>
              </w:rPr>
            </w:pPr>
            <w:r w:rsidRPr="0075121F">
              <w:rPr>
                <w:sz w:val="14"/>
              </w:rPr>
              <w:t xml:space="preserve">Amounts appropriated for departmental appropriations for the year (adjusted for any formal additions and reductions) are recognised as revenue when OPC gains control of the appropriation. </w:t>
            </w:r>
          </w:p>
        </w:tc>
      </w:tr>
    </w:tbl>
    <w:p w:rsidR="00280743" w:rsidRDefault="00280743" w:rsidP="00280743"/>
    <w:tbl>
      <w:tblPr>
        <w:tblW w:w="7088" w:type="dxa"/>
        <w:tblInd w:w="108" w:type="dxa"/>
        <w:tblLook w:val="04A0" w:firstRow="1" w:lastRow="0" w:firstColumn="1" w:lastColumn="0" w:noHBand="0" w:noVBand="1"/>
      </w:tblPr>
      <w:tblGrid>
        <w:gridCol w:w="7088"/>
      </w:tblGrid>
      <w:tr w:rsidR="00B549EB" w:rsidRPr="002942BC" w:rsidTr="00E42F6F">
        <w:trPr>
          <w:trHeight w:val="267"/>
        </w:trPr>
        <w:tc>
          <w:tcPr>
            <w:tcW w:w="7088" w:type="dxa"/>
            <w:shd w:val="clear" w:color="auto" w:fill="A6A6A6" w:themeFill="background1" w:themeFillShade="A6"/>
            <w:noWrap/>
            <w:vAlign w:val="bottom"/>
            <w:hideMark/>
          </w:tcPr>
          <w:p w:rsidR="00B549EB" w:rsidRPr="007924D2" w:rsidRDefault="00B549EB" w:rsidP="00E42F6F">
            <w:pPr>
              <w:rPr>
                <w:rFonts w:ascii="Arial" w:hAnsi="Arial" w:cs="Arial"/>
                <w:color w:val="FFFFFF" w:themeColor="background1"/>
                <w:sz w:val="18"/>
                <w:szCs w:val="18"/>
              </w:rPr>
            </w:pPr>
            <w:r>
              <w:rPr>
                <w:rFonts w:ascii="Arial" w:hAnsi="Arial" w:cs="Arial"/>
                <w:b/>
                <w:bCs/>
                <w:sz w:val="20"/>
                <w:szCs w:val="18"/>
              </w:rPr>
              <w:t>2. FINANCIAL POSITION</w:t>
            </w:r>
          </w:p>
        </w:tc>
      </w:tr>
      <w:tr w:rsidR="00B549EB" w:rsidRPr="007924D2" w:rsidTr="00E42F6F">
        <w:tblPrEx>
          <w:shd w:val="clear" w:color="auto" w:fill="000000" w:themeFill="text1"/>
        </w:tblPrEx>
        <w:trPr>
          <w:trHeight w:val="119"/>
        </w:trPr>
        <w:tc>
          <w:tcPr>
            <w:tcW w:w="7088" w:type="dxa"/>
            <w:shd w:val="clear" w:color="auto" w:fill="auto"/>
            <w:noWrap/>
            <w:vAlign w:val="bottom"/>
          </w:tcPr>
          <w:p w:rsidR="00B549EB" w:rsidRPr="007924D2" w:rsidRDefault="00B549EB" w:rsidP="00E42F6F">
            <w:pPr>
              <w:rPr>
                <w:rFonts w:ascii="Arial" w:hAnsi="Arial" w:cs="Arial"/>
                <w:b/>
                <w:bCs/>
                <w:color w:val="FFFFFF" w:themeColor="background1"/>
                <w:sz w:val="8"/>
                <w:szCs w:val="18"/>
              </w:rPr>
            </w:pPr>
          </w:p>
        </w:tc>
      </w:tr>
      <w:tr w:rsidR="00B549EB" w:rsidRPr="000F6CA6" w:rsidTr="00E42F6F">
        <w:tblPrEx>
          <w:shd w:val="clear" w:color="auto" w:fill="000000" w:themeFill="text1"/>
        </w:tblPrEx>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2.1: Financial Assets</w:t>
            </w:r>
          </w:p>
        </w:tc>
      </w:tr>
    </w:tbl>
    <w:p w:rsidR="00B549EB" w:rsidRPr="003059C6" w:rsidRDefault="00B549EB" w:rsidP="00B549EB">
      <w:pPr>
        <w:rPr>
          <w:sz w:val="8"/>
        </w:rPr>
      </w:pPr>
      <w:r>
        <w:rPr>
          <w:noProof/>
        </w:rPr>
        <w:drawing>
          <wp:inline distT="0" distB="0" distL="0" distR="0" wp14:anchorId="03B1B133" wp14:editId="52E7915F">
            <wp:extent cx="4495800" cy="3638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95800" cy="3638550"/>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146ECB" w:rsidTr="00E42F6F">
        <w:tc>
          <w:tcPr>
            <w:tcW w:w="7088" w:type="dxa"/>
          </w:tcPr>
          <w:p w:rsidR="00B549EB" w:rsidRPr="00146ECB" w:rsidRDefault="00B549EB" w:rsidP="00E42F6F">
            <w:pPr>
              <w:rPr>
                <w:b/>
                <w:sz w:val="14"/>
              </w:rPr>
            </w:pPr>
            <w:r w:rsidRPr="00146ECB">
              <w:rPr>
                <w:b/>
                <w:sz w:val="14"/>
              </w:rPr>
              <w:t>Accounting Policy</w:t>
            </w:r>
          </w:p>
          <w:p w:rsidR="00B549EB" w:rsidRPr="00146ECB" w:rsidRDefault="00B549EB" w:rsidP="00E42F6F">
            <w:pPr>
              <w:rPr>
                <w:b/>
                <w:i/>
                <w:sz w:val="14"/>
              </w:rPr>
            </w:pPr>
            <w:r w:rsidRPr="00146ECB">
              <w:rPr>
                <w:b/>
                <w:i/>
                <w:sz w:val="14"/>
              </w:rPr>
              <w:t>Goods and services receivable</w:t>
            </w:r>
          </w:p>
          <w:p w:rsidR="00B549EB" w:rsidRPr="00146ECB" w:rsidRDefault="00B549EB" w:rsidP="00E42F6F">
            <w:pPr>
              <w:rPr>
                <w:sz w:val="14"/>
              </w:rPr>
            </w:pPr>
            <w:r w:rsidRPr="00146ECB">
              <w:rPr>
                <w:sz w:val="14"/>
              </w:rPr>
              <w:t>Receivables for goods and services are recognised at the nominal amounts due less any impairment allowance account.  Credit terms are 30 days. Collectability of debts is reviewed at balance date and an allowance is made when collectability of the debt is no longer probable.</w:t>
            </w:r>
          </w:p>
          <w:p w:rsidR="00B549EB" w:rsidRPr="00146ECB" w:rsidRDefault="00B549EB" w:rsidP="00E42F6F">
            <w:pPr>
              <w:rPr>
                <w:b/>
                <w:i/>
                <w:sz w:val="14"/>
              </w:rPr>
            </w:pPr>
            <w:r w:rsidRPr="00146ECB">
              <w:rPr>
                <w:b/>
                <w:i/>
                <w:sz w:val="14"/>
              </w:rPr>
              <w:t>Appropriations receivable</w:t>
            </w:r>
          </w:p>
          <w:p w:rsidR="00B549EB" w:rsidRPr="00146ECB" w:rsidRDefault="00B549EB" w:rsidP="00E42F6F">
            <w:pPr>
              <w:rPr>
                <w:sz w:val="14"/>
              </w:rPr>
            </w:pPr>
            <w:r w:rsidRPr="00146ECB">
              <w:rPr>
                <w:sz w:val="14"/>
              </w:rPr>
              <w:t>Appropriations receivable are appropriations controlled by OPC but held in the Official Public Account under the Government's just-in-time draw down arrangements. Appropriations receivable are recognised at their nominal amounts.</w:t>
            </w:r>
          </w:p>
        </w:tc>
      </w:tr>
    </w:tbl>
    <w:p w:rsidR="00B549EB" w:rsidRDefault="00B549EB" w:rsidP="00280743"/>
    <w:p w:rsidR="00B549EB" w:rsidRDefault="00B549EB" w:rsidP="00280743">
      <w:pPr>
        <w:spacing w:before="180"/>
      </w:pPr>
      <w:r>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2.2: Non-Financial Assets</w:t>
            </w:r>
          </w:p>
        </w:tc>
      </w:tr>
    </w:tbl>
    <w:p w:rsidR="00B549EB" w:rsidRDefault="00B549EB" w:rsidP="00B549EB"/>
    <w:p w:rsidR="00B549EB" w:rsidRDefault="00B549EB" w:rsidP="00B549EB">
      <w:r>
        <w:rPr>
          <w:noProof/>
        </w:rPr>
        <w:drawing>
          <wp:inline distT="0" distB="0" distL="0" distR="0" wp14:anchorId="08CB4CE1" wp14:editId="7A510BA2">
            <wp:extent cx="4476750" cy="3143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76750" cy="3143250"/>
                    </a:xfrm>
                    <a:prstGeom prst="rect">
                      <a:avLst/>
                    </a:prstGeom>
                    <a:noFill/>
                    <a:ln>
                      <a:noFill/>
                    </a:ln>
                  </pic:spPr>
                </pic:pic>
              </a:graphicData>
            </a:graphic>
          </wp:inline>
        </w:drawing>
      </w:r>
    </w:p>
    <w:p w:rsidR="00B549EB" w:rsidRDefault="00B549EB" w:rsidP="00B549EB">
      <w:pPr>
        <w:sectPr w:rsidR="00B549EB" w:rsidSect="00C51461">
          <w:headerReference w:type="even" r:id="rId120"/>
          <w:headerReference w:type="default" r:id="rId121"/>
          <w:pgSz w:w="11907" w:h="16840" w:code="9"/>
          <w:pgMar w:top="1134" w:right="2410" w:bottom="4253" w:left="2410" w:header="510" w:footer="3402" w:gutter="0"/>
          <w:cols w:space="708"/>
          <w:docGrid w:linePitch="360"/>
        </w:sectPr>
      </w:pPr>
      <w:r>
        <w:rPr>
          <w:noProof/>
        </w:rPr>
        <w:drawing>
          <wp:inline distT="0" distB="0" distL="0" distR="0" wp14:anchorId="12383306" wp14:editId="110A39AF">
            <wp:extent cx="4472277" cy="2280062"/>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76750" cy="2282342"/>
                    </a:xfrm>
                    <a:prstGeom prst="rect">
                      <a:avLst/>
                    </a:prstGeom>
                    <a:noFill/>
                    <a:ln>
                      <a:noFill/>
                    </a:ln>
                  </pic:spPr>
                </pic:pic>
              </a:graphicData>
            </a:graphic>
          </wp:inline>
        </w:drawing>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ind w:right="-108"/>
              <w:rPr>
                <w:rFonts w:ascii="Arial" w:hAnsi="Arial" w:cs="Arial"/>
                <w:b/>
                <w:bCs/>
                <w:color w:val="FFFFFF" w:themeColor="background1"/>
                <w:sz w:val="18"/>
                <w:szCs w:val="18"/>
              </w:rPr>
            </w:pPr>
            <w:r>
              <w:rPr>
                <w:rFonts w:ascii="Arial" w:hAnsi="Arial" w:cs="Arial"/>
                <w:b/>
                <w:bCs/>
                <w:color w:val="FFFFFF" w:themeColor="background1"/>
                <w:sz w:val="18"/>
                <w:szCs w:val="18"/>
              </w:rPr>
              <w:t>2.2: Non-Financial Assets</w:t>
            </w:r>
          </w:p>
        </w:tc>
      </w:tr>
    </w:tbl>
    <w:p w:rsidR="00B549EB" w:rsidRDefault="00B549EB" w:rsidP="00B549EB">
      <w:pPr>
        <w:ind w:left="142"/>
        <w:rPr>
          <w:b/>
          <w:sz w:val="18"/>
          <w:szCs w:val="16"/>
        </w:rPr>
      </w:pPr>
      <w:r>
        <w:rPr>
          <w:b/>
          <w:noProof/>
          <w:sz w:val="14"/>
          <w:szCs w:val="16"/>
        </w:rPr>
        <mc:AlternateContent>
          <mc:Choice Requires="wps">
            <w:drawing>
              <wp:anchor distT="0" distB="0" distL="114300" distR="114300" simplePos="0" relativeHeight="251659264" behindDoc="0" locked="0" layoutInCell="1" allowOverlap="1" wp14:anchorId="4874B1F6" wp14:editId="3FDBFAFE">
                <wp:simplePos x="0" y="0"/>
                <wp:positionH relativeFrom="column">
                  <wp:posOffset>22225</wp:posOffset>
                </wp:positionH>
                <wp:positionV relativeFrom="paragraph">
                  <wp:posOffset>92075</wp:posOffset>
                </wp:positionV>
                <wp:extent cx="4476750" cy="39528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4476750" cy="3952875"/>
                        </a:xfrm>
                        <a:prstGeom prst="rect">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1.75pt;margin-top:7.25pt;width:352.5pt;height:3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TZpQIAALQFAAAOAAAAZHJzL2Uyb0RvYy54bWysVMFu2zAMvQ/YPwi6r06ypGmNOkXQosOA&#10;rg3aDj0rspQYkERNUuJkXz9KctysC3YYdpFFkXwkn0leXe+0IlvhfAOmosOzASXCcKgbs6ro95e7&#10;TxeU+MBMzRQYUdG98PR69vHDVWtLMYI1qFo4giDGl62t6DoEWxaF52uhmT8DKwwqJTjNAopuVdSO&#10;tYiuVTEaDM6LFlxtHXDhPb7eZiWdJXwpBQ+PUnoRiKoo5hbS6dK5jGcxu2LlyjG7bniXBvuHLDRr&#10;DAbtoW5ZYGTjmj+gdMMdeJDhjIMuQMqGi1QDVjMcvKvmec2sSLUgOd72NPn/B8sftgtHmrqik0tK&#10;DNP4j56QNWZWShB8Q4Ja60u0e7YL10ker7HanXQ6frEOskuk7ntSxS4Qjo/j8fR8OkHuOeo+X05G&#10;F9NJRC3e3K3z4YsATeKlog7jJzLZ9t6HbHowidEM3DVK4TsrlSEtog4RMooeVFNHZRJiD4kb5ciW&#10;4d9frobJRm30N6jzG+Y1SD2AyaSWi+YptSMk1CmDj5GGXHi6hb0SOYUnIZFBLHWUk/g9LuNcmJBj&#10;+zWrRQ4dI58OrQwCRmSJhfTYHcBp7MxRZx9dRWr93nnwt8Syc++RIoMJvbNuDLhTAAqr6iJn+wNJ&#10;mZrI0hLqPfaXgzx43vK7Bv/xPfNhwRxOGvYFbo/wiIdUgP8Suhsla3A/T71HexwA1FLS4uRW1P/Y&#10;MCcoUV8NjsblcDyOo56E8WQ6QsEda5bHGrPRN4DtMcQ9ZXm6RvugDlfpQL/ikpnHqKhihmPsivLg&#10;DsJNyBsF1xQX83kyw/G2LNybZ8sjeGQ19vDL7pU52zV6wBl5gMOUs/Jdv2fb6GlgvgkgmzQMb7x2&#10;fONqSD3brbG4e47lZPW2bGe/AAAA//8DAFBLAwQUAAYACAAAACEAzUJDV9wAAAAIAQAADwAAAGRy&#10;cy9kb3ducmV2LnhtbEyPzW7CMBCE75X6DtYi9VZsCoWQxkGoam9cClXPdrIkEfY6xAbSt+/21J72&#10;Z0az3xab0TtxxSF2gTTMpgoEUhXqjhoNn4f3xwxETIZq4wKhhm+MsCnv7wqT1+FGH3jdp0ZwCMXc&#10;aGhT6nMpY9WiN3EaeiTWjmHwJvE4NLIezI3DvZNPSi2lNx3xhdb0+NpiddpfvAZ7PO+25/Xadm/R&#10;7hZflXPZYab1w2TcvoBIOKY/M/ziMzqUzGTDheoonIb5Mxt5veDK8kpl3FgNy/lKgSwL+f+B8gcA&#10;AP//AwBQSwECLQAUAAYACAAAACEAtoM4kv4AAADhAQAAEwAAAAAAAAAAAAAAAAAAAAAAW0NvbnRl&#10;bnRfVHlwZXNdLnhtbFBLAQItABQABgAIAAAAIQA4/SH/1gAAAJQBAAALAAAAAAAAAAAAAAAAAC8B&#10;AABfcmVscy8ucmVsc1BLAQItABQABgAIAAAAIQCLylTZpQIAALQFAAAOAAAAAAAAAAAAAAAAAC4C&#10;AABkcnMvZTJvRG9jLnhtbFBLAQItABQABgAIAAAAIQDNQkNX3AAAAAgBAAAPAAAAAAAAAAAAAAAA&#10;AP8EAABkcnMvZG93bnJldi54bWxQSwUGAAAAAAQABADzAAAACAYAAAAA&#10;" filled="f" strokecolor="#bfbfbf [2412]" strokeweight=".25pt"/>
            </w:pict>
          </mc:Fallback>
        </mc:AlternateContent>
      </w:r>
    </w:p>
    <w:p w:rsidR="00B549EB" w:rsidRPr="00146ECB" w:rsidRDefault="00B549EB" w:rsidP="00B549EB">
      <w:pPr>
        <w:ind w:left="142"/>
        <w:rPr>
          <w:sz w:val="14"/>
          <w:szCs w:val="16"/>
        </w:rPr>
      </w:pPr>
      <w:r w:rsidRPr="00146ECB">
        <w:rPr>
          <w:b/>
          <w:sz w:val="14"/>
          <w:szCs w:val="16"/>
        </w:rPr>
        <w:t>Accounting Policy</w:t>
      </w:r>
    </w:p>
    <w:p w:rsidR="00B549EB" w:rsidRPr="00146ECB" w:rsidRDefault="00B549EB" w:rsidP="00B549EB">
      <w:pPr>
        <w:ind w:left="142"/>
        <w:rPr>
          <w:b/>
          <w:sz w:val="14"/>
          <w:szCs w:val="16"/>
        </w:rPr>
      </w:pPr>
      <w:r w:rsidRPr="00146ECB">
        <w:rPr>
          <w:b/>
          <w:sz w:val="14"/>
          <w:szCs w:val="16"/>
        </w:rPr>
        <w:t>Acquisition of Assets</w:t>
      </w:r>
    </w:p>
    <w:p w:rsidR="00B549EB" w:rsidRPr="00146ECB" w:rsidRDefault="00B549EB" w:rsidP="00B549EB">
      <w:pPr>
        <w:ind w:left="142"/>
        <w:rPr>
          <w:sz w:val="14"/>
          <w:szCs w:val="16"/>
        </w:rPr>
      </w:pPr>
      <w:r w:rsidRPr="00146ECB">
        <w:rPr>
          <w:sz w:val="14"/>
          <w:szCs w:val="16"/>
        </w:rPr>
        <w:t xml:space="preserve">Leasehold improvements, plant and equipment, and intangibles are recorded at cost on acquisition except as stated below. </w:t>
      </w:r>
    </w:p>
    <w:p w:rsidR="00B549EB" w:rsidRPr="00146ECB" w:rsidRDefault="00B549EB" w:rsidP="00B549EB">
      <w:pPr>
        <w:spacing w:before="60"/>
        <w:ind w:left="142"/>
        <w:rPr>
          <w:b/>
          <w:sz w:val="14"/>
          <w:szCs w:val="16"/>
        </w:rPr>
      </w:pPr>
      <w:r w:rsidRPr="00146ECB">
        <w:rPr>
          <w:b/>
          <w:sz w:val="14"/>
          <w:szCs w:val="16"/>
        </w:rPr>
        <w:t>Asset Recognition Threshold</w:t>
      </w:r>
    </w:p>
    <w:p w:rsidR="00B549EB" w:rsidRPr="00146ECB" w:rsidRDefault="00B549EB" w:rsidP="00B549EB">
      <w:pPr>
        <w:ind w:left="142"/>
        <w:rPr>
          <w:sz w:val="14"/>
          <w:szCs w:val="16"/>
        </w:rPr>
      </w:pPr>
      <w:r w:rsidRPr="00146ECB">
        <w:rPr>
          <w:sz w:val="14"/>
          <w:szCs w:val="16"/>
        </w:rPr>
        <w:t>Purchases of leasehold improvements, plant and equipment, and intangibles are recognised initially at cost in the Statement of Financial Position, except for purchases costing less than $2,000, which are expensed in the year of acquisition (other than where they form part of a group of similar items which are significant in total).</w:t>
      </w:r>
    </w:p>
    <w:p w:rsidR="00B549EB" w:rsidRPr="00146ECB" w:rsidRDefault="00B549EB" w:rsidP="00B549EB">
      <w:pPr>
        <w:spacing w:before="60"/>
        <w:ind w:left="142"/>
        <w:rPr>
          <w:b/>
          <w:sz w:val="14"/>
          <w:szCs w:val="16"/>
        </w:rPr>
      </w:pPr>
      <w:r w:rsidRPr="00146ECB">
        <w:rPr>
          <w:b/>
          <w:sz w:val="14"/>
          <w:szCs w:val="16"/>
        </w:rPr>
        <w:t>Derecognition</w:t>
      </w:r>
    </w:p>
    <w:p w:rsidR="00B549EB" w:rsidRPr="00146ECB" w:rsidRDefault="00B549EB" w:rsidP="00B549EB">
      <w:pPr>
        <w:ind w:left="142"/>
        <w:rPr>
          <w:sz w:val="14"/>
          <w:szCs w:val="16"/>
        </w:rPr>
      </w:pPr>
      <w:r w:rsidRPr="00146ECB">
        <w:rPr>
          <w:sz w:val="14"/>
          <w:szCs w:val="16"/>
        </w:rPr>
        <w:t>All items of leasehold improvements, plant and equipment, and intangibles are derecognised upon disposal or when no further future economic benefits are expected from their use. No leasehold improvements, plant and equipment or intangibles are expected to be sold or disposed of within the next 12 months.</w:t>
      </w:r>
    </w:p>
    <w:p w:rsidR="00B549EB" w:rsidRPr="00146ECB" w:rsidRDefault="00B549EB" w:rsidP="00B549EB">
      <w:pPr>
        <w:spacing w:before="60"/>
        <w:ind w:left="142"/>
        <w:rPr>
          <w:b/>
          <w:sz w:val="14"/>
          <w:szCs w:val="16"/>
        </w:rPr>
      </w:pPr>
      <w:r w:rsidRPr="00146ECB">
        <w:rPr>
          <w:b/>
          <w:sz w:val="14"/>
          <w:szCs w:val="16"/>
        </w:rPr>
        <w:t>Impairment</w:t>
      </w:r>
    </w:p>
    <w:p w:rsidR="00B549EB" w:rsidRPr="00146ECB" w:rsidRDefault="00B549EB" w:rsidP="00B549EB">
      <w:pPr>
        <w:ind w:left="142"/>
        <w:rPr>
          <w:sz w:val="14"/>
          <w:szCs w:val="16"/>
        </w:rPr>
      </w:pPr>
      <w:r w:rsidRPr="00146ECB">
        <w:rPr>
          <w:sz w:val="14"/>
          <w:szCs w:val="16"/>
        </w:rPr>
        <w:t>All leasehold improvements, plant and equipment, and intangibles were assessed for impairment at 30 June 2016. Where indications of impairment exist, the asset’s recoverable amount is estimated and an impairment adjustment made if the asset’s recoverable amount is less than its carrying amount.</w:t>
      </w:r>
    </w:p>
    <w:p w:rsidR="00B549EB" w:rsidRPr="00146ECB" w:rsidRDefault="00B549EB" w:rsidP="00B549EB">
      <w:pPr>
        <w:spacing w:before="60"/>
        <w:ind w:left="142"/>
        <w:rPr>
          <w:sz w:val="14"/>
          <w:szCs w:val="16"/>
        </w:rPr>
      </w:pPr>
      <w:r w:rsidRPr="00146ECB">
        <w:rPr>
          <w:sz w:val="14"/>
          <w:szCs w:val="16"/>
        </w:rPr>
        <w:t>No indicators of impairment were identified for leasehold improvements, plant and equipment, and intangibles.</w:t>
      </w:r>
    </w:p>
    <w:p w:rsidR="00B549EB" w:rsidRPr="00146ECB" w:rsidRDefault="00B549EB" w:rsidP="00B549EB">
      <w:pPr>
        <w:spacing w:before="60"/>
        <w:ind w:left="142"/>
        <w:rPr>
          <w:b/>
          <w:i/>
          <w:sz w:val="14"/>
          <w:szCs w:val="16"/>
        </w:rPr>
      </w:pPr>
      <w:r w:rsidRPr="00146ECB">
        <w:rPr>
          <w:b/>
          <w:i/>
          <w:sz w:val="14"/>
          <w:szCs w:val="16"/>
        </w:rPr>
        <w:t>Leasehold improvements, plant and equipment</w:t>
      </w:r>
    </w:p>
    <w:p w:rsidR="00B549EB" w:rsidRPr="00146ECB" w:rsidRDefault="00B549EB" w:rsidP="00B549EB">
      <w:pPr>
        <w:spacing w:before="60"/>
        <w:ind w:left="142"/>
        <w:rPr>
          <w:b/>
          <w:sz w:val="14"/>
          <w:szCs w:val="16"/>
        </w:rPr>
      </w:pPr>
      <w:r w:rsidRPr="00146ECB">
        <w:rPr>
          <w:b/>
          <w:sz w:val="14"/>
          <w:szCs w:val="16"/>
        </w:rPr>
        <w:t>Depreciation</w:t>
      </w:r>
    </w:p>
    <w:p w:rsidR="00B549EB" w:rsidRPr="00146ECB" w:rsidRDefault="00B549EB" w:rsidP="00B549EB">
      <w:pPr>
        <w:ind w:left="142"/>
        <w:rPr>
          <w:sz w:val="14"/>
          <w:szCs w:val="16"/>
        </w:rPr>
      </w:pPr>
      <w:r w:rsidRPr="00146ECB">
        <w:rPr>
          <w:sz w:val="14"/>
          <w:szCs w:val="16"/>
        </w:rPr>
        <w:t xml:space="preserve">Depreciable leasehold improvements, plant and equipment assets are written-off to their estimated residual values over their estimated useful lives to OPC using, in all cases, the straight-line method of depreciation. </w:t>
      </w:r>
    </w:p>
    <w:p w:rsidR="00B549EB" w:rsidRPr="00146ECB" w:rsidRDefault="00B549EB" w:rsidP="00B549EB">
      <w:pPr>
        <w:spacing w:before="60"/>
        <w:ind w:left="142"/>
        <w:rPr>
          <w:sz w:val="14"/>
          <w:szCs w:val="16"/>
        </w:rPr>
      </w:pPr>
      <w:r w:rsidRPr="00146ECB">
        <w:rPr>
          <w:sz w:val="14"/>
          <w:szCs w:val="16"/>
        </w:rPr>
        <w:t>Depreciation rates (useful lives), residual values and methods are reviewed at each reporting date and necessary adjustments are recognised in the current, or current and future reporting periods, as appropriate.</w:t>
      </w:r>
    </w:p>
    <w:p w:rsidR="00B549EB" w:rsidRPr="00146ECB" w:rsidRDefault="00B549EB" w:rsidP="00B549EB">
      <w:pPr>
        <w:spacing w:before="60"/>
        <w:ind w:left="142"/>
        <w:rPr>
          <w:sz w:val="14"/>
          <w:szCs w:val="16"/>
        </w:rPr>
      </w:pPr>
      <w:r w:rsidRPr="00146ECB">
        <w:rPr>
          <w:sz w:val="14"/>
          <w:szCs w:val="16"/>
        </w:rPr>
        <w:t>Depreciation rates applying to each class of depreciable asset are based on the following useful lives:</w:t>
      </w:r>
    </w:p>
    <w:p w:rsidR="00B549EB" w:rsidRPr="00146ECB" w:rsidRDefault="00B549EB" w:rsidP="00B549EB">
      <w:pPr>
        <w:ind w:left="142"/>
        <w:rPr>
          <w:sz w:val="14"/>
          <w:szCs w:val="16"/>
        </w:rPr>
      </w:pPr>
      <w:r w:rsidRPr="00146ECB">
        <w:rPr>
          <w:sz w:val="14"/>
          <w:szCs w:val="16"/>
        </w:rPr>
        <w:t xml:space="preserve">                                                                   </w:t>
      </w:r>
      <w:r w:rsidRPr="00146ECB">
        <w:rPr>
          <w:b/>
          <w:sz w:val="14"/>
          <w:szCs w:val="16"/>
        </w:rPr>
        <w:t>2016</w:t>
      </w:r>
      <w:r w:rsidRPr="00146ECB">
        <w:rPr>
          <w:sz w:val="14"/>
          <w:szCs w:val="16"/>
        </w:rPr>
        <w:t xml:space="preserve">                   2015</w:t>
      </w:r>
    </w:p>
    <w:p w:rsidR="00B549EB" w:rsidRPr="00146ECB" w:rsidRDefault="00B549EB" w:rsidP="00B549EB">
      <w:pPr>
        <w:ind w:left="142"/>
        <w:rPr>
          <w:sz w:val="14"/>
          <w:szCs w:val="16"/>
        </w:rPr>
      </w:pPr>
      <w:r w:rsidRPr="00146ECB">
        <w:rPr>
          <w:sz w:val="14"/>
          <w:szCs w:val="16"/>
        </w:rPr>
        <w:t xml:space="preserve">  Leasehold improvements                       </w:t>
      </w:r>
      <w:r w:rsidRPr="00146ECB">
        <w:rPr>
          <w:b/>
          <w:sz w:val="14"/>
          <w:szCs w:val="16"/>
        </w:rPr>
        <w:t xml:space="preserve"> Lease term </w:t>
      </w:r>
      <w:r w:rsidRPr="00146ECB">
        <w:rPr>
          <w:sz w:val="14"/>
          <w:szCs w:val="16"/>
        </w:rPr>
        <w:t xml:space="preserve">        Lease term</w:t>
      </w:r>
    </w:p>
    <w:p w:rsidR="00B549EB" w:rsidRPr="00146ECB" w:rsidRDefault="00B549EB" w:rsidP="00B549EB">
      <w:pPr>
        <w:ind w:left="142"/>
        <w:rPr>
          <w:sz w:val="14"/>
          <w:szCs w:val="16"/>
        </w:rPr>
      </w:pPr>
      <w:r w:rsidRPr="00146ECB">
        <w:rPr>
          <w:sz w:val="14"/>
          <w:szCs w:val="16"/>
        </w:rPr>
        <w:t xml:space="preserve">  Plant and equipment                            </w:t>
      </w:r>
      <w:r w:rsidRPr="00146ECB">
        <w:rPr>
          <w:b/>
          <w:sz w:val="14"/>
          <w:szCs w:val="16"/>
        </w:rPr>
        <w:t xml:space="preserve">   3 to 25 years</w:t>
      </w:r>
      <w:r w:rsidRPr="00146ECB">
        <w:rPr>
          <w:sz w:val="14"/>
          <w:szCs w:val="16"/>
        </w:rPr>
        <w:t xml:space="preserve">       3 to 25 years</w:t>
      </w:r>
    </w:p>
    <w:p w:rsidR="00B549EB" w:rsidRPr="00146ECB" w:rsidRDefault="00B549EB" w:rsidP="00B549EB">
      <w:pPr>
        <w:spacing w:before="60"/>
        <w:ind w:left="142"/>
        <w:rPr>
          <w:b/>
          <w:i/>
          <w:sz w:val="14"/>
          <w:szCs w:val="16"/>
        </w:rPr>
      </w:pPr>
      <w:r w:rsidRPr="00146ECB">
        <w:rPr>
          <w:b/>
          <w:i/>
          <w:sz w:val="14"/>
          <w:szCs w:val="16"/>
        </w:rPr>
        <w:t>Intangibles</w:t>
      </w:r>
    </w:p>
    <w:p w:rsidR="00B549EB" w:rsidRPr="00146ECB" w:rsidRDefault="00B549EB" w:rsidP="00B549EB">
      <w:pPr>
        <w:ind w:left="142"/>
        <w:rPr>
          <w:sz w:val="14"/>
          <w:szCs w:val="16"/>
        </w:rPr>
      </w:pPr>
      <w:r w:rsidRPr="00146ECB">
        <w:rPr>
          <w:sz w:val="14"/>
          <w:szCs w:val="16"/>
        </w:rPr>
        <w:t>Intangibles are carried at cost less accumulated amortisation and accumulated impairment losses.</w:t>
      </w:r>
    </w:p>
    <w:p w:rsidR="00B549EB" w:rsidRPr="00146ECB" w:rsidRDefault="00B549EB" w:rsidP="00B549EB">
      <w:pPr>
        <w:spacing w:before="60"/>
        <w:ind w:left="142"/>
        <w:rPr>
          <w:b/>
          <w:sz w:val="14"/>
          <w:szCs w:val="16"/>
        </w:rPr>
      </w:pPr>
      <w:r w:rsidRPr="00146ECB">
        <w:rPr>
          <w:b/>
          <w:sz w:val="14"/>
          <w:szCs w:val="16"/>
        </w:rPr>
        <w:t>Amortisation</w:t>
      </w:r>
    </w:p>
    <w:p w:rsidR="00B549EB" w:rsidRPr="00146ECB" w:rsidRDefault="00B549EB" w:rsidP="00B549EB">
      <w:pPr>
        <w:ind w:left="142"/>
        <w:rPr>
          <w:sz w:val="14"/>
          <w:szCs w:val="16"/>
        </w:rPr>
      </w:pPr>
      <w:r w:rsidRPr="00146ECB">
        <w:rPr>
          <w:sz w:val="14"/>
          <w:szCs w:val="16"/>
        </w:rPr>
        <w:t xml:space="preserve">Intangibles are amortised on a straight-line basis over their anticipated useful life.  </w:t>
      </w:r>
    </w:p>
    <w:p w:rsidR="00B549EB" w:rsidRPr="00146ECB" w:rsidRDefault="00B549EB" w:rsidP="00B549EB">
      <w:pPr>
        <w:ind w:left="142"/>
        <w:rPr>
          <w:sz w:val="14"/>
          <w:szCs w:val="16"/>
        </w:rPr>
      </w:pPr>
      <w:r w:rsidRPr="00146ECB">
        <w:rPr>
          <w:sz w:val="14"/>
          <w:szCs w:val="16"/>
        </w:rPr>
        <w:t>The useful life of OPC’s intangibles are as follows:</w:t>
      </w:r>
    </w:p>
    <w:p w:rsidR="00B549EB" w:rsidRPr="00146ECB" w:rsidRDefault="00B549EB" w:rsidP="00B549EB">
      <w:pPr>
        <w:ind w:left="142"/>
        <w:rPr>
          <w:sz w:val="14"/>
          <w:szCs w:val="16"/>
        </w:rPr>
      </w:pPr>
      <w:r w:rsidRPr="00146ECB">
        <w:rPr>
          <w:sz w:val="14"/>
          <w:szCs w:val="16"/>
        </w:rPr>
        <w:t xml:space="preserve">                                                                   </w:t>
      </w:r>
      <w:r w:rsidRPr="00146ECB">
        <w:rPr>
          <w:b/>
          <w:sz w:val="14"/>
          <w:szCs w:val="16"/>
        </w:rPr>
        <w:t xml:space="preserve">2016 </w:t>
      </w:r>
      <w:r w:rsidRPr="00146ECB">
        <w:rPr>
          <w:sz w:val="14"/>
          <w:szCs w:val="16"/>
        </w:rPr>
        <w:t xml:space="preserve">                  2015</w:t>
      </w:r>
    </w:p>
    <w:p w:rsidR="00B549EB" w:rsidRPr="00146ECB" w:rsidRDefault="00B549EB" w:rsidP="00B549EB">
      <w:pPr>
        <w:ind w:left="142"/>
        <w:rPr>
          <w:sz w:val="14"/>
          <w:szCs w:val="16"/>
        </w:rPr>
      </w:pPr>
      <w:r w:rsidRPr="00146ECB">
        <w:rPr>
          <w:sz w:val="14"/>
          <w:szCs w:val="16"/>
        </w:rPr>
        <w:t xml:space="preserve">  Purchased  software                                </w:t>
      </w:r>
      <w:r w:rsidRPr="00146ECB">
        <w:rPr>
          <w:b/>
          <w:sz w:val="14"/>
          <w:szCs w:val="16"/>
        </w:rPr>
        <w:t>4 to 5 years</w:t>
      </w:r>
      <w:r w:rsidRPr="00146ECB">
        <w:rPr>
          <w:sz w:val="14"/>
          <w:szCs w:val="16"/>
        </w:rPr>
        <w:t xml:space="preserve">        4 to 5 years</w:t>
      </w:r>
    </w:p>
    <w:p w:rsidR="00280743" w:rsidRDefault="00B549EB" w:rsidP="00B549EB">
      <w:pPr>
        <w:ind w:left="142"/>
        <w:rPr>
          <w:sz w:val="14"/>
          <w:szCs w:val="16"/>
        </w:rPr>
      </w:pPr>
      <w:r w:rsidRPr="00146ECB">
        <w:rPr>
          <w:sz w:val="14"/>
          <w:szCs w:val="16"/>
        </w:rPr>
        <w:t xml:space="preserve">  Internally generated software                </w:t>
      </w:r>
      <w:r w:rsidRPr="00146ECB">
        <w:rPr>
          <w:b/>
          <w:sz w:val="14"/>
          <w:szCs w:val="16"/>
        </w:rPr>
        <w:t xml:space="preserve">  7 years</w:t>
      </w:r>
      <w:r w:rsidRPr="00146ECB">
        <w:rPr>
          <w:sz w:val="14"/>
          <w:szCs w:val="16"/>
        </w:rPr>
        <w:t xml:space="preserve">               7 years </w:t>
      </w:r>
    </w:p>
    <w:p w:rsidR="00B549EB" w:rsidRDefault="00B549EB" w:rsidP="00B549EB">
      <w:pPr>
        <w:ind w:left="142"/>
        <w:rPr>
          <w:sz w:val="14"/>
          <w:szCs w:val="16"/>
        </w:rPr>
      </w:pPr>
      <w:r>
        <w:rPr>
          <w:sz w:val="14"/>
          <w:szCs w:val="16"/>
        </w:rPr>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2.2: Non-Financial Assets</w:t>
            </w:r>
          </w:p>
        </w:tc>
      </w:tr>
    </w:tbl>
    <w:p w:rsidR="00B549EB" w:rsidRDefault="00B549EB" w:rsidP="00B549EB">
      <w:pPr>
        <w:spacing w:before="120"/>
      </w:pPr>
      <w:r>
        <w:rPr>
          <w:noProof/>
        </w:rPr>
        <w:drawing>
          <wp:inline distT="0" distB="0" distL="0" distR="0" wp14:anchorId="1706A095" wp14:editId="744B2E6C">
            <wp:extent cx="4486275" cy="2085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86275" cy="2085975"/>
                    </a:xfrm>
                    <a:prstGeom prst="rect">
                      <a:avLst/>
                    </a:prstGeom>
                    <a:noFill/>
                    <a:ln>
                      <a:noFill/>
                    </a:ln>
                  </pic:spPr>
                </pic:pic>
              </a:graphicData>
            </a:graphic>
          </wp:inline>
        </w:drawing>
      </w:r>
    </w:p>
    <w:p w:rsidR="00B549EB" w:rsidRDefault="00B549EB" w:rsidP="00B549EB">
      <w:pPr>
        <w:ind w:right="850"/>
      </w:pPr>
      <w:r>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2.3: Payables</w:t>
            </w:r>
          </w:p>
        </w:tc>
      </w:tr>
    </w:tbl>
    <w:p w:rsidR="00B549EB" w:rsidRDefault="00B549EB" w:rsidP="00B549EB">
      <w:pPr>
        <w:spacing w:before="120"/>
      </w:pPr>
      <w:r>
        <w:rPr>
          <w:noProof/>
        </w:rPr>
        <w:drawing>
          <wp:inline distT="0" distB="0" distL="0" distR="0" wp14:anchorId="4178047D" wp14:editId="3450F83E">
            <wp:extent cx="4495800" cy="3171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95800" cy="3171825"/>
                    </a:xfrm>
                    <a:prstGeom prst="rect">
                      <a:avLst/>
                    </a:prstGeom>
                    <a:noFill/>
                    <a:ln>
                      <a:noFill/>
                    </a:ln>
                  </pic:spPr>
                </pic:pic>
              </a:graphicData>
            </a:graphic>
          </wp:inline>
        </w:drawing>
      </w:r>
    </w:p>
    <w:p w:rsidR="00B549EB" w:rsidRDefault="00B549EB" w:rsidP="00B549EB">
      <w:pPr>
        <w:ind w:left="142"/>
        <w:rPr>
          <w:sz w:val="14"/>
          <w:szCs w:val="16"/>
        </w:rPr>
      </w:pPr>
      <w:r>
        <w:rPr>
          <w:sz w:val="14"/>
          <w:szCs w:val="16"/>
        </w:rPr>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ind w:right="-250"/>
              <w:rPr>
                <w:rFonts w:ascii="Arial" w:hAnsi="Arial" w:cs="Arial"/>
                <w:b/>
                <w:bCs/>
                <w:color w:val="FFFFFF" w:themeColor="background1"/>
                <w:sz w:val="18"/>
                <w:szCs w:val="18"/>
              </w:rPr>
            </w:pPr>
            <w:r>
              <w:rPr>
                <w:rFonts w:ascii="Arial" w:hAnsi="Arial" w:cs="Arial"/>
                <w:b/>
                <w:bCs/>
                <w:color w:val="FFFFFF" w:themeColor="background1"/>
                <w:sz w:val="18"/>
                <w:szCs w:val="18"/>
              </w:rPr>
              <w:t>2.4: Other Provisions</w:t>
            </w:r>
          </w:p>
        </w:tc>
      </w:tr>
    </w:tbl>
    <w:p w:rsidR="00B549EB" w:rsidRDefault="00B549EB" w:rsidP="00B549EB">
      <w:pPr>
        <w:ind w:right="850"/>
        <w:jc w:val="center"/>
      </w:pPr>
      <w:r>
        <w:rPr>
          <w:noProof/>
        </w:rPr>
        <w:drawing>
          <wp:inline distT="0" distB="0" distL="0" distR="0" wp14:anchorId="25FF317F" wp14:editId="4A1A8C6F">
            <wp:extent cx="4524375" cy="404812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24375" cy="4048125"/>
                    </a:xfrm>
                    <a:prstGeom prst="rect">
                      <a:avLst/>
                    </a:prstGeom>
                    <a:noFill/>
                    <a:ln>
                      <a:noFill/>
                    </a:ln>
                  </pic:spPr>
                </pic:pic>
              </a:graphicData>
            </a:graphic>
          </wp:inline>
        </w:drawing>
      </w:r>
    </w:p>
    <w:p w:rsidR="00B549EB" w:rsidRDefault="00B549EB" w:rsidP="00B549EB">
      <w:pPr>
        <w:ind w:left="142"/>
        <w:rPr>
          <w:sz w:val="14"/>
          <w:szCs w:val="16"/>
        </w:rPr>
      </w:pPr>
      <w:r>
        <w:rPr>
          <w:sz w:val="14"/>
          <w:szCs w:val="16"/>
        </w:rPr>
        <w:br w:type="page"/>
      </w:r>
    </w:p>
    <w:tbl>
      <w:tblPr>
        <w:tblW w:w="7088" w:type="dxa"/>
        <w:tblInd w:w="108" w:type="dxa"/>
        <w:tblLook w:val="04A0" w:firstRow="1" w:lastRow="0" w:firstColumn="1" w:lastColumn="0" w:noHBand="0" w:noVBand="1"/>
      </w:tblPr>
      <w:tblGrid>
        <w:gridCol w:w="7088"/>
      </w:tblGrid>
      <w:tr w:rsidR="00B549EB" w:rsidRPr="002942BC" w:rsidTr="00E42F6F">
        <w:trPr>
          <w:trHeight w:val="267"/>
        </w:trPr>
        <w:tc>
          <w:tcPr>
            <w:tcW w:w="7088" w:type="dxa"/>
            <w:shd w:val="clear" w:color="auto" w:fill="A6A6A6" w:themeFill="background1" w:themeFillShade="A6"/>
            <w:noWrap/>
            <w:vAlign w:val="bottom"/>
            <w:hideMark/>
          </w:tcPr>
          <w:p w:rsidR="00B549EB" w:rsidRPr="007924D2" w:rsidRDefault="00B549EB" w:rsidP="00E42F6F">
            <w:pPr>
              <w:rPr>
                <w:rFonts w:ascii="Arial" w:hAnsi="Arial" w:cs="Arial"/>
                <w:color w:val="FFFFFF" w:themeColor="background1"/>
                <w:sz w:val="18"/>
                <w:szCs w:val="18"/>
              </w:rPr>
            </w:pPr>
            <w:r>
              <w:rPr>
                <w:rFonts w:ascii="Arial" w:hAnsi="Arial" w:cs="Arial"/>
                <w:b/>
                <w:bCs/>
                <w:sz w:val="20"/>
                <w:szCs w:val="18"/>
              </w:rPr>
              <w:t>3. FUNDING</w:t>
            </w:r>
          </w:p>
        </w:tc>
      </w:tr>
      <w:tr w:rsidR="00B549EB" w:rsidRPr="007924D2" w:rsidTr="00E42F6F">
        <w:tblPrEx>
          <w:shd w:val="clear" w:color="auto" w:fill="000000" w:themeFill="text1"/>
        </w:tblPrEx>
        <w:trPr>
          <w:trHeight w:val="119"/>
        </w:trPr>
        <w:tc>
          <w:tcPr>
            <w:tcW w:w="7088" w:type="dxa"/>
            <w:shd w:val="clear" w:color="auto" w:fill="auto"/>
            <w:noWrap/>
            <w:vAlign w:val="bottom"/>
          </w:tcPr>
          <w:p w:rsidR="00B549EB" w:rsidRPr="007924D2" w:rsidRDefault="00B549EB" w:rsidP="00E42F6F">
            <w:pPr>
              <w:rPr>
                <w:rFonts w:ascii="Arial" w:hAnsi="Arial" w:cs="Arial"/>
                <w:b/>
                <w:bCs/>
                <w:color w:val="FFFFFF" w:themeColor="background1"/>
                <w:sz w:val="8"/>
                <w:szCs w:val="18"/>
              </w:rPr>
            </w:pPr>
          </w:p>
        </w:tc>
      </w:tr>
      <w:tr w:rsidR="00B549EB" w:rsidRPr="000F6CA6" w:rsidTr="00E42F6F">
        <w:tblPrEx>
          <w:shd w:val="clear" w:color="auto" w:fill="000000" w:themeFill="text1"/>
        </w:tblPrEx>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3.1: Appropriations</w:t>
            </w:r>
          </w:p>
        </w:tc>
      </w:tr>
    </w:tbl>
    <w:p w:rsidR="00B549EB" w:rsidRPr="002821E1" w:rsidRDefault="00DA69A0" w:rsidP="00B549EB">
      <w:pPr>
        <w:spacing w:before="60"/>
        <w:rPr>
          <w:sz w:val="16"/>
        </w:rPr>
      </w:pPr>
      <w:r w:rsidRPr="003A68FF">
        <w:rPr>
          <w:noProof/>
        </w:rPr>
        <w:drawing>
          <wp:inline distT="0" distB="0" distL="0" distR="0" wp14:anchorId="5D36D1AB" wp14:editId="1B167A98">
            <wp:extent cx="4486275" cy="1967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86275" cy="1967843"/>
                    </a:xfrm>
                    <a:prstGeom prst="rect">
                      <a:avLst/>
                    </a:prstGeom>
                    <a:noFill/>
                    <a:ln>
                      <a:noFill/>
                    </a:ln>
                  </pic:spPr>
                </pic:pic>
              </a:graphicData>
            </a:graphic>
          </wp:inline>
        </w:drawing>
      </w:r>
      <w:r w:rsidR="00B549EB" w:rsidRPr="002821E1">
        <w:rPr>
          <w:sz w:val="16"/>
          <w:vertAlign w:val="superscript"/>
        </w:rPr>
        <w:t>1</w:t>
      </w:r>
      <w:r w:rsidR="00B549EB" w:rsidRPr="002821E1">
        <w:rPr>
          <w:sz w:val="16"/>
        </w:rPr>
        <w:t xml:space="preserve"> Includes $567,808 for 2015-16 departmental appropriation that has been withheld and quarantined for administrative purposes. A determination was made on 17 June 2016.</w:t>
      </w:r>
    </w:p>
    <w:p w:rsidR="00B549EB" w:rsidRPr="002821E1" w:rsidRDefault="00B549EB" w:rsidP="00B549EB">
      <w:pPr>
        <w:spacing w:before="60"/>
        <w:rPr>
          <w:sz w:val="16"/>
        </w:rPr>
      </w:pPr>
      <w:r w:rsidRPr="002821E1">
        <w:rPr>
          <w:sz w:val="16"/>
        </w:rPr>
        <w:t>² The variance is mainly due to the surplus for the year after adding back non-cost recovered depreciation, offset by prior year departmental appropriation used for new office fitout.</w:t>
      </w:r>
    </w:p>
    <w:p w:rsidR="00B549EB" w:rsidRPr="002821E1" w:rsidRDefault="00B549EB" w:rsidP="00B549EB">
      <w:pPr>
        <w:rPr>
          <w:sz w:val="16"/>
        </w:rPr>
      </w:pPr>
      <w:r>
        <w:rPr>
          <w:noProof/>
          <w:sz w:val="16"/>
        </w:rPr>
        <w:drawing>
          <wp:inline distT="0" distB="0" distL="0" distR="0" wp14:anchorId="4869DB28" wp14:editId="20096161">
            <wp:extent cx="4438650" cy="1257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38650" cy="1257300"/>
                    </a:xfrm>
                    <a:prstGeom prst="rect">
                      <a:avLst/>
                    </a:prstGeom>
                    <a:noFill/>
                    <a:ln>
                      <a:noFill/>
                    </a:ln>
                  </pic:spPr>
                </pic:pic>
              </a:graphicData>
            </a:graphic>
          </wp:inline>
        </w:drawing>
      </w:r>
      <w:r>
        <w:rPr>
          <w:sz w:val="16"/>
          <w:vertAlign w:val="superscript"/>
        </w:rPr>
        <w:t>1</w:t>
      </w:r>
      <w:r w:rsidRPr="002821E1">
        <w:rPr>
          <w:sz w:val="16"/>
        </w:rPr>
        <w:t>This amount of $23,000 is departmental appropriation which has been quarantined. No formal determination has been made.</w:t>
      </w:r>
    </w:p>
    <w:p w:rsidR="00B549EB" w:rsidRDefault="00B549EB" w:rsidP="00B549EB">
      <w:pPr>
        <w:ind w:left="142"/>
        <w:rPr>
          <w:sz w:val="14"/>
          <w:szCs w:val="16"/>
        </w:rPr>
      </w:pPr>
    </w:p>
    <w:p w:rsidR="00B549EB" w:rsidRDefault="00B549EB" w:rsidP="00B549EB">
      <w:pPr>
        <w:ind w:left="142"/>
      </w:pPr>
      <w:r>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3.2: Net Cash Appropriation Arrangements</w:t>
            </w:r>
          </w:p>
        </w:tc>
      </w:tr>
    </w:tbl>
    <w:p w:rsidR="00B549EB" w:rsidRDefault="00B549EB" w:rsidP="00B549EB">
      <w:pPr>
        <w:spacing w:before="120"/>
      </w:pPr>
      <w:r>
        <w:rPr>
          <w:noProof/>
        </w:rPr>
        <w:drawing>
          <wp:inline distT="0" distB="0" distL="0" distR="0" wp14:anchorId="417C703F" wp14:editId="5DEAE7D8">
            <wp:extent cx="4495800" cy="18573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95800" cy="1857375"/>
                    </a:xfrm>
                    <a:prstGeom prst="rect">
                      <a:avLst/>
                    </a:prstGeom>
                    <a:noFill/>
                    <a:ln>
                      <a:noFill/>
                    </a:ln>
                  </pic:spPr>
                </pic:pic>
              </a:graphicData>
            </a:graphic>
          </wp:inline>
        </w:drawing>
      </w:r>
    </w:p>
    <w:p w:rsidR="00B549EB" w:rsidRPr="003F0C5A" w:rsidRDefault="00B549EB" w:rsidP="00B549EB">
      <w:pPr>
        <w:spacing w:before="120"/>
        <w:rPr>
          <w:sz w:val="18"/>
          <w:szCs w:val="18"/>
        </w:rPr>
      </w:pPr>
      <w:r w:rsidRPr="002821E1">
        <w:rPr>
          <w:sz w:val="16"/>
          <w:szCs w:val="18"/>
          <w:vertAlign w:val="superscript"/>
        </w:rPr>
        <w:t>1</w:t>
      </w:r>
      <w:r w:rsidRPr="002821E1">
        <w:rPr>
          <w:sz w:val="16"/>
          <w:szCs w:val="18"/>
        </w:rPr>
        <w:t>From 2010-11, the Government introduced net cash appropriation arrangements, where revenue appropriations for depreciation/amortisation expenses ceased.  OPC now receives a separate capital budget provided through equity appropriations. Capital budgets are to be appropriated in the period when cash payment for capital expenditure is required.</w:t>
      </w:r>
    </w:p>
    <w:p w:rsidR="00B549EB" w:rsidRDefault="00B549EB" w:rsidP="00B549EB">
      <w:pPr>
        <w:ind w:left="142"/>
      </w:pPr>
    </w:p>
    <w:p w:rsidR="00B549EB" w:rsidRDefault="00B549EB" w:rsidP="00B549EB">
      <w:pPr>
        <w:ind w:left="142"/>
      </w:pPr>
      <w:r>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ind w:right="-250"/>
              <w:rPr>
                <w:rFonts w:ascii="Arial" w:hAnsi="Arial" w:cs="Arial"/>
                <w:b/>
                <w:bCs/>
                <w:color w:val="FFFFFF" w:themeColor="background1"/>
                <w:sz w:val="18"/>
                <w:szCs w:val="18"/>
              </w:rPr>
            </w:pPr>
            <w:r>
              <w:rPr>
                <w:rFonts w:ascii="Arial" w:hAnsi="Arial" w:cs="Arial"/>
                <w:b/>
                <w:bCs/>
                <w:color w:val="FFFFFF" w:themeColor="background1"/>
                <w:sz w:val="18"/>
                <w:szCs w:val="18"/>
              </w:rPr>
              <w:t>3.3: Cash Flow Reconciliation</w:t>
            </w:r>
          </w:p>
        </w:tc>
      </w:tr>
    </w:tbl>
    <w:p w:rsidR="00B549EB" w:rsidRDefault="00B549EB" w:rsidP="00B549EB">
      <w:pPr>
        <w:spacing w:before="120"/>
      </w:pPr>
      <w:r>
        <w:rPr>
          <w:noProof/>
        </w:rPr>
        <w:drawing>
          <wp:inline distT="0" distB="0" distL="0" distR="0" wp14:anchorId="7DD9E9B0" wp14:editId="2BE71194">
            <wp:extent cx="4495800" cy="43719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95800" cy="4371975"/>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2821E1" w:rsidTr="00E42F6F">
        <w:tc>
          <w:tcPr>
            <w:tcW w:w="7088" w:type="dxa"/>
          </w:tcPr>
          <w:p w:rsidR="00B549EB" w:rsidRPr="002821E1" w:rsidRDefault="00B549EB" w:rsidP="00E42F6F">
            <w:pPr>
              <w:rPr>
                <w:b/>
                <w:sz w:val="14"/>
              </w:rPr>
            </w:pPr>
            <w:r w:rsidRPr="002821E1">
              <w:rPr>
                <w:b/>
                <w:sz w:val="14"/>
              </w:rPr>
              <w:t>Accounting Policy</w:t>
            </w:r>
          </w:p>
          <w:p w:rsidR="00B549EB" w:rsidRPr="002821E1" w:rsidRDefault="00B549EB" w:rsidP="00E42F6F">
            <w:pPr>
              <w:rPr>
                <w:b/>
                <w:i/>
                <w:sz w:val="14"/>
              </w:rPr>
            </w:pPr>
            <w:r w:rsidRPr="002821E1">
              <w:rPr>
                <w:b/>
                <w:i/>
                <w:sz w:val="14"/>
              </w:rPr>
              <w:t>Cash</w:t>
            </w:r>
          </w:p>
          <w:p w:rsidR="00B549EB" w:rsidRPr="002821E1" w:rsidRDefault="00B549EB" w:rsidP="00E42F6F">
            <w:pPr>
              <w:rPr>
                <w:sz w:val="14"/>
              </w:rPr>
            </w:pPr>
            <w:r w:rsidRPr="002821E1">
              <w:rPr>
                <w:sz w:val="14"/>
              </w:rPr>
              <w:t>Cash is recognised at its nominal amounts and includes deposits on demand in bank accounts.</w:t>
            </w:r>
          </w:p>
        </w:tc>
      </w:tr>
    </w:tbl>
    <w:p w:rsidR="001456A7" w:rsidRDefault="001456A7" w:rsidP="00B549EB">
      <w:pPr>
        <w:ind w:left="142"/>
      </w:pPr>
      <w:r>
        <w:br w:type="page"/>
      </w:r>
    </w:p>
    <w:tbl>
      <w:tblPr>
        <w:tblW w:w="7088" w:type="dxa"/>
        <w:tblInd w:w="108" w:type="dxa"/>
        <w:tblLook w:val="04A0" w:firstRow="1" w:lastRow="0" w:firstColumn="1" w:lastColumn="0" w:noHBand="0" w:noVBand="1"/>
      </w:tblPr>
      <w:tblGrid>
        <w:gridCol w:w="7088"/>
      </w:tblGrid>
      <w:tr w:rsidR="001456A7" w:rsidRPr="002942BC" w:rsidTr="00E42F6F">
        <w:trPr>
          <w:trHeight w:val="267"/>
        </w:trPr>
        <w:tc>
          <w:tcPr>
            <w:tcW w:w="7088" w:type="dxa"/>
            <w:shd w:val="clear" w:color="auto" w:fill="A6A6A6" w:themeFill="background1" w:themeFillShade="A6"/>
            <w:noWrap/>
            <w:vAlign w:val="bottom"/>
            <w:hideMark/>
          </w:tcPr>
          <w:p w:rsidR="001456A7" w:rsidRPr="007924D2" w:rsidRDefault="001456A7" w:rsidP="00E42F6F">
            <w:pPr>
              <w:rPr>
                <w:rFonts w:ascii="Arial" w:hAnsi="Arial" w:cs="Arial"/>
                <w:color w:val="FFFFFF" w:themeColor="background1"/>
                <w:sz w:val="18"/>
                <w:szCs w:val="18"/>
              </w:rPr>
            </w:pPr>
            <w:r>
              <w:rPr>
                <w:rFonts w:ascii="Arial" w:hAnsi="Arial" w:cs="Arial"/>
                <w:b/>
                <w:bCs/>
                <w:sz w:val="20"/>
                <w:szCs w:val="18"/>
              </w:rPr>
              <w:t>4. PEOPLE AND RELATIONSHIPS</w:t>
            </w:r>
          </w:p>
        </w:tc>
      </w:tr>
      <w:tr w:rsidR="001456A7" w:rsidRPr="007924D2" w:rsidTr="00E42F6F">
        <w:tblPrEx>
          <w:shd w:val="clear" w:color="auto" w:fill="000000" w:themeFill="text1"/>
        </w:tblPrEx>
        <w:trPr>
          <w:trHeight w:val="119"/>
        </w:trPr>
        <w:tc>
          <w:tcPr>
            <w:tcW w:w="7088" w:type="dxa"/>
            <w:shd w:val="clear" w:color="auto" w:fill="auto"/>
            <w:noWrap/>
            <w:vAlign w:val="bottom"/>
          </w:tcPr>
          <w:p w:rsidR="001456A7" w:rsidRPr="007924D2" w:rsidRDefault="001456A7" w:rsidP="00E42F6F">
            <w:pPr>
              <w:rPr>
                <w:rFonts w:ascii="Arial" w:hAnsi="Arial" w:cs="Arial"/>
                <w:b/>
                <w:bCs/>
                <w:color w:val="FFFFFF" w:themeColor="background1"/>
                <w:sz w:val="8"/>
                <w:szCs w:val="18"/>
              </w:rPr>
            </w:pPr>
          </w:p>
        </w:tc>
      </w:tr>
      <w:tr w:rsidR="001456A7" w:rsidRPr="000F6CA6" w:rsidTr="00E42F6F">
        <w:tblPrEx>
          <w:shd w:val="clear" w:color="auto" w:fill="000000" w:themeFill="text1"/>
        </w:tblPrEx>
        <w:trPr>
          <w:trHeight w:val="267"/>
        </w:trPr>
        <w:tc>
          <w:tcPr>
            <w:tcW w:w="7088" w:type="dxa"/>
            <w:shd w:val="clear" w:color="auto" w:fill="000000" w:themeFill="text1"/>
            <w:noWrap/>
            <w:vAlign w:val="bottom"/>
            <w:hideMark/>
          </w:tcPr>
          <w:p w:rsidR="001456A7" w:rsidRPr="007924D2" w:rsidRDefault="001456A7" w:rsidP="00E42F6F">
            <w:pPr>
              <w:rPr>
                <w:rFonts w:ascii="Arial" w:hAnsi="Arial" w:cs="Arial"/>
                <w:b/>
                <w:bCs/>
                <w:color w:val="FFFFFF" w:themeColor="background1"/>
                <w:sz w:val="18"/>
                <w:szCs w:val="18"/>
              </w:rPr>
            </w:pPr>
            <w:r>
              <w:rPr>
                <w:rFonts w:ascii="Arial" w:hAnsi="Arial" w:cs="Arial"/>
                <w:b/>
                <w:bCs/>
                <w:color w:val="FFFFFF" w:themeColor="background1"/>
                <w:sz w:val="18"/>
                <w:szCs w:val="18"/>
              </w:rPr>
              <w:t>4.1: Employee Provisions</w:t>
            </w:r>
          </w:p>
        </w:tc>
      </w:tr>
    </w:tbl>
    <w:p w:rsidR="001456A7" w:rsidRDefault="001456A7" w:rsidP="001456A7">
      <w:r>
        <w:rPr>
          <w:noProof/>
        </w:rPr>
        <w:drawing>
          <wp:inline distT="0" distB="0" distL="0" distR="0" wp14:anchorId="4BE0D5C3" wp14:editId="0B757332">
            <wp:extent cx="4505325" cy="17145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05325" cy="1714500"/>
                    </a:xfrm>
                    <a:prstGeom prst="rect">
                      <a:avLst/>
                    </a:prstGeom>
                    <a:noFill/>
                    <a:ln>
                      <a:noFill/>
                    </a:ln>
                  </pic:spPr>
                </pic:pic>
              </a:graphicData>
            </a:graphic>
          </wp:inline>
        </w:drawing>
      </w:r>
    </w:p>
    <w:p w:rsidR="001456A7" w:rsidRPr="002821E1" w:rsidRDefault="001456A7" w:rsidP="001456A7">
      <w:pPr>
        <w:ind w:left="142"/>
        <w:rPr>
          <w:b/>
          <w:sz w:val="14"/>
        </w:rPr>
      </w:pPr>
      <w:r>
        <w:rPr>
          <w:b/>
          <w:noProof/>
          <w:sz w:val="20"/>
        </w:rPr>
        <mc:AlternateContent>
          <mc:Choice Requires="wps">
            <w:drawing>
              <wp:anchor distT="0" distB="0" distL="114300" distR="114300" simplePos="0" relativeHeight="251661312" behindDoc="0" locked="0" layoutInCell="1" allowOverlap="1" wp14:anchorId="33D0FCC3" wp14:editId="737D9622">
                <wp:simplePos x="0" y="0"/>
                <wp:positionH relativeFrom="column">
                  <wp:posOffset>20955</wp:posOffset>
                </wp:positionH>
                <wp:positionV relativeFrom="paragraph">
                  <wp:posOffset>-1270</wp:posOffset>
                </wp:positionV>
                <wp:extent cx="4486275" cy="3829685"/>
                <wp:effectExtent l="0" t="0" r="28575" b="18415"/>
                <wp:wrapNone/>
                <wp:docPr id="10" name="Rectangle 10"/>
                <wp:cNvGraphicFramePr/>
                <a:graphic xmlns:a="http://schemas.openxmlformats.org/drawingml/2006/main">
                  <a:graphicData uri="http://schemas.microsoft.com/office/word/2010/wordprocessingShape">
                    <wps:wsp>
                      <wps:cNvSpPr/>
                      <wps:spPr>
                        <a:xfrm>
                          <a:off x="0" y="0"/>
                          <a:ext cx="4486275" cy="3829685"/>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9A" w:rsidRDefault="00FB069A" w:rsidP="00145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1.65pt;margin-top:-.1pt;width:353.25pt;height:30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AnrAIAAL8FAAAOAAAAZHJzL2Uyb0RvYy54bWysVE1v2zAMvQ/YfxB0X+2kSZoadYqgRYcB&#10;XRu0HXpWZCk2IIuapMTOfv0o2XGCLthh2MWW+PFIPpG8uW1rRXbCugp0TkcXKSVCcygqvcnpj7eH&#10;L3NKnGe6YAq0yOleOHq7+PzppjGZGEMJqhCWIIh2WWNyWnpvsiRxvBQ1cxdghEalBFszj1e7SQrL&#10;GkSvVTJO01nSgC2MBS6cQ+l9p6SLiC+l4P5ZSic8UTnF3Hz82vhdh2+yuGHZxjJTVrxPg/1DFjWr&#10;NAYdoO6ZZ2Rrqz+g6opbcCD9BYc6ASkrLmINWM0o/VDNa8mMiLUgOc4MNLn/B8ufditLqgLfDunR&#10;rMY3ekHWmN4oQVCGBDXGZWj3ala2vzk8hmpbaevwxzpIG0ndD6SK1hOOwslkPhtfTSnhqLucj69n&#10;82lATY7uxjr/VUBNwiGnFuNHMtnu0fnO9GASoml4qJRCOcuUJk1OZ5fTNDo4UFURlEEXe0jcKUt2&#10;DF9/vRlFG7Wtv0PRyWbTNI0lYjKDeUztBAl1SqMw0NAVHk9+r0SXwouQyCCWOu6SCL17jMs4F9p3&#10;sV3JCtGFDpHPh1YaAQOyxEIG7B7gPHbHUW8fXEVs/cG5Z+dvzoNHjAzaD851pcGeq0xhVX3kzv5A&#10;UkdNYMm36xZNwnENxR5bzUI3g87whwqf+5E5v2IWhw77DxeJf8aPVIDPCv2JkhLsr3PyYI+zgFpK&#10;GhzinLqfW2YFJeqbxim5Hk0mYerjZTK9GuPFnmrWpxq9re8AO2WEK8vweAz2Xh2O0kL9jvtmGaKi&#10;immOsXPKvT1c7ny3XHBjcbFcRjOcdMP8o341PIAHgkM7v7XvzJq+5z2OyxMcBp5lH1q/sw2eGpZb&#10;D7KKc3Hktacet0Rs336jhTV0eo9Wx727+A0AAP//AwBQSwMEFAAGAAgAAAAhAMf941XeAAAABwEA&#10;AA8AAABkcnMvZG93bnJldi54bWxMj8FOwzAQRO9I/IO1SNxau6koNMSpChIVEoeqoQeObrzEUeN1&#10;iN02/D3LCY6jGc28KVaj78QZh9gG0jCbKhBIdbAtNRr27y+TBxAxGbKmC4QavjHCqry+Kkxuw4V2&#10;eK5SI7iEYm40uJT6XMpYO/QmTkOPxN5nGLxJLIdG2sFcuNx3MlNqIb1piRec6fHZYX2sTl7DZn9X&#10;va5nWSfd5gN3XyTfno5brW9vxvUjiIRj+gvDLz6jQ8lMh3AiG0WnYT7noIZJBoLde7XkIwcNC5Ut&#10;QZaF/M9f/gAAAP//AwBQSwECLQAUAAYACAAAACEAtoM4kv4AAADhAQAAEwAAAAAAAAAAAAAAAAAA&#10;AAAAW0NvbnRlbnRfVHlwZXNdLnhtbFBLAQItABQABgAIAAAAIQA4/SH/1gAAAJQBAAALAAAAAAAA&#10;AAAAAAAAAC8BAABfcmVscy8ucmVsc1BLAQItABQABgAIAAAAIQAWV6AnrAIAAL8FAAAOAAAAAAAA&#10;AAAAAAAAAC4CAABkcnMvZTJvRG9jLnhtbFBLAQItABQABgAIAAAAIQDH/eNV3gAAAAcBAAAPAAAA&#10;AAAAAAAAAAAAAAYFAABkcnMvZG93bnJldi54bWxQSwUGAAAAAAQABADzAAAAEQYAAAAA&#10;" filled="f" strokecolor="#a5a5a5 [2092]" strokeweight=".5pt">
                <v:textbox>
                  <w:txbxContent>
                    <w:p w:rsidR="00FB069A" w:rsidRDefault="00FB069A" w:rsidP="001456A7">
                      <w:pPr>
                        <w:jc w:val="center"/>
                      </w:pPr>
                    </w:p>
                  </w:txbxContent>
                </v:textbox>
              </v:rect>
            </w:pict>
          </mc:Fallback>
        </mc:AlternateContent>
      </w:r>
      <w:r w:rsidRPr="002821E1">
        <w:rPr>
          <w:b/>
          <w:sz w:val="14"/>
        </w:rPr>
        <w:t>Accounting Policy</w:t>
      </w:r>
    </w:p>
    <w:p w:rsidR="001456A7" w:rsidRPr="002821E1" w:rsidRDefault="001456A7" w:rsidP="001456A7">
      <w:pPr>
        <w:spacing w:before="60"/>
        <w:ind w:left="142"/>
        <w:rPr>
          <w:b/>
          <w:i/>
          <w:sz w:val="14"/>
        </w:rPr>
      </w:pPr>
      <w:r w:rsidRPr="002821E1">
        <w:rPr>
          <w:b/>
          <w:i/>
          <w:sz w:val="14"/>
        </w:rPr>
        <w:t>Employee provisions</w:t>
      </w:r>
    </w:p>
    <w:p w:rsidR="001456A7" w:rsidRPr="002821E1" w:rsidRDefault="001456A7" w:rsidP="001456A7">
      <w:pPr>
        <w:ind w:left="142"/>
        <w:rPr>
          <w:sz w:val="14"/>
        </w:rPr>
      </w:pPr>
      <w:r w:rsidRPr="002821E1">
        <w:rPr>
          <w:sz w:val="14"/>
        </w:rPr>
        <w:t xml:space="preserve">Liabilities for ‘short-term employee benefits’ (as defined in AASB 119 </w:t>
      </w:r>
      <w:r w:rsidRPr="00515596">
        <w:rPr>
          <w:i/>
          <w:sz w:val="14"/>
        </w:rPr>
        <w:t>Employee Benefits</w:t>
      </w:r>
      <w:r w:rsidRPr="002821E1">
        <w:rPr>
          <w:sz w:val="14"/>
        </w:rPr>
        <w:t>) and termination benefits expected within twelve months of the end of the reporting period are measured at their nominal amounts.</w:t>
      </w:r>
    </w:p>
    <w:p w:rsidR="001456A7" w:rsidRPr="002821E1" w:rsidRDefault="001456A7" w:rsidP="001456A7">
      <w:pPr>
        <w:spacing w:before="60"/>
        <w:ind w:left="142"/>
        <w:rPr>
          <w:sz w:val="14"/>
        </w:rPr>
      </w:pPr>
      <w:r w:rsidRPr="002821E1">
        <w:rPr>
          <w:sz w:val="14"/>
        </w:rPr>
        <w:t>The nominal amount is calculated with regard to the rates expected to be paid on settlement of the liability.</w:t>
      </w:r>
    </w:p>
    <w:p w:rsidR="001456A7" w:rsidRPr="002821E1" w:rsidRDefault="001456A7" w:rsidP="001456A7">
      <w:pPr>
        <w:ind w:left="142"/>
        <w:rPr>
          <w:sz w:val="14"/>
        </w:rPr>
      </w:pPr>
      <w:r w:rsidRPr="002821E1">
        <w:rPr>
          <w:sz w:val="14"/>
        </w:rPr>
        <w:t>Long-term employee benefits are measured at total net  present value of the defined benefit obligation at the end of the reporting period.</w:t>
      </w:r>
    </w:p>
    <w:p w:rsidR="001456A7" w:rsidRPr="002821E1" w:rsidRDefault="001456A7" w:rsidP="001456A7">
      <w:pPr>
        <w:spacing w:before="60"/>
        <w:ind w:left="142"/>
        <w:rPr>
          <w:b/>
          <w:i/>
          <w:sz w:val="14"/>
        </w:rPr>
      </w:pPr>
      <w:r w:rsidRPr="002821E1">
        <w:rPr>
          <w:b/>
          <w:i/>
          <w:sz w:val="14"/>
        </w:rPr>
        <w:t>Leave</w:t>
      </w:r>
    </w:p>
    <w:p w:rsidR="001456A7" w:rsidRPr="002821E1" w:rsidRDefault="001456A7" w:rsidP="001456A7">
      <w:pPr>
        <w:ind w:left="142"/>
        <w:rPr>
          <w:sz w:val="14"/>
        </w:rPr>
      </w:pPr>
      <w:r w:rsidRPr="002821E1">
        <w:rPr>
          <w:sz w:val="14"/>
        </w:rPr>
        <w:t>The liability for employee benefits includes provision for annual leave and long service leave.  No provision has been made for sick leave as all sick leave is non-vesting and the average sick leave taken in future years by employees of OPC is estimated to be less than the annual entitlement for sick leave.</w:t>
      </w:r>
    </w:p>
    <w:p w:rsidR="001456A7" w:rsidRPr="002821E1" w:rsidRDefault="001456A7" w:rsidP="001456A7">
      <w:pPr>
        <w:spacing w:before="60"/>
        <w:ind w:left="142"/>
        <w:rPr>
          <w:sz w:val="14"/>
        </w:rPr>
      </w:pPr>
      <w:r w:rsidRPr="002821E1">
        <w:rPr>
          <w:sz w:val="14"/>
        </w:rPr>
        <w:t>The leave liabilities are calculated on the basis of employees’ remuneration at the estimated salary rates that will be applied at the time the leave is taken, including OPC's employer superannuation contribution rates to the extent that the leave is likely to be taken during service rather than paid out on termination.</w:t>
      </w:r>
    </w:p>
    <w:p w:rsidR="001456A7" w:rsidRPr="002821E1" w:rsidRDefault="001456A7" w:rsidP="001456A7">
      <w:pPr>
        <w:spacing w:before="60"/>
        <w:ind w:left="142"/>
        <w:rPr>
          <w:sz w:val="14"/>
        </w:rPr>
      </w:pPr>
      <w:r w:rsidRPr="002821E1">
        <w:rPr>
          <w:sz w:val="14"/>
        </w:rPr>
        <w:t xml:space="preserve">The liability for long service leave has been determined by reference to paragraph 24(a) of the  </w:t>
      </w:r>
      <w:r w:rsidRPr="002821E1">
        <w:rPr>
          <w:i/>
          <w:sz w:val="14"/>
        </w:rPr>
        <w:t>Public Governance, Performance and Accountability (Financial Reporting) Rule 201</w:t>
      </w:r>
      <w:r>
        <w:rPr>
          <w:i/>
          <w:sz w:val="14"/>
        </w:rPr>
        <w:t>5 u</w:t>
      </w:r>
      <w:r w:rsidRPr="002821E1">
        <w:rPr>
          <w:sz w:val="14"/>
        </w:rPr>
        <w:t>sing the shorthand method.  The estimate of the present value of the liability takes into account attrition rates and pay increases through promotion and inflation.</w:t>
      </w:r>
    </w:p>
    <w:p w:rsidR="001456A7" w:rsidRPr="002821E1" w:rsidRDefault="001456A7" w:rsidP="001456A7">
      <w:pPr>
        <w:spacing w:before="60"/>
        <w:ind w:left="142"/>
        <w:rPr>
          <w:b/>
          <w:i/>
          <w:sz w:val="14"/>
        </w:rPr>
      </w:pPr>
      <w:r w:rsidRPr="002821E1">
        <w:rPr>
          <w:b/>
          <w:i/>
          <w:sz w:val="14"/>
        </w:rPr>
        <w:t>Separation and Redundancy</w:t>
      </w:r>
    </w:p>
    <w:p w:rsidR="001456A7" w:rsidRPr="002821E1" w:rsidRDefault="001456A7" w:rsidP="001456A7">
      <w:pPr>
        <w:ind w:left="142"/>
        <w:rPr>
          <w:sz w:val="14"/>
        </w:rPr>
      </w:pPr>
      <w:r w:rsidRPr="002821E1">
        <w:rPr>
          <w:sz w:val="14"/>
        </w:rPr>
        <w:t>Provision is made for separation and redundancy benefit payments.  OPC recognises a provision for termination when it has developed a detailed formal plan for terminations and has informed those employees affected that it will carry out the terminations.</w:t>
      </w:r>
    </w:p>
    <w:p w:rsidR="001456A7" w:rsidRPr="002821E1" w:rsidRDefault="001456A7" w:rsidP="001456A7">
      <w:pPr>
        <w:spacing w:before="60"/>
        <w:ind w:left="142"/>
        <w:rPr>
          <w:b/>
          <w:i/>
          <w:sz w:val="14"/>
        </w:rPr>
      </w:pPr>
      <w:r w:rsidRPr="002821E1">
        <w:rPr>
          <w:b/>
          <w:i/>
          <w:sz w:val="14"/>
        </w:rPr>
        <w:t>Superannuation</w:t>
      </w:r>
    </w:p>
    <w:p w:rsidR="001456A7" w:rsidRPr="002821E1" w:rsidRDefault="001456A7" w:rsidP="001456A7">
      <w:pPr>
        <w:ind w:left="142"/>
        <w:rPr>
          <w:sz w:val="14"/>
        </w:rPr>
      </w:pPr>
      <w:r w:rsidRPr="002821E1">
        <w:rPr>
          <w:sz w:val="14"/>
        </w:rPr>
        <w:t>Staff of OPC are members of the Commonwealth Superannuation Scheme (CSS), the Public Sector Superannuation Scheme (PSS), the PSS accumulation plan (PSSap) or a complying fund  chosen by the employee.</w:t>
      </w:r>
    </w:p>
    <w:p w:rsidR="001456A7" w:rsidRPr="002821E1" w:rsidRDefault="001456A7" w:rsidP="001456A7">
      <w:pPr>
        <w:spacing w:before="60"/>
        <w:ind w:left="142"/>
        <w:rPr>
          <w:sz w:val="14"/>
        </w:rPr>
      </w:pPr>
      <w:r w:rsidRPr="002821E1">
        <w:rPr>
          <w:sz w:val="14"/>
        </w:rPr>
        <w:t>The CSS and PSS are defined benefit schemes for the Australian Government.  The PSSap and other funds are defined contribution schemes.</w:t>
      </w:r>
    </w:p>
    <w:p w:rsidR="001456A7" w:rsidRPr="002821E1" w:rsidRDefault="001456A7" w:rsidP="001456A7">
      <w:pPr>
        <w:spacing w:before="60"/>
        <w:ind w:left="142"/>
        <w:rPr>
          <w:sz w:val="14"/>
        </w:rPr>
      </w:pPr>
      <w:r w:rsidRPr="002821E1">
        <w:rPr>
          <w:sz w:val="14"/>
        </w:rPr>
        <w:t>The liability for defined benefits is recognised in the Financial Statements of the Australian Government and is settled by the Australian Government in due course. This liability is reported by the Department of Finance as an administered item.</w:t>
      </w:r>
    </w:p>
    <w:p w:rsidR="001456A7" w:rsidRPr="002821E1" w:rsidRDefault="001456A7" w:rsidP="001456A7">
      <w:pPr>
        <w:spacing w:before="60"/>
        <w:ind w:left="142"/>
        <w:rPr>
          <w:sz w:val="14"/>
        </w:rPr>
      </w:pPr>
      <w:r w:rsidRPr="002821E1">
        <w:rPr>
          <w:sz w:val="14"/>
        </w:rPr>
        <w:t xml:space="preserve">OPC makes employer contributions to the employee superannuation scheme at rates determined by an actuary to be sufficient to meet the current cost to the Government. OPC accounts for the contributions as if they were contributions to defined contribution plans. </w:t>
      </w:r>
    </w:p>
    <w:p w:rsidR="001456A7" w:rsidRPr="002821E1" w:rsidRDefault="001456A7" w:rsidP="001456A7">
      <w:pPr>
        <w:spacing w:before="60"/>
        <w:ind w:left="142"/>
        <w:rPr>
          <w:sz w:val="14"/>
        </w:rPr>
      </w:pPr>
      <w:r w:rsidRPr="002821E1">
        <w:rPr>
          <w:sz w:val="14"/>
        </w:rPr>
        <w:t>The liability for superannuation recognised as at 30 June represents outstanding contributions for the final fortnight of the year.</w:t>
      </w:r>
    </w:p>
    <w:p w:rsidR="001456A7" w:rsidRPr="009203C7" w:rsidRDefault="001456A7" w:rsidP="001456A7">
      <w:pPr>
        <w:spacing w:before="60"/>
        <w:ind w:left="142"/>
        <w:rPr>
          <w:b/>
          <w:sz w:val="2"/>
        </w:rPr>
      </w:pPr>
    </w:p>
    <w:p w:rsidR="001456A7" w:rsidRPr="002821E1" w:rsidRDefault="001456A7" w:rsidP="001456A7">
      <w:pPr>
        <w:spacing w:before="240"/>
        <w:ind w:left="142"/>
        <w:rPr>
          <w:b/>
          <w:sz w:val="14"/>
        </w:rPr>
      </w:pPr>
      <w:r w:rsidRPr="002821E1">
        <w:rPr>
          <w:b/>
          <w:noProof/>
          <w:sz w:val="18"/>
        </w:rPr>
        <mc:AlternateContent>
          <mc:Choice Requires="wps">
            <w:drawing>
              <wp:anchor distT="0" distB="0" distL="114300" distR="114300" simplePos="0" relativeHeight="251662336" behindDoc="0" locked="0" layoutInCell="1" allowOverlap="1" wp14:anchorId="33F599A1" wp14:editId="701371F4">
                <wp:simplePos x="0" y="0"/>
                <wp:positionH relativeFrom="column">
                  <wp:posOffset>29845</wp:posOffset>
                </wp:positionH>
                <wp:positionV relativeFrom="paragraph">
                  <wp:posOffset>102870</wp:posOffset>
                </wp:positionV>
                <wp:extent cx="4486275" cy="5429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486275" cy="542925"/>
                        </a:xfrm>
                        <a:prstGeom prst="rect">
                          <a:avLst/>
                        </a:prstGeom>
                        <a:noFill/>
                        <a:ln w="6350">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B069A" w:rsidRDefault="00FB069A" w:rsidP="001456A7">
                            <w:pPr>
                              <w:jc w:val="center"/>
                            </w:pPr>
                          </w:p>
                          <w:p w:rsidR="00FB069A" w:rsidRDefault="00FB069A" w:rsidP="001456A7">
                            <w:pPr>
                              <w:jc w:val="center"/>
                            </w:pPr>
                          </w:p>
                          <w:p w:rsidR="00FB069A" w:rsidRDefault="00FB069A" w:rsidP="001456A7">
                            <w:pPr>
                              <w:jc w:val="center"/>
                            </w:pPr>
                          </w:p>
                          <w:p w:rsidR="00FB069A" w:rsidRDefault="00FB069A" w:rsidP="00145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2.35pt;margin-top:8.1pt;width:353.2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r1ugIAAN8FAAAOAAAAZHJzL2Uyb0RvYy54bWysVE1v2zAMvQ/YfxB0X+14SdoadYqgQYcB&#10;XVu0HXpWZDk2IIuapMTOfv0oyXG6Lthh2MWW+PFIPpG8uu5bSXbC2AZUQSdnKSVCcSgbtSno95fb&#10;TxeUWMdUySQoUdC9sPR68fHDVadzkUENshSGIIiyeacLWjun8ySxvBYts2eghUJlBaZlDq9mk5SG&#10;dYjeyiRL03nSgSm1AS6sRekqKuki4FeV4O6hqqxwRBYUc3Pha8J37b/J4orlG8N03fAhDfYPWbSs&#10;URh0hFoxx8jWNH9AtQ03YKFyZxzaBKqq4SLUgNVM0nfVPNdMi1ALkmP1SJP9f7D8fvdoSFPi200o&#10;UazFN3pC1pjaSEFQhgR12uZo96wfzXCzePTV9pVp/R/rIH0gdT+SKnpHOAqn04t5dj6jhKNuNs0u&#10;s5kHTY7e2lj3RUBL/KGgBsMHLtnuzrpoejDxwRTcNlKinOVSka6g88+zNDhYkE3plV4XWkjcSEN2&#10;DB9/vZkEG7ltv0EZZfNZmoYWwGRG85Dab0g++IrZOjrZvV2BG0qQCs09P5GRcHJ7KWJyT6JCapGD&#10;LKbnm/qYEeNcKBezsjUrRcT3OZ1OSioE9MgVljhiDwCnsSN7g713FWEmRueBt785jx4hMig3OreN&#10;AnOqMolVDZGj/YGkSI1nyfXrPradt/SSNZR7bEUDcUat5rcNEn/HrHtkBocSxxcXjXvATyUB3x2G&#10;EyU1mJ+n5N4eZwW1lHQ45AW1P7bMCErkV4VTdDmZTv1WCJfp7DzDi3mrWb/VqG17A9hKOCiYXTh6&#10;eycPx8pA+4r7aOmjooopjrELyp05XG5cXD640bhYLoMZbgLN3J161tyDe559y730r8zoYSgcjtM9&#10;HBYCy9/NRrT1ngqWWwdVEwbnyOvwArhFQn8PG8+vqbf3YHXcy4tfAAAA//8DAFBLAwQUAAYACAAA&#10;ACEAbdMXnd8AAAAIAQAADwAAAGRycy9kb3ducmV2LnhtbEyPQU/DMAyF70j8h8hI3FjaCa2oNJ0Q&#10;CHZAILUDCW5ZY9qKxilNtqX/Hu8EN/u9p+fPxTraQRxw8r0jBekiAYHUONNTq+Bt+3h1A8IHTUYP&#10;jlDBjB7W5flZoXPjjlThoQ6t4BLyuVbQhTDmUvqmQ6v9wo1I7H25yerA69RKM+kjl9tBLpNkJa3u&#10;iS90esT7Dpvvem8VfMT69cVvtp+bh5/qqYnvM1bPs1KXF/HuFkTAGP7CcMJndCiZaef2ZLwYFFxn&#10;HGR5tQTBdpamPOxYSNIMZFnI/w+UvwAAAP//AwBQSwECLQAUAAYACAAAACEAtoM4kv4AAADhAQAA&#10;EwAAAAAAAAAAAAAAAAAAAAAAW0NvbnRlbnRfVHlwZXNdLnhtbFBLAQItABQABgAIAAAAIQA4/SH/&#10;1gAAAJQBAAALAAAAAAAAAAAAAAAAAC8BAABfcmVscy8ucmVsc1BLAQItABQABgAIAAAAIQBsasr1&#10;ugIAAN8FAAAOAAAAAAAAAAAAAAAAAC4CAABkcnMvZTJvRG9jLnhtbFBLAQItABQABgAIAAAAIQBt&#10;0xed3wAAAAgBAAAPAAAAAAAAAAAAAAAAABQFAABkcnMvZG93bnJldi54bWxQSwUGAAAAAAQABADz&#10;AAAAIAYAAAAA&#10;" filled="f" strokecolor="#a5a5a5 [2092]" strokeweight=".5pt">
                <v:stroke dashstyle="1 1"/>
                <v:textbox>
                  <w:txbxContent>
                    <w:p w:rsidR="00FB069A" w:rsidRDefault="00FB069A" w:rsidP="001456A7">
                      <w:pPr>
                        <w:jc w:val="center"/>
                      </w:pPr>
                    </w:p>
                    <w:p w:rsidR="00FB069A" w:rsidRDefault="00FB069A" w:rsidP="001456A7">
                      <w:pPr>
                        <w:jc w:val="center"/>
                      </w:pPr>
                    </w:p>
                    <w:p w:rsidR="00FB069A" w:rsidRDefault="00FB069A" w:rsidP="001456A7">
                      <w:pPr>
                        <w:jc w:val="center"/>
                      </w:pPr>
                    </w:p>
                    <w:p w:rsidR="00FB069A" w:rsidRDefault="00FB069A" w:rsidP="001456A7">
                      <w:pPr>
                        <w:jc w:val="center"/>
                      </w:pPr>
                    </w:p>
                  </w:txbxContent>
                </v:textbox>
              </v:rect>
            </w:pict>
          </mc:Fallback>
        </mc:AlternateContent>
      </w:r>
      <w:r w:rsidRPr="002821E1">
        <w:rPr>
          <w:b/>
          <w:sz w:val="14"/>
        </w:rPr>
        <w:t>Accounting Judgements and Estimates</w:t>
      </w:r>
    </w:p>
    <w:p w:rsidR="001456A7" w:rsidRPr="002821E1" w:rsidRDefault="001456A7" w:rsidP="001456A7">
      <w:pPr>
        <w:ind w:left="142"/>
        <w:rPr>
          <w:sz w:val="14"/>
        </w:rPr>
      </w:pPr>
      <w:r w:rsidRPr="002821E1">
        <w:rPr>
          <w:sz w:val="14"/>
        </w:rPr>
        <w:t>The long service leave provision at balance date required management judgement including:</w:t>
      </w:r>
    </w:p>
    <w:p w:rsidR="001456A7" w:rsidRPr="002821E1" w:rsidRDefault="001456A7" w:rsidP="001456A7">
      <w:pPr>
        <w:ind w:left="142"/>
        <w:rPr>
          <w:sz w:val="14"/>
        </w:rPr>
      </w:pPr>
      <w:r w:rsidRPr="002821E1">
        <w:rPr>
          <w:sz w:val="14"/>
        </w:rPr>
        <w:t xml:space="preserve"> - future salary and wage increases, and </w:t>
      </w:r>
    </w:p>
    <w:p w:rsidR="001456A7" w:rsidRDefault="001456A7" w:rsidP="001456A7">
      <w:pPr>
        <w:ind w:left="142"/>
        <w:rPr>
          <w:sz w:val="20"/>
        </w:rPr>
      </w:pPr>
      <w:r w:rsidRPr="002821E1">
        <w:rPr>
          <w:sz w:val="14"/>
        </w:rPr>
        <w:t xml:space="preserve"> - past patterns of promotions and departures.</w:t>
      </w:r>
      <w:r w:rsidRPr="002821E1">
        <w:rPr>
          <w:sz w:val="20"/>
        </w:rPr>
        <w:br w:type="page"/>
      </w:r>
    </w:p>
    <w:tbl>
      <w:tblPr>
        <w:tblW w:w="7088" w:type="dxa"/>
        <w:tblInd w:w="108" w:type="dxa"/>
        <w:shd w:val="clear" w:color="auto" w:fill="000000" w:themeFill="text1"/>
        <w:tblLook w:val="04A0" w:firstRow="1" w:lastRow="0" w:firstColumn="1" w:lastColumn="0" w:noHBand="0" w:noVBand="1"/>
      </w:tblPr>
      <w:tblGrid>
        <w:gridCol w:w="7088"/>
      </w:tblGrid>
      <w:tr w:rsidR="001456A7" w:rsidRPr="000F6CA6" w:rsidTr="00E42F6F">
        <w:trPr>
          <w:trHeight w:val="267"/>
        </w:trPr>
        <w:tc>
          <w:tcPr>
            <w:tcW w:w="7088" w:type="dxa"/>
            <w:shd w:val="clear" w:color="auto" w:fill="000000" w:themeFill="text1"/>
            <w:noWrap/>
            <w:vAlign w:val="bottom"/>
            <w:hideMark/>
          </w:tcPr>
          <w:p w:rsidR="001456A7" w:rsidRPr="007924D2" w:rsidRDefault="001456A7" w:rsidP="00E42F6F">
            <w:pPr>
              <w:ind w:right="-250"/>
              <w:rPr>
                <w:rFonts w:ascii="Arial" w:hAnsi="Arial" w:cs="Arial"/>
                <w:b/>
                <w:bCs/>
                <w:color w:val="FFFFFF" w:themeColor="background1"/>
                <w:sz w:val="18"/>
                <w:szCs w:val="18"/>
              </w:rPr>
            </w:pPr>
            <w:r>
              <w:rPr>
                <w:rFonts w:ascii="Arial" w:hAnsi="Arial" w:cs="Arial"/>
                <w:b/>
                <w:bCs/>
                <w:color w:val="FFFFFF" w:themeColor="background1"/>
                <w:sz w:val="18"/>
                <w:szCs w:val="18"/>
              </w:rPr>
              <w:t>4.2: Senior Management Personnel Remuneration</w:t>
            </w:r>
          </w:p>
        </w:tc>
      </w:tr>
    </w:tbl>
    <w:p w:rsidR="001456A7" w:rsidRPr="00515596" w:rsidRDefault="001456A7" w:rsidP="001456A7">
      <w:pPr>
        <w:spacing w:before="120"/>
        <w:rPr>
          <w:sz w:val="16"/>
        </w:rPr>
      </w:pPr>
      <w:r>
        <w:rPr>
          <w:noProof/>
        </w:rPr>
        <w:drawing>
          <wp:inline distT="0" distB="0" distL="0" distR="0" wp14:anchorId="42C51171" wp14:editId="1D3AE782">
            <wp:extent cx="4505325" cy="307657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05325" cy="3076575"/>
                    </a:xfrm>
                    <a:prstGeom prst="rect">
                      <a:avLst/>
                    </a:prstGeom>
                    <a:noFill/>
                    <a:ln>
                      <a:noFill/>
                    </a:ln>
                  </pic:spPr>
                </pic:pic>
              </a:graphicData>
            </a:graphic>
          </wp:inline>
        </w:drawing>
      </w:r>
      <w:r w:rsidRPr="00515596">
        <w:rPr>
          <w:sz w:val="16"/>
        </w:rPr>
        <w:t>The total number of senior management personnel that are included in the above table are 17 full-time employees and 8 part-time employees (2015: 18 full-time employees and 5 part-time employees).</w:t>
      </w:r>
    </w:p>
    <w:p w:rsidR="001456A7" w:rsidRPr="00515596" w:rsidRDefault="001456A7" w:rsidP="001456A7">
      <w:pPr>
        <w:spacing w:before="120"/>
        <w:rPr>
          <w:sz w:val="16"/>
        </w:rPr>
      </w:pPr>
      <w:r w:rsidRPr="00515596">
        <w:rPr>
          <w:sz w:val="16"/>
        </w:rPr>
        <w:t>¹Allowances includes motor vehicle, SES experience loading and retention allowances.</w:t>
      </w:r>
    </w:p>
    <w:p w:rsidR="001456A7" w:rsidRPr="002821E1" w:rsidRDefault="001456A7" w:rsidP="001456A7">
      <w:pPr>
        <w:ind w:left="142"/>
        <w:rPr>
          <w:sz w:val="20"/>
        </w:rPr>
      </w:pPr>
    </w:p>
    <w:p w:rsidR="001456A7" w:rsidRDefault="001456A7" w:rsidP="00B549EB">
      <w:pPr>
        <w:ind w:left="142"/>
      </w:pPr>
      <w:r>
        <w:br w:type="page"/>
      </w:r>
    </w:p>
    <w:tbl>
      <w:tblPr>
        <w:tblW w:w="7088" w:type="dxa"/>
        <w:tblInd w:w="108" w:type="dxa"/>
        <w:tblLook w:val="04A0" w:firstRow="1" w:lastRow="0" w:firstColumn="1" w:lastColumn="0" w:noHBand="0" w:noVBand="1"/>
      </w:tblPr>
      <w:tblGrid>
        <w:gridCol w:w="7088"/>
      </w:tblGrid>
      <w:tr w:rsidR="001456A7" w:rsidRPr="002942BC" w:rsidTr="00E42F6F">
        <w:trPr>
          <w:trHeight w:val="267"/>
        </w:trPr>
        <w:tc>
          <w:tcPr>
            <w:tcW w:w="7088" w:type="dxa"/>
            <w:shd w:val="clear" w:color="auto" w:fill="A6A6A6" w:themeFill="background1" w:themeFillShade="A6"/>
            <w:noWrap/>
            <w:vAlign w:val="bottom"/>
            <w:hideMark/>
          </w:tcPr>
          <w:p w:rsidR="001456A7" w:rsidRPr="007924D2" w:rsidRDefault="001456A7" w:rsidP="00E42F6F">
            <w:pPr>
              <w:rPr>
                <w:rFonts w:ascii="Arial" w:hAnsi="Arial" w:cs="Arial"/>
                <w:color w:val="FFFFFF" w:themeColor="background1"/>
                <w:sz w:val="18"/>
                <w:szCs w:val="18"/>
              </w:rPr>
            </w:pPr>
            <w:r>
              <w:rPr>
                <w:rFonts w:ascii="Arial" w:hAnsi="Arial" w:cs="Arial"/>
                <w:b/>
                <w:bCs/>
                <w:sz w:val="20"/>
                <w:szCs w:val="18"/>
              </w:rPr>
              <w:t>5. MANAGING UNCERTAINTIES</w:t>
            </w:r>
          </w:p>
        </w:tc>
      </w:tr>
      <w:tr w:rsidR="001456A7" w:rsidRPr="007924D2" w:rsidTr="00E42F6F">
        <w:tblPrEx>
          <w:shd w:val="clear" w:color="auto" w:fill="000000" w:themeFill="text1"/>
        </w:tblPrEx>
        <w:trPr>
          <w:trHeight w:val="119"/>
        </w:trPr>
        <w:tc>
          <w:tcPr>
            <w:tcW w:w="7088" w:type="dxa"/>
            <w:shd w:val="clear" w:color="auto" w:fill="auto"/>
            <w:noWrap/>
            <w:vAlign w:val="bottom"/>
          </w:tcPr>
          <w:p w:rsidR="001456A7" w:rsidRPr="007924D2" w:rsidRDefault="001456A7" w:rsidP="00E42F6F">
            <w:pPr>
              <w:rPr>
                <w:rFonts w:ascii="Arial" w:hAnsi="Arial" w:cs="Arial"/>
                <w:b/>
                <w:bCs/>
                <w:color w:val="FFFFFF" w:themeColor="background1"/>
                <w:sz w:val="8"/>
                <w:szCs w:val="18"/>
              </w:rPr>
            </w:pPr>
          </w:p>
        </w:tc>
      </w:tr>
      <w:tr w:rsidR="001456A7" w:rsidRPr="000F6CA6" w:rsidTr="00E42F6F">
        <w:tblPrEx>
          <w:shd w:val="clear" w:color="auto" w:fill="000000" w:themeFill="text1"/>
        </w:tblPrEx>
        <w:trPr>
          <w:trHeight w:val="267"/>
        </w:trPr>
        <w:tc>
          <w:tcPr>
            <w:tcW w:w="7088" w:type="dxa"/>
            <w:shd w:val="clear" w:color="auto" w:fill="000000" w:themeFill="text1"/>
            <w:noWrap/>
            <w:vAlign w:val="bottom"/>
            <w:hideMark/>
          </w:tcPr>
          <w:p w:rsidR="001456A7" w:rsidRPr="007924D2" w:rsidRDefault="001456A7" w:rsidP="00E42F6F">
            <w:pPr>
              <w:rPr>
                <w:rFonts w:ascii="Arial" w:hAnsi="Arial" w:cs="Arial"/>
                <w:b/>
                <w:bCs/>
                <w:color w:val="FFFFFF" w:themeColor="background1"/>
                <w:sz w:val="18"/>
                <w:szCs w:val="18"/>
              </w:rPr>
            </w:pPr>
            <w:r>
              <w:rPr>
                <w:rFonts w:ascii="Arial" w:hAnsi="Arial" w:cs="Arial"/>
                <w:b/>
                <w:bCs/>
                <w:color w:val="FFFFFF" w:themeColor="background1"/>
                <w:sz w:val="18"/>
                <w:szCs w:val="18"/>
              </w:rPr>
              <w:t>5.1: Financial Instruments</w:t>
            </w:r>
          </w:p>
        </w:tc>
      </w:tr>
    </w:tbl>
    <w:p w:rsidR="001456A7" w:rsidRDefault="001456A7" w:rsidP="001456A7">
      <w:r w:rsidRPr="00515596">
        <w:rPr>
          <w:b/>
          <w:noProof/>
          <w:sz w:val="18"/>
        </w:rPr>
        <mc:AlternateContent>
          <mc:Choice Requires="wps">
            <w:drawing>
              <wp:anchor distT="0" distB="0" distL="114300" distR="114300" simplePos="0" relativeHeight="251664384" behindDoc="0" locked="0" layoutInCell="1" allowOverlap="1" wp14:anchorId="2694B9CE" wp14:editId="32A8E882">
                <wp:simplePos x="0" y="0"/>
                <wp:positionH relativeFrom="column">
                  <wp:posOffset>46990</wp:posOffset>
                </wp:positionH>
                <wp:positionV relativeFrom="paragraph">
                  <wp:posOffset>2385695</wp:posOffset>
                </wp:positionV>
                <wp:extent cx="4514850" cy="1569720"/>
                <wp:effectExtent l="0" t="0" r="19050" b="11430"/>
                <wp:wrapNone/>
                <wp:docPr id="12" name="Rectangle 12"/>
                <wp:cNvGraphicFramePr/>
                <a:graphic xmlns:a="http://schemas.openxmlformats.org/drawingml/2006/main">
                  <a:graphicData uri="http://schemas.microsoft.com/office/word/2010/wordprocessingShape">
                    <wps:wsp>
                      <wps:cNvSpPr/>
                      <wps:spPr>
                        <a:xfrm>
                          <a:off x="0" y="0"/>
                          <a:ext cx="4514850" cy="1569720"/>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9A" w:rsidRDefault="00FB069A" w:rsidP="00145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3.7pt;margin-top:187.85pt;width:355.5pt;height:1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FXrQIAAMYFAAAOAAAAZHJzL2Uyb0RvYy54bWysVFFv2yAQfp+0/4B4Xx1nSdZGdaqoVadJ&#10;XRu1nfpMMMSWgGNAYme/fgd23LSL9jDtxQbu7vu4j7u7vGq1IjvhfA2moPnZiBJhOJS12RT0x/Pt&#10;p3NKfGCmZAqMKOheeHq1+PjhsrFzMYYKVCkcQRDj540taBWCnWeZ55XQzJ+BFQaNEpxmAbduk5WO&#10;NYiuVTYejWZZA660DrjwHk9vOiNdJHwpBQ8PUnoRiCoo3i2kr0vfdfxmi0s23zhmq5r312D/cAvN&#10;aoOkA9QNC4xsXf0HlK65Aw8ynHHQGUhZc5FywGzy0btsnipmRcoFxfF2kMn/P1h+v1s5Upf4dmNK&#10;DNP4Ro+oGjMbJQieoUCN9XP0e7Ir1+88LmO2rXQ6/jEP0iZR94Ooog2E4+Fkmk/Op6g9R1s+nV18&#10;GSfZs9dw63z4KkCTuCioQ/4kJtvd+YCU6HpwiWwGbmul0sspQ5qCzj4jfrR4UHUZjWkTa0hcK0d2&#10;DF9/vcmTj9rq71B2Z7PpaHS4TCq56J74jpCQXRk8jDJ0iadV2CsRaZR5FBIVxFTH3SXe8jLOhQkd&#10;t69YKTrqyHyaOgFGZImJDNg9wGnsTqPeP4aKVPpDcK/O34KHiMQMJgzBujbgTmWmMKueufM/iNRJ&#10;E1UK7bpN1TUU0hrKPVacg64VveW3Nb76HfNhxRz2HlYKzpPwgB+pAF8X+hUlFbhfp86jP7YEWilp&#10;sJcL6n9umROUqG8Gm+Uin0xi86fNZBoLkLhjy/rYYrb6GrBgcpxclqdl9A/qsJQO9AuOnWVkRRMz&#10;HLkLyoM7bK5DN2NwcHGxXCY3bHjLwp15sjyCR51jVT+3L8zZvvQDds09HPqezd91QOcbIw0stwFk&#10;ndojKt3p2r8ADotUxf1gi9PoeJ+8Xsfv4jcAAAD//wMAUEsDBBQABgAIAAAAIQB4aEV94AAAAAkB&#10;AAAPAAAAZHJzL2Rvd25yZXYueG1sTI/BTsMwEETvSPyDtUjcqJNAmxLiVAWJCokDauiBo5sscVR7&#10;HWK3DX/PcoLj7Ixm3paryVlxwjH0nhSkswQEUuPbnjoFu/fnmyWIEDW12npCBd8YYFVdXpS6aP2Z&#10;tniqYye4hEKhFZgYh0LK0Bh0Osz8gMTepx+djizHTrajPnO5szJLkoV0uideMHrAJ4PNoT46BZvd&#10;vH5Zp5mVZvOB2y+Sr4+HN6Wur6b1A4iIU/wLwy8+o0PFTHt/pDYIqyC/46CC23yeg2A/T5d82StY&#10;ZNk9yKqU/z+ofgAAAP//AwBQSwECLQAUAAYACAAAACEAtoM4kv4AAADhAQAAEwAAAAAAAAAAAAAA&#10;AAAAAAAAW0NvbnRlbnRfVHlwZXNdLnhtbFBLAQItABQABgAIAAAAIQA4/SH/1gAAAJQBAAALAAAA&#10;AAAAAAAAAAAAAC8BAABfcmVscy8ucmVsc1BLAQItABQABgAIAAAAIQBpm5FXrQIAAMYFAAAOAAAA&#10;AAAAAAAAAAAAAC4CAABkcnMvZTJvRG9jLnhtbFBLAQItABQABgAIAAAAIQB4aEV94AAAAAkBAAAP&#10;AAAAAAAAAAAAAAAAAAcFAABkcnMvZG93bnJldi54bWxQSwUGAAAAAAQABADzAAAAFAYAAAAA&#10;" filled="f" strokecolor="#a5a5a5 [2092]" strokeweight=".5pt">
                <v:textbox>
                  <w:txbxContent>
                    <w:p w:rsidR="00FB069A" w:rsidRDefault="00FB069A" w:rsidP="001456A7">
                      <w:pPr>
                        <w:jc w:val="center"/>
                      </w:pPr>
                    </w:p>
                  </w:txbxContent>
                </v:textbox>
              </v:rect>
            </w:pict>
          </mc:Fallback>
        </mc:AlternateContent>
      </w:r>
      <w:r>
        <w:rPr>
          <w:noProof/>
        </w:rPr>
        <w:drawing>
          <wp:inline distT="0" distB="0" distL="0" distR="0" wp14:anchorId="14EC8072" wp14:editId="50085840">
            <wp:extent cx="4505325" cy="2409825"/>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05325" cy="2409825"/>
                    </a:xfrm>
                    <a:prstGeom prst="rect">
                      <a:avLst/>
                    </a:prstGeom>
                    <a:noFill/>
                    <a:ln>
                      <a:noFill/>
                    </a:ln>
                  </pic:spPr>
                </pic:pic>
              </a:graphicData>
            </a:graphic>
          </wp:inline>
        </w:drawing>
      </w:r>
    </w:p>
    <w:p w:rsidR="001456A7" w:rsidRPr="00515596" w:rsidRDefault="001456A7" w:rsidP="001456A7">
      <w:pPr>
        <w:ind w:left="142"/>
        <w:rPr>
          <w:b/>
          <w:sz w:val="14"/>
        </w:rPr>
      </w:pPr>
      <w:r w:rsidRPr="00515596">
        <w:rPr>
          <w:b/>
          <w:sz w:val="14"/>
        </w:rPr>
        <w:t>Accounting Policy</w:t>
      </w:r>
    </w:p>
    <w:p w:rsidR="001456A7" w:rsidRPr="00515596" w:rsidRDefault="001456A7" w:rsidP="001456A7">
      <w:pPr>
        <w:spacing w:before="60"/>
        <w:ind w:left="142"/>
        <w:rPr>
          <w:b/>
          <w:i/>
          <w:sz w:val="14"/>
        </w:rPr>
      </w:pPr>
      <w:r w:rsidRPr="00515596">
        <w:rPr>
          <w:b/>
          <w:i/>
          <w:sz w:val="14"/>
        </w:rPr>
        <w:t>Financial assets</w:t>
      </w:r>
    </w:p>
    <w:p w:rsidR="001456A7" w:rsidRPr="00515596" w:rsidRDefault="001456A7" w:rsidP="001456A7">
      <w:pPr>
        <w:ind w:left="142"/>
        <w:rPr>
          <w:sz w:val="14"/>
        </w:rPr>
      </w:pPr>
      <w:r w:rsidRPr="00515596">
        <w:rPr>
          <w:sz w:val="14"/>
        </w:rPr>
        <w:t>Trade receivables and other receivables are classified as ‘loans and receivables’ and are recorded at face value less any impairment. Trade receivables are recognised when OPC becomes party to a contract and has a legal right to receive cash.  Trade receivables are derecognised on payment.</w:t>
      </w:r>
    </w:p>
    <w:p w:rsidR="001456A7" w:rsidRPr="00515596" w:rsidRDefault="001456A7" w:rsidP="001456A7">
      <w:pPr>
        <w:spacing w:before="60"/>
        <w:ind w:left="142"/>
        <w:rPr>
          <w:sz w:val="14"/>
        </w:rPr>
      </w:pPr>
      <w:r w:rsidRPr="00515596">
        <w:rPr>
          <w:sz w:val="14"/>
        </w:rPr>
        <w:t>Loans and receivables are assessed for impairment at the end of each reporting period. Allowances are made when collectability of the debt is no longer probable.</w:t>
      </w:r>
    </w:p>
    <w:p w:rsidR="001456A7" w:rsidRPr="00515596" w:rsidRDefault="001456A7" w:rsidP="001456A7">
      <w:pPr>
        <w:spacing w:before="60"/>
        <w:ind w:left="142"/>
        <w:rPr>
          <w:b/>
          <w:i/>
          <w:sz w:val="14"/>
        </w:rPr>
      </w:pPr>
      <w:r w:rsidRPr="00515596">
        <w:rPr>
          <w:b/>
          <w:i/>
          <w:sz w:val="14"/>
        </w:rPr>
        <w:t>Financial Liabilities</w:t>
      </w:r>
    </w:p>
    <w:p w:rsidR="001456A7" w:rsidRPr="00515596" w:rsidRDefault="001456A7" w:rsidP="001456A7">
      <w:pPr>
        <w:ind w:left="142"/>
        <w:rPr>
          <w:sz w:val="14"/>
        </w:rPr>
      </w:pPr>
      <w:r w:rsidRPr="00515596">
        <w:rPr>
          <w:sz w:val="14"/>
        </w:rPr>
        <w:t>Supplier and other payables are recognised at amortised cost.  Liabilities are recognised to the extent that the goods or services have been received (and irrespective of having been invoiced). Supplier and other payables are derecognised on payment.</w:t>
      </w:r>
    </w:p>
    <w:p w:rsidR="001456A7" w:rsidRPr="001456A7" w:rsidRDefault="001456A7" w:rsidP="001456A7">
      <w:pPr>
        <w:spacing w:before="60"/>
        <w:ind w:left="142"/>
        <w:rPr>
          <w:sz w:val="14"/>
        </w:rPr>
      </w:pPr>
      <w:r w:rsidRPr="00515596">
        <w:rPr>
          <w:sz w:val="14"/>
        </w:rPr>
        <w:t>The net fair values of the financial assets and liabilities are at their carrying amounts. OPC derived no interest income from financial assets in either the current or prior year.</w:t>
      </w:r>
    </w:p>
    <w:p w:rsidR="001456A7" w:rsidRDefault="001456A7" w:rsidP="00B549EB">
      <w:pPr>
        <w:ind w:left="142"/>
      </w:pPr>
      <w:r>
        <w:br w:type="page"/>
      </w:r>
    </w:p>
    <w:tbl>
      <w:tblPr>
        <w:tblW w:w="7088" w:type="dxa"/>
        <w:tblInd w:w="108" w:type="dxa"/>
        <w:shd w:val="clear" w:color="auto" w:fill="000000" w:themeFill="text1"/>
        <w:tblLook w:val="04A0" w:firstRow="1" w:lastRow="0" w:firstColumn="1" w:lastColumn="0" w:noHBand="0" w:noVBand="1"/>
      </w:tblPr>
      <w:tblGrid>
        <w:gridCol w:w="7088"/>
      </w:tblGrid>
      <w:tr w:rsidR="001456A7" w:rsidRPr="000F6CA6" w:rsidTr="00E42F6F">
        <w:trPr>
          <w:trHeight w:val="267"/>
        </w:trPr>
        <w:tc>
          <w:tcPr>
            <w:tcW w:w="7088" w:type="dxa"/>
            <w:shd w:val="clear" w:color="auto" w:fill="000000" w:themeFill="text1"/>
            <w:noWrap/>
            <w:vAlign w:val="bottom"/>
            <w:hideMark/>
          </w:tcPr>
          <w:p w:rsidR="001456A7" w:rsidRPr="007924D2" w:rsidRDefault="001456A7" w:rsidP="00E42F6F">
            <w:pPr>
              <w:ind w:right="-250"/>
              <w:rPr>
                <w:rFonts w:ascii="Arial" w:hAnsi="Arial" w:cs="Arial"/>
                <w:b/>
                <w:bCs/>
                <w:color w:val="FFFFFF" w:themeColor="background1"/>
                <w:sz w:val="18"/>
                <w:szCs w:val="18"/>
              </w:rPr>
            </w:pPr>
            <w:r>
              <w:rPr>
                <w:rFonts w:ascii="Arial" w:hAnsi="Arial" w:cs="Arial"/>
                <w:b/>
                <w:bCs/>
                <w:color w:val="FFFFFF" w:themeColor="background1"/>
                <w:sz w:val="18"/>
                <w:szCs w:val="18"/>
              </w:rPr>
              <w:t>5.1: Financial Instruments</w:t>
            </w:r>
          </w:p>
        </w:tc>
      </w:tr>
    </w:tbl>
    <w:p w:rsidR="001456A7" w:rsidRPr="00107997" w:rsidRDefault="001456A7" w:rsidP="001456A7">
      <w:pPr>
        <w:spacing w:before="120"/>
        <w:rPr>
          <w:b/>
          <w:sz w:val="18"/>
          <w:u w:val="single"/>
        </w:rPr>
      </w:pPr>
      <w:r w:rsidRPr="00107997">
        <w:rPr>
          <w:b/>
          <w:sz w:val="18"/>
          <w:u w:val="single"/>
        </w:rPr>
        <w:t>5.1B: Credit risk</w:t>
      </w:r>
    </w:p>
    <w:p w:rsidR="001456A7" w:rsidRPr="00F342D8" w:rsidRDefault="001456A7" w:rsidP="001456A7">
      <w:pPr>
        <w:spacing w:before="120"/>
        <w:rPr>
          <w:sz w:val="16"/>
        </w:rPr>
      </w:pPr>
      <w:r w:rsidRPr="00F342D8">
        <w:rPr>
          <w:sz w:val="16"/>
        </w:rPr>
        <w:t>OPC is exposed to minimal credit risk as loans and receivables are cash and trade receivables.  The maximum exposure to credit risk is the risk that arises from potential default of a debtor.  This amount is equal to the total trade receivables in 2016: $510,262 (2015: $380,708).  OPC has assessed the risk of the default on payment and has not recognised any impairment allowance for doubtful debts in 2016 (2015: $nil).</w:t>
      </w:r>
    </w:p>
    <w:p w:rsidR="001456A7" w:rsidRDefault="001456A7" w:rsidP="001456A7">
      <w:pPr>
        <w:spacing w:before="120"/>
        <w:rPr>
          <w:b/>
          <w:sz w:val="18"/>
          <w:u w:val="single"/>
        </w:rPr>
      </w:pPr>
      <w:r>
        <w:rPr>
          <w:b/>
          <w:noProof/>
          <w:sz w:val="18"/>
        </w:rPr>
        <w:drawing>
          <wp:inline distT="0" distB="0" distL="0" distR="0" wp14:anchorId="3318F2F8" wp14:editId="5F2DEAA2">
            <wp:extent cx="4486275" cy="42291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86275" cy="4229100"/>
                    </a:xfrm>
                    <a:prstGeom prst="rect">
                      <a:avLst/>
                    </a:prstGeom>
                    <a:noFill/>
                    <a:ln>
                      <a:noFill/>
                    </a:ln>
                  </pic:spPr>
                </pic:pic>
              </a:graphicData>
            </a:graphic>
          </wp:inline>
        </w:drawing>
      </w:r>
    </w:p>
    <w:p w:rsidR="001456A7" w:rsidRPr="00107997" w:rsidRDefault="001456A7" w:rsidP="001456A7">
      <w:pPr>
        <w:spacing w:before="120"/>
        <w:rPr>
          <w:b/>
          <w:sz w:val="18"/>
          <w:u w:val="single"/>
        </w:rPr>
      </w:pPr>
      <w:r w:rsidRPr="00107997">
        <w:rPr>
          <w:b/>
          <w:sz w:val="18"/>
          <w:u w:val="single"/>
        </w:rPr>
        <w:t>5.1C: Liquidity risk</w:t>
      </w:r>
    </w:p>
    <w:p w:rsidR="001456A7" w:rsidRPr="00F342D8" w:rsidRDefault="001456A7" w:rsidP="001456A7">
      <w:pPr>
        <w:spacing w:before="120"/>
        <w:rPr>
          <w:sz w:val="16"/>
        </w:rPr>
      </w:pPr>
      <w:r w:rsidRPr="00F342D8">
        <w:rPr>
          <w:sz w:val="16"/>
        </w:rPr>
        <w:t>OPC has sufficient financial assets to meet all financial liabilities at 30 June 2016.</w:t>
      </w:r>
    </w:p>
    <w:p w:rsidR="001456A7" w:rsidRDefault="001456A7" w:rsidP="00B549EB">
      <w:pPr>
        <w:ind w:left="142"/>
      </w:pPr>
    </w:p>
    <w:p w:rsidR="001456A7" w:rsidRDefault="001456A7" w:rsidP="00B549EB">
      <w:pPr>
        <w:ind w:left="142"/>
      </w:pPr>
      <w:r>
        <w:br w:type="page"/>
      </w:r>
    </w:p>
    <w:tbl>
      <w:tblPr>
        <w:tblW w:w="7088" w:type="dxa"/>
        <w:tblInd w:w="108" w:type="dxa"/>
        <w:shd w:val="clear" w:color="auto" w:fill="000000" w:themeFill="text1"/>
        <w:tblLook w:val="04A0" w:firstRow="1" w:lastRow="0" w:firstColumn="1" w:lastColumn="0" w:noHBand="0" w:noVBand="1"/>
      </w:tblPr>
      <w:tblGrid>
        <w:gridCol w:w="7088"/>
      </w:tblGrid>
      <w:tr w:rsidR="001456A7" w:rsidRPr="000F6CA6" w:rsidTr="00E42F6F">
        <w:trPr>
          <w:trHeight w:val="267"/>
        </w:trPr>
        <w:tc>
          <w:tcPr>
            <w:tcW w:w="7088" w:type="dxa"/>
            <w:shd w:val="clear" w:color="auto" w:fill="000000" w:themeFill="text1"/>
            <w:noWrap/>
            <w:vAlign w:val="bottom"/>
            <w:hideMark/>
          </w:tcPr>
          <w:p w:rsidR="001456A7" w:rsidRPr="007924D2" w:rsidRDefault="001456A7" w:rsidP="00E42F6F">
            <w:pPr>
              <w:ind w:right="-250"/>
              <w:rPr>
                <w:rFonts w:ascii="Arial" w:hAnsi="Arial" w:cs="Arial"/>
                <w:b/>
                <w:bCs/>
                <w:color w:val="FFFFFF" w:themeColor="background1"/>
                <w:sz w:val="18"/>
                <w:szCs w:val="18"/>
              </w:rPr>
            </w:pPr>
            <w:r>
              <w:rPr>
                <w:rFonts w:ascii="Arial" w:hAnsi="Arial" w:cs="Arial"/>
                <w:b/>
                <w:bCs/>
                <w:color w:val="FFFFFF" w:themeColor="background1"/>
                <w:sz w:val="18"/>
                <w:szCs w:val="18"/>
              </w:rPr>
              <w:t>5.2: Fair Value</w:t>
            </w:r>
          </w:p>
        </w:tc>
      </w:tr>
    </w:tbl>
    <w:p w:rsidR="001456A7" w:rsidRPr="00FD014D" w:rsidRDefault="001456A7" w:rsidP="001456A7">
      <w:pPr>
        <w:spacing w:before="60"/>
        <w:rPr>
          <w:sz w:val="14"/>
        </w:rPr>
      </w:pPr>
      <w:r>
        <w:rPr>
          <w:noProof/>
        </w:rPr>
        <w:drawing>
          <wp:inline distT="0" distB="0" distL="0" distR="0" wp14:anchorId="5DB0FE93" wp14:editId="6A233148">
            <wp:extent cx="4505325" cy="3305175"/>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05325" cy="3305175"/>
                    </a:xfrm>
                    <a:prstGeom prst="rect">
                      <a:avLst/>
                    </a:prstGeom>
                    <a:noFill/>
                    <a:ln>
                      <a:noFill/>
                    </a:ln>
                  </pic:spPr>
                </pic:pic>
              </a:graphicData>
            </a:graphic>
          </wp:inline>
        </w:drawing>
      </w:r>
      <w:r w:rsidRPr="00FD014D">
        <w:rPr>
          <w:sz w:val="14"/>
          <w:vertAlign w:val="superscript"/>
        </w:rPr>
        <w:t>1</w:t>
      </w:r>
      <w:r w:rsidRPr="00FD014D">
        <w:rPr>
          <w:sz w:val="14"/>
        </w:rPr>
        <w:t xml:space="preserve">OPC's assets are held for operational purposes and not held for the purposes of deriving a profit. The highest and best use of all non-financial assets </w:t>
      </w:r>
      <w:r>
        <w:rPr>
          <w:sz w:val="14"/>
        </w:rPr>
        <w:t>is</w:t>
      </w:r>
      <w:r w:rsidRPr="00FD014D">
        <w:rPr>
          <w:sz w:val="14"/>
        </w:rPr>
        <w:t xml:space="preserve"> the same as their current use.</w:t>
      </w:r>
    </w:p>
    <w:p w:rsidR="001456A7" w:rsidRPr="00FD014D" w:rsidRDefault="001456A7" w:rsidP="001456A7">
      <w:pPr>
        <w:spacing w:before="60"/>
        <w:rPr>
          <w:sz w:val="14"/>
        </w:rPr>
      </w:pPr>
      <w:r w:rsidRPr="00FD014D">
        <w:rPr>
          <w:sz w:val="14"/>
          <w:vertAlign w:val="superscript"/>
        </w:rPr>
        <w:t>2</w:t>
      </w:r>
      <w:r w:rsidRPr="00FD014D">
        <w:rPr>
          <w:sz w:val="14"/>
        </w:rPr>
        <w:t>Level 2 measurements use inputs to estimate fair value where there are observable markets other than quoted  prices in active markets for identical assets and level 3 measurements use inputs to estimate fair value where there are no observable market prices for the assets being valued.</w:t>
      </w:r>
    </w:p>
    <w:p w:rsidR="001456A7" w:rsidRDefault="001456A7" w:rsidP="001456A7">
      <w:pPr>
        <w:spacing w:before="60"/>
        <w:rPr>
          <w:sz w:val="14"/>
        </w:rPr>
      </w:pPr>
      <w:r w:rsidRPr="00FD014D">
        <w:rPr>
          <w:sz w:val="14"/>
          <w:vertAlign w:val="superscript"/>
        </w:rPr>
        <w:t>3</w:t>
      </w:r>
      <w:r w:rsidRPr="00FD014D">
        <w:rPr>
          <w:sz w:val="14"/>
        </w:rPr>
        <w:t>The future economic benefits of OPC's plant and equipment and leasehold improvements are not primarily dependent on their ability to generate cash flows. OPC has not disclosed quantitative information about the significant unobservable inputs for the level 3 measurements in these classes.</w:t>
      </w:r>
    </w:p>
    <w:p w:rsidR="001456A7" w:rsidRPr="00FD014D" w:rsidRDefault="0086642A" w:rsidP="0086642A">
      <w:pPr>
        <w:spacing w:before="60"/>
        <w:rPr>
          <w:b/>
          <w:sz w:val="14"/>
        </w:rPr>
      </w:pPr>
      <w:r w:rsidRPr="00FD014D">
        <w:rPr>
          <w:b/>
          <w:noProof/>
          <w:sz w:val="16"/>
        </w:rPr>
        <mc:AlternateContent>
          <mc:Choice Requires="wps">
            <w:drawing>
              <wp:anchor distT="0" distB="0" distL="114300" distR="114300" simplePos="0" relativeHeight="251666432" behindDoc="0" locked="0" layoutInCell="1" allowOverlap="1" wp14:anchorId="632675DD" wp14:editId="55848FE7">
                <wp:simplePos x="0" y="0"/>
                <wp:positionH relativeFrom="column">
                  <wp:posOffset>-43456</wp:posOffset>
                </wp:positionH>
                <wp:positionV relativeFrom="paragraph">
                  <wp:posOffset>31805</wp:posOffset>
                </wp:positionV>
                <wp:extent cx="4552950" cy="2297927"/>
                <wp:effectExtent l="0" t="0" r="19050" b="26670"/>
                <wp:wrapNone/>
                <wp:docPr id="74" name="Rectangle 74"/>
                <wp:cNvGraphicFramePr/>
                <a:graphic xmlns:a="http://schemas.openxmlformats.org/drawingml/2006/main">
                  <a:graphicData uri="http://schemas.microsoft.com/office/word/2010/wordprocessingShape">
                    <wps:wsp>
                      <wps:cNvSpPr/>
                      <wps:spPr>
                        <a:xfrm>
                          <a:off x="0" y="0"/>
                          <a:ext cx="4552950" cy="2297927"/>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9A" w:rsidRDefault="00FB069A" w:rsidP="00145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9" style="position:absolute;margin-left:-3.4pt;margin-top:2.5pt;width:358.5pt;height:18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lFsAIAAMYFAAAOAAAAZHJzL2Uyb0RvYy54bWysVMFu2zAMvQ/YPwi6r07cpFmMOkXQosOA&#10;ri3aDj0rspQYkEVNUmJnXz9KctysC3YYdrFFkXwkn0heXnWNIjthXQ26pOOzESVCc6hqvS7p95fb&#10;T58pcZ7piinQoqR74ejV4uOHy9YUIocNqEpYgiDaFa0p6cZ7U2SZ4xvRMHcGRmhUSrAN8yjadVZZ&#10;1iJ6o7J8NLrIWrCVscCFc3h7k5R0EfGlFNw/SOmEJ6qkmJuPXxu/q/DNFpesWFtmNjXv02D/kEXD&#10;ao1BB6gb5hnZ2voPqKbmFhxIf8ahyUDKmotYA1YzHr2r5nnDjIi1IDnODDS5/wfL73ePltRVSWcT&#10;SjRr8I2ekDWm10oQvEOCWuMKtHs2j7aXHB5DtZ20TfhjHaSLpO4HUkXnCcfLyXSaz6fIPUddns9n&#10;83wWULM3d2Od/yKgIeFQUovxI5lsd+d8Mj2YhGgabmul8J4VSpO2pBfniB9EB6qugjIKoYfEtbJk&#10;x/D1V+txtFHb5htU6e5iOhrFHsBkYssF85jaERLqlMbLQEMqPJ78XomUwpOQyCCWmqckfo/LOBfa&#10;p9huwyqRQofIp0MrjYABWWIhA3YPcBo7cdTbB1cRW39w7tn5m/PgESOD9oNzU2uwpypTWFUfOdkf&#10;SErUBJZ8t+pid50fGmkF1R47zkIaRWf4bY2vfsecf2QWZw87BfeJf8CPVICvC/2Jkg3Yn6fugz2O&#10;BGopaXGWS+p+bJkVlKivGodlPp5MwvBHYTKd5SjYY83qWKO3zTVgw4xxcxkej8Heq8NRWmhece0s&#10;Q1RUMc0xdkm5twfh2qcdg4uLi+UymuHAG+bv9LPhATzwHLr6pXtl1vSt73Fq7uEw96x4NwHJNnhq&#10;WG49yDqOR2A68dq/AC6L2MX9Ygvb6FiOVm/rd/ELAAD//wMAUEsDBBQABgAIAAAAIQDMXulu3wAA&#10;AAgBAAAPAAAAZHJzL2Rvd25yZXYueG1sTI/BTsMwEETvSPyDtUjcWidBDSXEqQoSFRIH1NBDj268&#10;xFHjdYjdNvw9ywmOoxnNvClXk+vFGcfQeVKQzhMQSI03HbUKdh8vsyWIEDUZ3XtCBd8YYFVdX5W6&#10;MP5CWzzXsRVcQqHQCmyMQyFlaCw6HeZ+QGLv049OR5ZjK82oL1zuepklSS6d7ogXrB7w2WJzrE9O&#10;wWa3qF/XadZLu9nj9ovk29PxXanbm2n9CCLiFP/C8IvP6FAx08GfyATRK5jlTB4VLPgR2/dpkoE4&#10;KLjL8weQVSn/H6h+AAAA//8DAFBLAQItABQABgAIAAAAIQC2gziS/gAAAOEBAAATAAAAAAAAAAAA&#10;AAAAAAAAAABbQ29udGVudF9UeXBlc10ueG1sUEsBAi0AFAAGAAgAAAAhADj9If/WAAAAlAEAAAsA&#10;AAAAAAAAAAAAAAAALwEAAF9yZWxzLy5yZWxzUEsBAi0AFAAGAAgAAAAhAMwV+UWwAgAAxgUAAA4A&#10;AAAAAAAAAAAAAAAALgIAAGRycy9lMm9Eb2MueG1sUEsBAi0AFAAGAAgAAAAhAMxe6W7fAAAACAEA&#10;AA8AAAAAAAAAAAAAAAAACgUAAGRycy9kb3ducmV2LnhtbFBLBQYAAAAABAAEAPMAAAAWBgAAAAA=&#10;" filled="f" strokecolor="#a5a5a5 [2092]" strokeweight=".5pt">
                <v:textbox>
                  <w:txbxContent>
                    <w:p w:rsidR="00FB069A" w:rsidRDefault="00FB069A" w:rsidP="001456A7">
                      <w:pPr>
                        <w:jc w:val="center"/>
                      </w:pPr>
                    </w:p>
                  </w:txbxContent>
                </v:textbox>
              </v:rect>
            </w:pict>
          </mc:Fallback>
        </mc:AlternateContent>
      </w:r>
      <w:r w:rsidR="001456A7" w:rsidRPr="00FD014D">
        <w:rPr>
          <w:b/>
          <w:sz w:val="14"/>
        </w:rPr>
        <w:t>Accounting Policy</w:t>
      </w:r>
    </w:p>
    <w:p w:rsidR="001456A7" w:rsidRPr="00FD014D" w:rsidRDefault="001456A7" w:rsidP="001456A7">
      <w:pPr>
        <w:spacing w:before="60"/>
        <w:rPr>
          <w:b/>
          <w:i/>
          <w:sz w:val="14"/>
        </w:rPr>
      </w:pPr>
      <w:r w:rsidRPr="00FD014D">
        <w:rPr>
          <w:b/>
          <w:i/>
          <w:sz w:val="14"/>
        </w:rPr>
        <w:t>Fair Value Measurement</w:t>
      </w:r>
    </w:p>
    <w:p w:rsidR="001456A7" w:rsidRPr="00FD014D" w:rsidRDefault="001456A7" w:rsidP="001456A7">
      <w:pPr>
        <w:spacing w:before="60"/>
        <w:rPr>
          <w:sz w:val="14"/>
        </w:rPr>
      </w:pPr>
      <w:r w:rsidRPr="00FD014D">
        <w:rPr>
          <w:sz w:val="14"/>
        </w:rPr>
        <w:t>OPC deems transfers between levels of the fair value hierarchy to have occurred at the end of each reporting period.</w:t>
      </w:r>
    </w:p>
    <w:p w:rsidR="001456A7" w:rsidRPr="00FD014D" w:rsidRDefault="001456A7" w:rsidP="001456A7">
      <w:pPr>
        <w:spacing w:before="60"/>
        <w:rPr>
          <w:b/>
          <w:i/>
          <w:sz w:val="14"/>
        </w:rPr>
      </w:pPr>
      <w:r w:rsidRPr="00FD014D">
        <w:rPr>
          <w:b/>
          <w:i/>
          <w:sz w:val="14"/>
        </w:rPr>
        <w:t>Revaluations</w:t>
      </w:r>
    </w:p>
    <w:p w:rsidR="001456A7" w:rsidRPr="00FD014D" w:rsidRDefault="001456A7" w:rsidP="001456A7">
      <w:pPr>
        <w:spacing w:before="60"/>
        <w:rPr>
          <w:sz w:val="14"/>
        </w:rPr>
      </w:pPr>
      <w:r w:rsidRPr="00FD014D">
        <w:rPr>
          <w:sz w:val="14"/>
        </w:rPr>
        <w:t xml:space="preserve">All leasehold improvements, plant and equipment are measured at fair value in the Statement of Financial Position. </w:t>
      </w:r>
    </w:p>
    <w:p w:rsidR="001456A7" w:rsidRPr="00FD014D" w:rsidRDefault="001456A7" w:rsidP="001456A7">
      <w:pPr>
        <w:spacing w:before="60"/>
        <w:rPr>
          <w:sz w:val="14"/>
        </w:rPr>
      </w:pPr>
      <w:r w:rsidRPr="00FD014D">
        <w:rPr>
          <w:sz w:val="14"/>
        </w:rPr>
        <w:t xml:space="preserve">Each year, a review of the carrying amounts of assets is conducted and presented to OPC's Senior Management Team as an "officer's valuation". Where it is considered that the carrying amount of an asset at the date of reporting would materially differ from the fair value, an independent valuation is recommended. All leasehold improvements, plant and equipment is subject to a formal valuation at least once every three years.  </w:t>
      </w:r>
    </w:p>
    <w:p w:rsidR="001456A7" w:rsidRPr="00FD014D" w:rsidRDefault="001456A7" w:rsidP="001A63DB">
      <w:pPr>
        <w:spacing w:before="40"/>
        <w:rPr>
          <w:sz w:val="14"/>
        </w:rPr>
      </w:pPr>
      <w:r>
        <w:rPr>
          <w:sz w:val="14"/>
        </w:rPr>
        <w:t xml:space="preserve">An </w:t>
      </w:r>
      <w:r w:rsidRPr="00FD014D">
        <w:rPr>
          <w:sz w:val="14"/>
        </w:rPr>
        <w:t>officer's valuation' was undertaken in 2015-16.  An independent valuation was undertaken in 2014-15 by Australian Valuation Solutions.</w:t>
      </w:r>
    </w:p>
    <w:p w:rsidR="001456A7" w:rsidRPr="00FD014D" w:rsidRDefault="001456A7" w:rsidP="001456A7">
      <w:pPr>
        <w:spacing w:before="60"/>
        <w:rPr>
          <w:sz w:val="14"/>
        </w:rPr>
      </w:pPr>
      <w:r w:rsidRPr="00FD014D">
        <w:rPr>
          <w:sz w:val="14"/>
        </w:rPr>
        <w:t>Revaluation adjustments are made on a class basis.  Any revaluation increment is credited to equity under the heading of asset revaluation reserve except to the extent that it reverses a previous revaluation decrement of the same asset class that was previously recognised through operating result.  Revaluation decrements for a class of assets are recognised directly through operating result except to the extent that they reverse a previous revaluation increment for that class.</w:t>
      </w:r>
    </w:p>
    <w:p w:rsidR="0086642A" w:rsidRDefault="001456A7" w:rsidP="0086642A">
      <w:pPr>
        <w:spacing w:before="40"/>
        <w:rPr>
          <w:sz w:val="14"/>
        </w:rPr>
      </w:pPr>
      <w:r w:rsidRPr="00FD014D">
        <w:rPr>
          <w:sz w:val="14"/>
        </w:rPr>
        <w:t>Any accumulated depreciation as at the revaluation date is eliminated against the gross carrying amount of the asset and the asset restated to the revalued amount.</w:t>
      </w:r>
      <w:r>
        <w:rPr>
          <w:sz w:val="14"/>
        </w:rPr>
        <w:t xml:space="preserve"> </w:t>
      </w:r>
    </w:p>
    <w:p w:rsidR="00B77A79" w:rsidRDefault="001456A7" w:rsidP="0086642A">
      <w:pPr>
        <w:spacing w:before="60"/>
        <w:rPr>
          <w:sz w:val="14"/>
        </w:rPr>
      </w:pPr>
      <w:r w:rsidRPr="00FD014D">
        <w:rPr>
          <w:sz w:val="14"/>
        </w:rPr>
        <w:t>A reconciliation of movements and impact of the valuation on leasehold improvements and plant and equipment has been included in Note 2.2.</w:t>
      </w:r>
      <w:r w:rsidR="00B77A79">
        <w:rPr>
          <w:sz w:val="14"/>
        </w:rPr>
        <w:br w:type="page"/>
      </w:r>
    </w:p>
    <w:p w:rsidR="001456A7" w:rsidRDefault="001456A7" w:rsidP="001456A7">
      <w:pPr>
        <w:spacing w:before="60"/>
      </w:pPr>
    </w:p>
    <w:tbl>
      <w:tblPr>
        <w:tblW w:w="7088" w:type="dxa"/>
        <w:tblInd w:w="108" w:type="dxa"/>
        <w:shd w:val="clear" w:color="auto" w:fill="000000" w:themeFill="text1"/>
        <w:tblLook w:val="04A0" w:firstRow="1" w:lastRow="0" w:firstColumn="1" w:lastColumn="0" w:noHBand="0" w:noVBand="1"/>
      </w:tblPr>
      <w:tblGrid>
        <w:gridCol w:w="7088"/>
      </w:tblGrid>
      <w:tr w:rsidR="001456A7" w:rsidRPr="000F6CA6" w:rsidTr="00E42F6F">
        <w:trPr>
          <w:trHeight w:val="267"/>
        </w:trPr>
        <w:tc>
          <w:tcPr>
            <w:tcW w:w="7088" w:type="dxa"/>
            <w:shd w:val="clear" w:color="auto" w:fill="000000" w:themeFill="text1"/>
            <w:noWrap/>
            <w:vAlign w:val="bottom"/>
            <w:hideMark/>
          </w:tcPr>
          <w:p w:rsidR="001456A7" w:rsidRPr="007924D2" w:rsidRDefault="001456A7" w:rsidP="00E42F6F">
            <w:pPr>
              <w:ind w:right="-250"/>
              <w:rPr>
                <w:rFonts w:ascii="Arial" w:hAnsi="Arial" w:cs="Arial"/>
                <w:b/>
                <w:bCs/>
                <w:color w:val="FFFFFF" w:themeColor="background1"/>
                <w:sz w:val="18"/>
                <w:szCs w:val="18"/>
              </w:rPr>
            </w:pPr>
            <w:r>
              <w:rPr>
                <w:rFonts w:ascii="Arial" w:hAnsi="Arial" w:cs="Arial"/>
                <w:b/>
                <w:bCs/>
                <w:color w:val="FFFFFF" w:themeColor="background1"/>
                <w:sz w:val="18"/>
                <w:szCs w:val="18"/>
              </w:rPr>
              <w:t>5.2: Fair Value</w:t>
            </w:r>
          </w:p>
        </w:tc>
      </w:tr>
    </w:tbl>
    <w:p w:rsidR="001456A7" w:rsidRDefault="001456A7" w:rsidP="001456A7">
      <w:r>
        <w:rPr>
          <w:noProof/>
        </w:rPr>
        <w:drawing>
          <wp:inline distT="0" distB="0" distL="0" distR="0" wp14:anchorId="66FED416" wp14:editId="591B49D3">
            <wp:extent cx="4495800" cy="24860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95800" cy="2486025"/>
                    </a:xfrm>
                    <a:prstGeom prst="rect">
                      <a:avLst/>
                    </a:prstGeom>
                    <a:noFill/>
                    <a:ln>
                      <a:noFill/>
                    </a:ln>
                  </pic:spPr>
                </pic:pic>
              </a:graphicData>
            </a:graphic>
          </wp:inline>
        </w:drawing>
      </w:r>
    </w:p>
    <w:p w:rsidR="001456A7" w:rsidRPr="00FD014D" w:rsidRDefault="001456A7" w:rsidP="001456A7">
      <w:pPr>
        <w:rPr>
          <w:sz w:val="16"/>
        </w:rPr>
      </w:pPr>
      <w:r w:rsidRPr="00FD014D">
        <w:rPr>
          <w:sz w:val="16"/>
          <w:vertAlign w:val="superscript"/>
        </w:rPr>
        <w:t>1</w:t>
      </w:r>
      <w:r w:rsidRPr="00FD014D">
        <w:rPr>
          <w:sz w:val="16"/>
        </w:rPr>
        <w:t>These losses are presented in the Statement of Comprehensive Income under depreciation, write-down and impairment of assets.</w:t>
      </w:r>
    </w:p>
    <w:p w:rsidR="001456A7" w:rsidRPr="00FD014D" w:rsidRDefault="001456A7" w:rsidP="001456A7">
      <w:pPr>
        <w:spacing w:before="60"/>
        <w:rPr>
          <w:sz w:val="16"/>
        </w:rPr>
      </w:pPr>
      <w:r w:rsidRPr="00FD014D">
        <w:rPr>
          <w:sz w:val="16"/>
          <w:vertAlign w:val="superscript"/>
        </w:rPr>
        <w:t>2</w:t>
      </w:r>
      <w:r w:rsidRPr="00FD014D">
        <w:rPr>
          <w:sz w:val="16"/>
        </w:rPr>
        <w:t>These gains/(losses) are presented in the Statement of Comprehensive Income under changes in asset revaluation surplus.</w:t>
      </w:r>
    </w:p>
    <w:p w:rsidR="001456A7" w:rsidRDefault="001456A7" w:rsidP="00B549EB">
      <w:pPr>
        <w:ind w:left="142"/>
      </w:pPr>
    </w:p>
    <w:p w:rsidR="001456A7" w:rsidRDefault="001456A7" w:rsidP="00B549EB">
      <w:pPr>
        <w:ind w:left="142"/>
      </w:pPr>
      <w:r>
        <w:br w:type="page"/>
      </w:r>
    </w:p>
    <w:tbl>
      <w:tblPr>
        <w:tblW w:w="7088" w:type="dxa"/>
        <w:tblInd w:w="108" w:type="dxa"/>
        <w:tblLook w:val="04A0" w:firstRow="1" w:lastRow="0" w:firstColumn="1" w:lastColumn="0" w:noHBand="0" w:noVBand="1"/>
      </w:tblPr>
      <w:tblGrid>
        <w:gridCol w:w="7088"/>
      </w:tblGrid>
      <w:tr w:rsidR="001456A7" w:rsidRPr="002942BC" w:rsidTr="00E42F6F">
        <w:trPr>
          <w:trHeight w:val="267"/>
        </w:trPr>
        <w:tc>
          <w:tcPr>
            <w:tcW w:w="7088" w:type="dxa"/>
            <w:shd w:val="clear" w:color="auto" w:fill="A6A6A6" w:themeFill="background1" w:themeFillShade="A6"/>
            <w:noWrap/>
            <w:vAlign w:val="bottom"/>
            <w:hideMark/>
          </w:tcPr>
          <w:p w:rsidR="001456A7" w:rsidRPr="007924D2" w:rsidRDefault="001456A7" w:rsidP="00E42F6F">
            <w:pPr>
              <w:rPr>
                <w:rFonts w:ascii="Arial" w:hAnsi="Arial" w:cs="Arial"/>
                <w:color w:val="FFFFFF" w:themeColor="background1"/>
                <w:sz w:val="18"/>
                <w:szCs w:val="18"/>
              </w:rPr>
            </w:pPr>
            <w:r>
              <w:rPr>
                <w:rFonts w:ascii="Arial" w:hAnsi="Arial" w:cs="Arial"/>
                <w:b/>
                <w:bCs/>
                <w:sz w:val="20"/>
                <w:szCs w:val="18"/>
              </w:rPr>
              <w:t>6. OTHER INFORMATION</w:t>
            </w:r>
          </w:p>
        </w:tc>
      </w:tr>
      <w:tr w:rsidR="001456A7" w:rsidRPr="007924D2" w:rsidTr="00E42F6F">
        <w:tblPrEx>
          <w:shd w:val="clear" w:color="auto" w:fill="000000" w:themeFill="text1"/>
        </w:tblPrEx>
        <w:trPr>
          <w:trHeight w:val="119"/>
        </w:trPr>
        <w:tc>
          <w:tcPr>
            <w:tcW w:w="7088" w:type="dxa"/>
            <w:shd w:val="clear" w:color="auto" w:fill="auto"/>
            <w:noWrap/>
            <w:vAlign w:val="bottom"/>
          </w:tcPr>
          <w:p w:rsidR="001456A7" w:rsidRPr="007924D2" w:rsidRDefault="001456A7" w:rsidP="00E42F6F">
            <w:pPr>
              <w:rPr>
                <w:rFonts w:ascii="Arial" w:hAnsi="Arial" w:cs="Arial"/>
                <w:b/>
                <w:bCs/>
                <w:color w:val="FFFFFF" w:themeColor="background1"/>
                <w:sz w:val="8"/>
                <w:szCs w:val="18"/>
              </w:rPr>
            </w:pPr>
          </w:p>
        </w:tc>
      </w:tr>
      <w:tr w:rsidR="001456A7" w:rsidRPr="000F6CA6" w:rsidTr="00E42F6F">
        <w:tblPrEx>
          <w:shd w:val="clear" w:color="auto" w:fill="000000" w:themeFill="text1"/>
        </w:tblPrEx>
        <w:trPr>
          <w:trHeight w:val="267"/>
        </w:trPr>
        <w:tc>
          <w:tcPr>
            <w:tcW w:w="7088" w:type="dxa"/>
            <w:shd w:val="clear" w:color="auto" w:fill="000000" w:themeFill="text1"/>
            <w:noWrap/>
            <w:vAlign w:val="bottom"/>
            <w:hideMark/>
          </w:tcPr>
          <w:p w:rsidR="001456A7" w:rsidRPr="007924D2" w:rsidRDefault="001456A7" w:rsidP="00E42F6F">
            <w:pPr>
              <w:rPr>
                <w:rFonts w:ascii="Arial" w:hAnsi="Arial" w:cs="Arial"/>
                <w:b/>
                <w:bCs/>
                <w:color w:val="FFFFFF" w:themeColor="background1"/>
                <w:sz w:val="18"/>
                <w:szCs w:val="18"/>
              </w:rPr>
            </w:pPr>
            <w:r>
              <w:rPr>
                <w:rFonts w:ascii="Arial" w:hAnsi="Arial" w:cs="Arial"/>
                <w:b/>
                <w:bCs/>
                <w:color w:val="FFFFFF" w:themeColor="background1"/>
                <w:sz w:val="18"/>
                <w:szCs w:val="18"/>
              </w:rPr>
              <w:t>6.1: Reporting of Outcomes</w:t>
            </w:r>
          </w:p>
        </w:tc>
      </w:tr>
    </w:tbl>
    <w:p w:rsidR="001456A7" w:rsidRDefault="001456A7" w:rsidP="001456A7"/>
    <w:p w:rsidR="001456A7" w:rsidRDefault="001456A7" w:rsidP="001456A7">
      <w:r>
        <w:rPr>
          <w:noProof/>
        </w:rPr>
        <w:drawing>
          <wp:inline distT="0" distB="0" distL="0" distR="0">
            <wp:extent cx="4476750" cy="2114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76750" cy="2114550"/>
                    </a:xfrm>
                    <a:prstGeom prst="rect">
                      <a:avLst/>
                    </a:prstGeom>
                    <a:noFill/>
                    <a:ln>
                      <a:noFill/>
                    </a:ln>
                  </pic:spPr>
                </pic:pic>
              </a:graphicData>
            </a:graphic>
          </wp:inline>
        </w:drawing>
      </w:r>
    </w:p>
    <w:p w:rsidR="001456A7" w:rsidRPr="00FD014D" w:rsidRDefault="001456A7" w:rsidP="001456A7">
      <w:pPr>
        <w:spacing w:before="120"/>
        <w:rPr>
          <w:sz w:val="16"/>
        </w:rPr>
      </w:pPr>
      <w:r w:rsidRPr="00FD014D">
        <w:rPr>
          <w:sz w:val="16"/>
        </w:rPr>
        <w:t xml:space="preserve">Outcome 1 is described in the Overview. Net costs shown include intra-government costs that are eliminated in calculating the actual Budget Outcome. </w:t>
      </w:r>
    </w:p>
    <w:p w:rsidR="00B549EB" w:rsidRDefault="00B549EB" w:rsidP="00B549EB">
      <w:pPr>
        <w:ind w:left="142"/>
      </w:pPr>
    </w:p>
    <w:p w:rsidR="000C5713" w:rsidRDefault="000C5713" w:rsidP="00DC7B00">
      <w:pPr>
        <w:spacing w:before="120"/>
        <w:rPr>
          <w:rFonts w:ascii="Arial" w:hAnsi="Arial" w:cs="Arial"/>
          <w:sz w:val="16"/>
          <w:szCs w:val="16"/>
        </w:rPr>
      </w:pPr>
    </w:p>
    <w:p w:rsidR="00280743" w:rsidRDefault="00280743" w:rsidP="00DC7B00">
      <w:pPr>
        <w:spacing w:before="120"/>
        <w:rPr>
          <w:rFonts w:ascii="Arial" w:hAnsi="Arial" w:cs="Arial"/>
          <w:sz w:val="16"/>
          <w:szCs w:val="16"/>
        </w:rPr>
        <w:sectPr w:rsidR="00280743" w:rsidSect="00D56569">
          <w:footerReference w:type="even" r:id="rId137"/>
          <w:footerReference w:type="default" r:id="rId138"/>
          <w:pgSz w:w="11907" w:h="16839" w:code="9"/>
          <w:pgMar w:top="1134" w:right="2410" w:bottom="4253" w:left="2410" w:header="510" w:footer="3402" w:gutter="0"/>
          <w:cols w:space="709"/>
          <w:docGrid w:linePitch="326"/>
        </w:sectPr>
      </w:pPr>
    </w:p>
    <w:p w:rsidR="000C5713" w:rsidRPr="009E198C" w:rsidRDefault="000C5713" w:rsidP="000C5713">
      <w:pPr>
        <w:pStyle w:val="Head2"/>
      </w:pPr>
      <w:bookmarkStart w:id="132" w:name="_Toc463613764"/>
      <w:r>
        <w:t xml:space="preserve">Appendix </w:t>
      </w:r>
      <w:r w:rsidR="001127A5">
        <w:t>E</w:t>
      </w:r>
      <w:r>
        <w:t>—List of requirements</w:t>
      </w:r>
      <w:bookmarkEnd w:id="132"/>
    </w:p>
    <w:p w:rsidR="000C5713" w:rsidRDefault="000C5713" w:rsidP="000C5713">
      <w:pPr>
        <w:rPr>
          <w:b/>
          <w:color w:val="000000"/>
        </w:rPr>
      </w:pPr>
    </w:p>
    <w:tbl>
      <w:tblPr>
        <w:tblW w:w="7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08"/>
        <w:gridCol w:w="760"/>
        <w:gridCol w:w="3351"/>
        <w:gridCol w:w="1275"/>
        <w:gridCol w:w="1134"/>
      </w:tblGrid>
      <w:tr w:rsidR="000C5713" w:rsidTr="002D48EF">
        <w:trPr>
          <w:cantSplit/>
          <w:trHeight w:val="50"/>
          <w:tblHeader/>
        </w:trPr>
        <w:tc>
          <w:tcPr>
            <w:tcW w:w="908" w:type="dxa"/>
          </w:tcPr>
          <w:p w:rsidR="000C5713" w:rsidRDefault="00087F6B" w:rsidP="007A2DEE">
            <w:pPr>
              <w:pStyle w:val="mhb1"/>
              <w:tabs>
                <w:tab w:val="clear" w:pos="567"/>
              </w:tabs>
              <w:spacing w:before="0"/>
              <w:jc w:val="center"/>
              <w:rPr>
                <w:sz w:val="16"/>
              </w:rPr>
            </w:pPr>
            <w:r>
              <w:rPr>
                <w:sz w:val="16"/>
              </w:rPr>
              <w:t>PGPA Rule Reference</w:t>
            </w:r>
          </w:p>
        </w:tc>
        <w:tc>
          <w:tcPr>
            <w:tcW w:w="760" w:type="dxa"/>
            <w:tcBorders>
              <w:bottom w:val="single" w:sz="6" w:space="0" w:color="auto"/>
            </w:tcBorders>
          </w:tcPr>
          <w:p w:rsidR="000C5713" w:rsidRDefault="000C5713" w:rsidP="007A2DEE">
            <w:pPr>
              <w:pStyle w:val="mhb1"/>
              <w:tabs>
                <w:tab w:val="clear" w:pos="567"/>
              </w:tabs>
              <w:spacing w:before="0"/>
              <w:jc w:val="center"/>
              <w:rPr>
                <w:sz w:val="20"/>
              </w:rPr>
            </w:pPr>
            <w:r>
              <w:rPr>
                <w:sz w:val="20"/>
              </w:rPr>
              <w:t>Part of Report</w:t>
            </w:r>
          </w:p>
        </w:tc>
        <w:tc>
          <w:tcPr>
            <w:tcW w:w="3351" w:type="dxa"/>
          </w:tcPr>
          <w:p w:rsidR="000C5713" w:rsidRDefault="000C5713" w:rsidP="007A2DEE">
            <w:pPr>
              <w:pStyle w:val="mhb1"/>
              <w:tabs>
                <w:tab w:val="clear" w:pos="567"/>
              </w:tabs>
              <w:spacing w:before="0"/>
              <w:rPr>
                <w:sz w:val="20"/>
              </w:rPr>
            </w:pPr>
            <w:r>
              <w:rPr>
                <w:sz w:val="20"/>
              </w:rPr>
              <w:t>Description</w:t>
            </w:r>
          </w:p>
        </w:tc>
        <w:tc>
          <w:tcPr>
            <w:tcW w:w="1275" w:type="dxa"/>
          </w:tcPr>
          <w:p w:rsidR="000C5713" w:rsidRDefault="00882701" w:rsidP="007A2DEE">
            <w:pPr>
              <w:pStyle w:val="mhb1"/>
              <w:tabs>
                <w:tab w:val="clear" w:pos="567"/>
              </w:tabs>
              <w:spacing w:before="0"/>
              <w:rPr>
                <w:sz w:val="20"/>
              </w:rPr>
            </w:pPr>
            <w:r>
              <w:rPr>
                <w:sz w:val="20"/>
              </w:rPr>
              <w:t>Require</w:t>
            </w:r>
            <w:r w:rsidR="000C5713">
              <w:rPr>
                <w:sz w:val="20"/>
              </w:rPr>
              <w:t>ment</w:t>
            </w:r>
          </w:p>
        </w:tc>
        <w:tc>
          <w:tcPr>
            <w:tcW w:w="1134" w:type="dxa"/>
          </w:tcPr>
          <w:p w:rsidR="000C5713" w:rsidRDefault="00882701" w:rsidP="00882701">
            <w:pPr>
              <w:pStyle w:val="mhb1"/>
              <w:tabs>
                <w:tab w:val="clear" w:pos="567"/>
              </w:tabs>
              <w:spacing w:before="0"/>
              <w:rPr>
                <w:sz w:val="20"/>
              </w:rPr>
            </w:pPr>
            <w:r>
              <w:rPr>
                <w:sz w:val="20"/>
              </w:rPr>
              <w:t>Loca</w:t>
            </w:r>
            <w:r w:rsidR="000C5713">
              <w:rPr>
                <w:sz w:val="20"/>
              </w:rPr>
              <w:t>tion</w:t>
            </w:r>
          </w:p>
        </w:tc>
      </w:tr>
      <w:tr w:rsidR="00087F6B" w:rsidTr="00290F08">
        <w:trPr>
          <w:cantSplit/>
          <w:trHeight w:val="50"/>
        </w:trPr>
        <w:tc>
          <w:tcPr>
            <w:tcW w:w="908" w:type="dxa"/>
            <w:vAlign w:val="center"/>
          </w:tcPr>
          <w:p w:rsidR="00087F6B" w:rsidRPr="00D65937" w:rsidRDefault="00087F6B" w:rsidP="007A2DEE">
            <w:pPr>
              <w:pStyle w:val="mhb1"/>
              <w:tabs>
                <w:tab w:val="clear" w:pos="567"/>
              </w:tabs>
              <w:spacing w:before="0"/>
              <w:jc w:val="center"/>
              <w:rPr>
                <w:sz w:val="16"/>
              </w:rPr>
            </w:pPr>
            <w:r w:rsidRPr="00D65937">
              <w:rPr>
                <w:sz w:val="16"/>
              </w:rPr>
              <w:t>17AD(g)</w:t>
            </w:r>
          </w:p>
        </w:tc>
        <w:tc>
          <w:tcPr>
            <w:tcW w:w="6520" w:type="dxa"/>
            <w:gridSpan w:val="4"/>
          </w:tcPr>
          <w:p w:rsidR="00087F6B" w:rsidRPr="00087F6B" w:rsidRDefault="00087F6B" w:rsidP="007A2DEE">
            <w:pPr>
              <w:pStyle w:val="mhb1"/>
              <w:tabs>
                <w:tab w:val="clear" w:pos="567"/>
              </w:tabs>
              <w:spacing w:before="0"/>
              <w:rPr>
                <w:sz w:val="20"/>
              </w:rPr>
            </w:pPr>
            <w:r w:rsidRPr="00087F6B">
              <w:rPr>
                <w:sz w:val="20"/>
              </w:rPr>
              <w:t>Letter of transmittal</w:t>
            </w:r>
          </w:p>
        </w:tc>
      </w:tr>
      <w:tr w:rsidR="000C5713" w:rsidTr="002D48EF">
        <w:trPr>
          <w:cantSplit/>
          <w:trHeight w:val="50"/>
        </w:trPr>
        <w:tc>
          <w:tcPr>
            <w:tcW w:w="908" w:type="dxa"/>
          </w:tcPr>
          <w:p w:rsidR="000C5713" w:rsidRDefault="00087F6B" w:rsidP="007A2DEE">
            <w:pPr>
              <w:pStyle w:val="mhb1"/>
              <w:tabs>
                <w:tab w:val="clear" w:pos="567"/>
              </w:tabs>
              <w:spacing w:before="0"/>
              <w:jc w:val="center"/>
              <w:rPr>
                <w:b w:val="0"/>
                <w:sz w:val="16"/>
              </w:rPr>
            </w:pPr>
            <w:r>
              <w:rPr>
                <w:b w:val="0"/>
                <w:sz w:val="16"/>
              </w:rPr>
              <w:t>17AI</w:t>
            </w:r>
          </w:p>
        </w:tc>
        <w:tc>
          <w:tcPr>
            <w:tcW w:w="760" w:type="dxa"/>
          </w:tcPr>
          <w:p w:rsidR="000C5713" w:rsidRDefault="000C5713" w:rsidP="007A2DEE">
            <w:pPr>
              <w:pStyle w:val="mhb1"/>
              <w:tabs>
                <w:tab w:val="clear" w:pos="567"/>
              </w:tabs>
              <w:spacing w:before="0"/>
              <w:rPr>
                <w:b w:val="0"/>
                <w:sz w:val="20"/>
              </w:rPr>
            </w:pPr>
          </w:p>
        </w:tc>
        <w:tc>
          <w:tcPr>
            <w:tcW w:w="3351" w:type="dxa"/>
          </w:tcPr>
          <w:p w:rsidR="000C5713" w:rsidRDefault="00087F6B" w:rsidP="007A2DEE">
            <w:pPr>
              <w:pStyle w:val="mhb1"/>
              <w:tabs>
                <w:tab w:val="clear" w:pos="567"/>
              </w:tabs>
              <w:spacing w:before="0"/>
              <w:rPr>
                <w:b w:val="0"/>
                <w:sz w:val="20"/>
              </w:rPr>
            </w:pPr>
            <w:r>
              <w:rPr>
                <w:b w:val="0"/>
                <w:sz w:val="20"/>
              </w:rPr>
              <w:t xml:space="preserve">A copy of the letter of transmittal signed and dated by accountable authority on date final text approved, with statement that the report has been prepared in accordance with section 46 of the </w:t>
            </w:r>
            <w:r w:rsidR="00256A92">
              <w:rPr>
                <w:b w:val="0"/>
                <w:sz w:val="20"/>
              </w:rPr>
              <w:t xml:space="preserve">PGPA </w:t>
            </w:r>
            <w:r>
              <w:rPr>
                <w:b w:val="0"/>
                <w:sz w:val="20"/>
              </w:rPr>
              <w:t>Act and any enabling legislation that specifies additional requirements in relation to the annual report.</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p>
        </w:tc>
      </w:tr>
      <w:tr w:rsidR="00882701" w:rsidTr="002D48EF">
        <w:trPr>
          <w:cantSplit/>
          <w:trHeight w:val="50"/>
        </w:trPr>
        <w:tc>
          <w:tcPr>
            <w:tcW w:w="908" w:type="dxa"/>
          </w:tcPr>
          <w:p w:rsidR="00882701" w:rsidRPr="00D65937" w:rsidRDefault="00882701" w:rsidP="007A2DEE">
            <w:pPr>
              <w:pStyle w:val="mhb1"/>
              <w:tabs>
                <w:tab w:val="clear" w:pos="567"/>
              </w:tabs>
              <w:spacing w:before="0"/>
              <w:jc w:val="center"/>
              <w:rPr>
                <w:sz w:val="16"/>
              </w:rPr>
            </w:pPr>
            <w:r w:rsidRPr="00D65937">
              <w:rPr>
                <w:sz w:val="16"/>
              </w:rPr>
              <w:t>17AD(h)</w:t>
            </w:r>
          </w:p>
        </w:tc>
        <w:tc>
          <w:tcPr>
            <w:tcW w:w="6520" w:type="dxa"/>
            <w:gridSpan w:val="4"/>
          </w:tcPr>
          <w:p w:rsidR="00882701" w:rsidRPr="00087F6B" w:rsidRDefault="00882701" w:rsidP="00D65937">
            <w:pPr>
              <w:pStyle w:val="mhb1"/>
              <w:tabs>
                <w:tab w:val="clear" w:pos="567"/>
              </w:tabs>
              <w:spacing w:before="0"/>
              <w:rPr>
                <w:sz w:val="20"/>
              </w:rPr>
            </w:pPr>
            <w:r>
              <w:rPr>
                <w:sz w:val="20"/>
              </w:rPr>
              <w:t>Aids to access</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17AJ(a)</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0C5713" w:rsidP="007A2DEE">
            <w:pPr>
              <w:pStyle w:val="mhb1"/>
              <w:tabs>
                <w:tab w:val="clear" w:pos="567"/>
              </w:tabs>
              <w:spacing w:before="0"/>
              <w:rPr>
                <w:b w:val="0"/>
                <w:sz w:val="20"/>
              </w:rPr>
            </w:pPr>
            <w:r>
              <w:rPr>
                <w:b w:val="0"/>
                <w:sz w:val="20"/>
              </w:rPr>
              <w:t>Table of contents</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882701" w:rsidP="007A2DEE">
            <w:pPr>
              <w:pStyle w:val="mhb1"/>
              <w:tabs>
                <w:tab w:val="clear" w:pos="567"/>
              </w:tabs>
              <w:spacing w:before="0"/>
              <w:rPr>
                <w:b w:val="0"/>
                <w:sz w:val="16"/>
                <w:szCs w:val="16"/>
              </w:rPr>
            </w:pPr>
            <w:r>
              <w:rPr>
                <w:b w:val="0"/>
                <w:sz w:val="16"/>
                <w:szCs w:val="16"/>
              </w:rPr>
              <w:t>Pages i-ii</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17AJ(b)</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882701" w:rsidP="007A2DEE">
            <w:pPr>
              <w:pStyle w:val="mhb1"/>
              <w:tabs>
                <w:tab w:val="clear" w:pos="567"/>
              </w:tabs>
              <w:spacing w:before="0"/>
              <w:rPr>
                <w:b w:val="0"/>
                <w:sz w:val="20"/>
              </w:rPr>
            </w:pPr>
            <w:r>
              <w:rPr>
                <w:b w:val="0"/>
                <w:sz w:val="20"/>
              </w:rPr>
              <w:t>Alphabetical index</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882701" w:rsidP="007A2DEE">
            <w:pPr>
              <w:pStyle w:val="mhb1"/>
              <w:tabs>
                <w:tab w:val="clear" w:pos="567"/>
              </w:tabs>
              <w:spacing w:before="0"/>
              <w:rPr>
                <w:b w:val="0"/>
                <w:sz w:val="16"/>
                <w:szCs w:val="16"/>
              </w:rPr>
            </w:pPr>
            <w:r>
              <w:rPr>
                <w:b w:val="0"/>
                <w:sz w:val="16"/>
                <w:szCs w:val="16"/>
              </w:rPr>
              <w:t>Index</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17AJ(c)</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0C5713" w:rsidP="007A2DEE">
            <w:pPr>
              <w:pStyle w:val="mhb1"/>
              <w:tabs>
                <w:tab w:val="clear" w:pos="567"/>
              </w:tabs>
              <w:spacing w:before="0"/>
              <w:rPr>
                <w:b w:val="0"/>
                <w:sz w:val="20"/>
              </w:rPr>
            </w:pPr>
            <w:r>
              <w:rPr>
                <w:b w:val="0"/>
                <w:sz w:val="20"/>
              </w:rPr>
              <w:t>Glossary</w:t>
            </w:r>
            <w:r w:rsidR="00882701">
              <w:rPr>
                <w:b w:val="0"/>
                <w:sz w:val="20"/>
              </w:rPr>
              <w:t xml:space="preserve"> of abbreviations and acronyms</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882701" w:rsidP="007A2DEE">
            <w:pPr>
              <w:pStyle w:val="mhb1"/>
              <w:tabs>
                <w:tab w:val="clear" w:pos="567"/>
              </w:tabs>
              <w:spacing w:before="0"/>
              <w:rPr>
                <w:b w:val="0"/>
                <w:sz w:val="16"/>
                <w:szCs w:val="16"/>
              </w:rPr>
            </w:pPr>
            <w:r>
              <w:rPr>
                <w:b w:val="0"/>
                <w:sz w:val="16"/>
                <w:szCs w:val="16"/>
              </w:rPr>
              <w:t>Glossary</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17AJ(d)</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882701" w:rsidP="007A2DEE">
            <w:pPr>
              <w:pStyle w:val="mhb1"/>
              <w:tabs>
                <w:tab w:val="clear" w:pos="567"/>
              </w:tabs>
              <w:spacing w:before="0"/>
              <w:rPr>
                <w:b w:val="0"/>
                <w:sz w:val="20"/>
              </w:rPr>
            </w:pPr>
            <w:r>
              <w:rPr>
                <w:b w:val="0"/>
                <w:sz w:val="20"/>
              </w:rPr>
              <w:t>List of requirements</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882701" w:rsidP="007A2DEE">
            <w:pPr>
              <w:pStyle w:val="mhb1"/>
              <w:tabs>
                <w:tab w:val="clear" w:pos="567"/>
              </w:tabs>
              <w:spacing w:before="0"/>
              <w:rPr>
                <w:b w:val="0"/>
                <w:sz w:val="16"/>
                <w:szCs w:val="16"/>
              </w:rPr>
            </w:pPr>
            <w:r>
              <w:rPr>
                <w:b w:val="0"/>
                <w:sz w:val="16"/>
                <w:szCs w:val="16"/>
              </w:rPr>
              <w:t>Appendix E</w:t>
            </w:r>
          </w:p>
        </w:tc>
      </w:tr>
      <w:tr w:rsidR="00882701" w:rsidTr="002D48EF">
        <w:trPr>
          <w:cantSplit/>
          <w:trHeight w:val="50"/>
        </w:trPr>
        <w:tc>
          <w:tcPr>
            <w:tcW w:w="908" w:type="dxa"/>
          </w:tcPr>
          <w:p w:rsidR="00882701" w:rsidRDefault="00882701" w:rsidP="007A2DEE">
            <w:pPr>
              <w:pStyle w:val="mhb1"/>
              <w:tabs>
                <w:tab w:val="clear" w:pos="567"/>
              </w:tabs>
              <w:spacing w:before="0"/>
              <w:jc w:val="center"/>
              <w:rPr>
                <w:b w:val="0"/>
                <w:sz w:val="16"/>
              </w:rPr>
            </w:pPr>
            <w:r>
              <w:rPr>
                <w:b w:val="0"/>
                <w:sz w:val="16"/>
              </w:rPr>
              <w:t>17AJ(e)</w:t>
            </w:r>
          </w:p>
        </w:tc>
        <w:tc>
          <w:tcPr>
            <w:tcW w:w="760" w:type="dxa"/>
          </w:tcPr>
          <w:p w:rsidR="00882701" w:rsidRDefault="00882701" w:rsidP="007A2DEE">
            <w:pPr>
              <w:pStyle w:val="mhb1"/>
              <w:tabs>
                <w:tab w:val="clear" w:pos="567"/>
              </w:tabs>
              <w:spacing w:before="0"/>
              <w:jc w:val="center"/>
              <w:rPr>
                <w:b w:val="0"/>
                <w:sz w:val="20"/>
              </w:rPr>
            </w:pPr>
          </w:p>
        </w:tc>
        <w:tc>
          <w:tcPr>
            <w:tcW w:w="3351" w:type="dxa"/>
          </w:tcPr>
          <w:p w:rsidR="00882701" w:rsidRDefault="00882701" w:rsidP="007A2DEE">
            <w:pPr>
              <w:pStyle w:val="mhb1"/>
              <w:tabs>
                <w:tab w:val="clear" w:pos="567"/>
              </w:tabs>
              <w:spacing w:before="0"/>
              <w:rPr>
                <w:b w:val="0"/>
                <w:sz w:val="20"/>
              </w:rPr>
            </w:pPr>
            <w:r>
              <w:rPr>
                <w:b w:val="0"/>
                <w:sz w:val="20"/>
              </w:rPr>
              <w:t>Details of contact officer</w:t>
            </w:r>
          </w:p>
        </w:tc>
        <w:tc>
          <w:tcPr>
            <w:tcW w:w="1275" w:type="dxa"/>
          </w:tcPr>
          <w:p w:rsidR="00882701" w:rsidRDefault="00882701" w:rsidP="007A2DEE">
            <w:pPr>
              <w:pStyle w:val="mhb1"/>
              <w:tabs>
                <w:tab w:val="clear" w:pos="567"/>
              </w:tabs>
              <w:spacing w:before="0"/>
              <w:rPr>
                <w:b w:val="0"/>
                <w:sz w:val="20"/>
              </w:rPr>
            </w:pPr>
            <w:r>
              <w:rPr>
                <w:b w:val="0"/>
                <w:sz w:val="20"/>
              </w:rPr>
              <w:t>Mandatory</w:t>
            </w:r>
          </w:p>
        </w:tc>
        <w:tc>
          <w:tcPr>
            <w:tcW w:w="1134" w:type="dxa"/>
          </w:tcPr>
          <w:p w:rsidR="00882701" w:rsidRPr="00EE0730" w:rsidRDefault="00882701" w:rsidP="00D65937">
            <w:pPr>
              <w:pStyle w:val="mhb1"/>
              <w:tabs>
                <w:tab w:val="clear" w:pos="567"/>
              </w:tabs>
              <w:spacing w:before="0"/>
              <w:rPr>
                <w:b w:val="0"/>
                <w:sz w:val="16"/>
                <w:szCs w:val="16"/>
              </w:rPr>
            </w:pPr>
            <w:r>
              <w:rPr>
                <w:b w:val="0"/>
                <w:sz w:val="16"/>
                <w:szCs w:val="16"/>
              </w:rPr>
              <w:t>Chapter 6</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17AJ(f)</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882701" w:rsidP="007A2DEE">
            <w:pPr>
              <w:pStyle w:val="mhb1"/>
              <w:tabs>
                <w:tab w:val="clear" w:pos="567"/>
              </w:tabs>
              <w:spacing w:before="0"/>
              <w:rPr>
                <w:b w:val="0"/>
                <w:sz w:val="20"/>
              </w:rPr>
            </w:pPr>
            <w:r>
              <w:rPr>
                <w:b w:val="0"/>
                <w:sz w:val="20"/>
              </w:rPr>
              <w:t>Entity’s website address</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Chapter 6</w:t>
            </w:r>
          </w:p>
        </w:tc>
      </w:tr>
      <w:tr w:rsidR="00882701" w:rsidTr="002D48EF">
        <w:trPr>
          <w:cantSplit/>
          <w:trHeight w:val="50"/>
        </w:trPr>
        <w:tc>
          <w:tcPr>
            <w:tcW w:w="908" w:type="dxa"/>
          </w:tcPr>
          <w:p w:rsidR="00882701" w:rsidRDefault="00882701" w:rsidP="007A2DEE">
            <w:pPr>
              <w:pStyle w:val="mhb1"/>
              <w:tabs>
                <w:tab w:val="clear" w:pos="567"/>
              </w:tabs>
              <w:spacing w:before="0"/>
              <w:jc w:val="center"/>
              <w:rPr>
                <w:b w:val="0"/>
                <w:sz w:val="16"/>
              </w:rPr>
            </w:pPr>
            <w:r>
              <w:rPr>
                <w:b w:val="0"/>
                <w:sz w:val="16"/>
              </w:rPr>
              <w:t>17AJ(g)</w:t>
            </w:r>
          </w:p>
        </w:tc>
        <w:tc>
          <w:tcPr>
            <w:tcW w:w="760" w:type="dxa"/>
          </w:tcPr>
          <w:p w:rsidR="00882701" w:rsidRDefault="00882701" w:rsidP="007A2DEE">
            <w:pPr>
              <w:pStyle w:val="mhb1"/>
              <w:tabs>
                <w:tab w:val="clear" w:pos="567"/>
              </w:tabs>
              <w:spacing w:before="0"/>
              <w:jc w:val="center"/>
              <w:rPr>
                <w:b w:val="0"/>
                <w:sz w:val="20"/>
              </w:rPr>
            </w:pPr>
          </w:p>
        </w:tc>
        <w:tc>
          <w:tcPr>
            <w:tcW w:w="3351" w:type="dxa"/>
          </w:tcPr>
          <w:p w:rsidR="00882701" w:rsidRDefault="00882701" w:rsidP="007A2DEE">
            <w:pPr>
              <w:pStyle w:val="mhb1"/>
              <w:tabs>
                <w:tab w:val="clear" w:pos="567"/>
              </w:tabs>
              <w:spacing w:before="0"/>
              <w:rPr>
                <w:b w:val="0"/>
                <w:sz w:val="20"/>
              </w:rPr>
            </w:pPr>
            <w:r>
              <w:rPr>
                <w:b w:val="0"/>
                <w:sz w:val="20"/>
              </w:rPr>
              <w:t>Electronic address of report</w:t>
            </w:r>
          </w:p>
        </w:tc>
        <w:tc>
          <w:tcPr>
            <w:tcW w:w="1275" w:type="dxa"/>
          </w:tcPr>
          <w:p w:rsidR="00882701" w:rsidRDefault="00882701" w:rsidP="007A2DEE">
            <w:pPr>
              <w:pStyle w:val="mhb1"/>
              <w:tabs>
                <w:tab w:val="clear" w:pos="567"/>
              </w:tabs>
              <w:spacing w:before="0"/>
              <w:rPr>
                <w:b w:val="0"/>
                <w:sz w:val="20"/>
              </w:rPr>
            </w:pPr>
            <w:r>
              <w:rPr>
                <w:b w:val="0"/>
                <w:sz w:val="20"/>
              </w:rPr>
              <w:t>Mandatory</w:t>
            </w:r>
          </w:p>
        </w:tc>
        <w:tc>
          <w:tcPr>
            <w:tcW w:w="1134" w:type="dxa"/>
          </w:tcPr>
          <w:p w:rsidR="00882701" w:rsidRDefault="00882701" w:rsidP="007A2DEE">
            <w:pPr>
              <w:pStyle w:val="mhb1"/>
              <w:tabs>
                <w:tab w:val="clear" w:pos="567"/>
              </w:tabs>
              <w:spacing w:before="0"/>
              <w:rPr>
                <w:b w:val="0"/>
                <w:sz w:val="16"/>
                <w:szCs w:val="16"/>
              </w:rPr>
            </w:pPr>
            <w:r>
              <w:rPr>
                <w:b w:val="0"/>
                <w:sz w:val="16"/>
                <w:szCs w:val="16"/>
              </w:rPr>
              <w:t>Chapter 6</w:t>
            </w:r>
          </w:p>
        </w:tc>
      </w:tr>
      <w:tr w:rsidR="006D1268" w:rsidTr="002D48EF">
        <w:trPr>
          <w:cantSplit/>
          <w:trHeight w:val="50"/>
        </w:trPr>
        <w:tc>
          <w:tcPr>
            <w:tcW w:w="908" w:type="dxa"/>
          </w:tcPr>
          <w:p w:rsidR="006D1268" w:rsidRPr="00D65937" w:rsidRDefault="006D1268" w:rsidP="007A2DEE">
            <w:pPr>
              <w:pStyle w:val="mhb1"/>
              <w:tabs>
                <w:tab w:val="clear" w:pos="567"/>
              </w:tabs>
              <w:spacing w:before="0"/>
              <w:jc w:val="center"/>
              <w:rPr>
                <w:sz w:val="16"/>
              </w:rPr>
            </w:pPr>
            <w:r w:rsidRPr="00D65937">
              <w:rPr>
                <w:sz w:val="16"/>
              </w:rPr>
              <w:t>17AD(a)</w:t>
            </w:r>
          </w:p>
        </w:tc>
        <w:tc>
          <w:tcPr>
            <w:tcW w:w="6520" w:type="dxa"/>
            <w:gridSpan w:val="4"/>
          </w:tcPr>
          <w:p w:rsidR="006D1268" w:rsidRPr="00087F6B" w:rsidRDefault="006D1268" w:rsidP="00D65937">
            <w:pPr>
              <w:pStyle w:val="mhb1"/>
              <w:tabs>
                <w:tab w:val="clear" w:pos="567"/>
              </w:tabs>
              <w:spacing w:before="0"/>
              <w:rPr>
                <w:sz w:val="20"/>
              </w:rPr>
            </w:pPr>
            <w:r>
              <w:rPr>
                <w:sz w:val="20"/>
              </w:rPr>
              <w:t>Review by accountable authority</w:t>
            </w:r>
          </w:p>
        </w:tc>
      </w:tr>
      <w:tr w:rsidR="000C5713" w:rsidTr="002D48EF">
        <w:trPr>
          <w:cantSplit/>
          <w:trHeight w:val="50"/>
        </w:trPr>
        <w:tc>
          <w:tcPr>
            <w:tcW w:w="908" w:type="dxa"/>
          </w:tcPr>
          <w:p w:rsidR="000C5713" w:rsidRDefault="006D1268" w:rsidP="007A2DEE">
            <w:pPr>
              <w:pStyle w:val="mhb1"/>
              <w:tabs>
                <w:tab w:val="clear" w:pos="567"/>
              </w:tabs>
              <w:spacing w:before="0"/>
              <w:jc w:val="center"/>
              <w:rPr>
                <w:b w:val="0"/>
                <w:sz w:val="16"/>
              </w:rPr>
            </w:pPr>
            <w:r>
              <w:rPr>
                <w:b w:val="0"/>
                <w:sz w:val="16"/>
              </w:rPr>
              <w:t>17AD(a)</w:t>
            </w:r>
          </w:p>
        </w:tc>
        <w:tc>
          <w:tcPr>
            <w:tcW w:w="760" w:type="dxa"/>
          </w:tcPr>
          <w:p w:rsidR="000C5713" w:rsidRDefault="000C5713" w:rsidP="007A2DEE">
            <w:pPr>
              <w:pStyle w:val="mhb1"/>
              <w:tabs>
                <w:tab w:val="clear" w:pos="567"/>
              </w:tabs>
              <w:spacing w:before="0"/>
              <w:rPr>
                <w:b w:val="0"/>
                <w:sz w:val="20"/>
              </w:rPr>
            </w:pPr>
          </w:p>
        </w:tc>
        <w:tc>
          <w:tcPr>
            <w:tcW w:w="3351" w:type="dxa"/>
          </w:tcPr>
          <w:p w:rsidR="000C5713" w:rsidRDefault="006D1268" w:rsidP="006D1268">
            <w:pPr>
              <w:pStyle w:val="mhb1"/>
              <w:tabs>
                <w:tab w:val="clear" w:pos="567"/>
              </w:tabs>
              <w:spacing w:before="0"/>
              <w:rPr>
                <w:b w:val="0"/>
                <w:sz w:val="20"/>
              </w:rPr>
            </w:pPr>
            <w:r>
              <w:rPr>
                <w:b w:val="0"/>
                <w:sz w:val="20"/>
              </w:rPr>
              <w:t>A r</w:t>
            </w:r>
            <w:r w:rsidR="000C5713">
              <w:rPr>
                <w:b w:val="0"/>
                <w:sz w:val="20"/>
              </w:rPr>
              <w:t xml:space="preserve">eview by </w:t>
            </w:r>
            <w:r>
              <w:rPr>
                <w:b w:val="0"/>
                <w:sz w:val="20"/>
              </w:rPr>
              <w:t>the accountable authority of the entity.</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0C5713" w:rsidP="00D52C7D">
            <w:r w:rsidRPr="00EE0730">
              <w:rPr>
                <w:sz w:val="16"/>
                <w:szCs w:val="16"/>
              </w:rPr>
              <w:t>F</w:t>
            </w:r>
            <w:r w:rsidR="002D48EF">
              <w:rPr>
                <w:sz w:val="16"/>
                <w:szCs w:val="16"/>
              </w:rPr>
              <w:t xml:space="preserve">irst </w:t>
            </w:r>
            <w:r w:rsidRPr="00EE0730">
              <w:rPr>
                <w:sz w:val="16"/>
                <w:szCs w:val="16"/>
              </w:rPr>
              <w:t>P</w:t>
            </w:r>
            <w:r w:rsidR="002D48EF">
              <w:rPr>
                <w:sz w:val="16"/>
                <w:szCs w:val="16"/>
              </w:rPr>
              <w:t xml:space="preserve">arliamentary </w:t>
            </w:r>
            <w:r w:rsidRPr="00EE0730">
              <w:rPr>
                <w:sz w:val="16"/>
                <w:szCs w:val="16"/>
              </w:rPr>
              <w:t>C</w:t>
            </w:r>
            <w:r w:rsidR="002D48EF">
              <w:rPr>
                <w:sz w:val="16"/>
                <w:szCs w:val="16"/>
              </w:rPr>
              <w:t>ounsel</w:t>
            </w:r>
            <w:r w:rsidR="003C39D9">
              <w:rPr>
                <w:sz w:val="16"/>
                <w:szCs w:val="16"/>
              </w:rPr>
              <w:t>’</w:t>
            </w:r>
            <w:r w:rsidRPr="00EE0730">
              <w:rPr>
                <w:sz w:val="16"/>
                <w:szCs w:val="16"/>
              </w:rPr>
              <w:t xml:space="preserve">s </w:t>
            </w:r>
            <w:r w:rsidR="00D52C7D">
              <w:rPr>
                <w:sz w:val="16"/>
                <w:szCs w:val="16"/>
              </w:rPr>
              <w:t>R</w:t>
            </w:r>
            <w:r w:rsidRPr="00EE0730">
              <w:rPr>
                <w:sz w:val="16"/>
                <w:szCs w:val="16"/>
              </w:rPr>
              <w:t>eview</w:t>
            </w:r>
          </w:p>
        </w:tc>
      </w:tr>
      <w:tr w:rsidR="00A65A83" w:rsidTr="002D48EF">
        <w:trPr>
          <w:cantSplit/>
          <w:trHeight w:val="50"/>
        </w:trPr>
        <w:tc>
          <w:tcPr>
            <w:tcW w:w="908" w:type="dxa"/>
          </w:tcPr>
          <w:p w:rsidR="00A65A83" w:rsidRPr="00D65937" w:rsidRDefault="00A65A83" w:rsidP="007A2DEE">
            <w:pPr>
              <w:pStyle w:val="mhb1"/>
              <w:tabs>
                <w:tab w:val="clear" w:pos="567"/>
              </w:tabs>
              <w:spacing w:before="0"/>
              <w:jc w:val="center"/>
              <w:rPr>
                <w:sz w:val="16"/>
              </w:rPr>
            </w:pPr>
            <w:r w:rsidRPr="00D65937">
              <w:rPr>
                <w:sz w:val="16"/>
              </w:rPr>
              <w:t>17AD(b)</w:t>
            </w:r>
          </w:p>
        </w:tc>
        <w:tc>
          <w:tcPr>
            <w:tcW w:w="6520" w:type="dxa"/>
            <w:gridSpan w:val="4"/>
          </w:tcPr>
          <w:p w:rsidR="00A65A83" w:rsidRPr="00087F6B" w:rsidRDefault="00A65A83" w:rsidP="00D65937">
            <w:pPr>
              <w:pStyle w:val="mhb1"/>
              <w:tabs>
                <w:tab w:val="clear" w:pos="567"/>
              </w:tabs>
              <w:spacing w:before="0"/>
              <w:rPr>
                <w:sz w:val="20"/>
              </w:rPr>
            </w:pPr>
            <w:r>
              <w:rPr>
                <w:sz w:val="20"/>
              </w:rPr>
              <w:t>Overview of the entity</w:t>
            </w:r>
          </w:p>
        </w:tc>
      </w:tr>
      <w:tr w:rsidR="000C5713" w:rsidTr="002D48EF">
        <w:trPr>
          <w:cantSplit/>
          <w:trHeight w:val="50"/>
        </w:trPr>
        <w:tc>
          <w:tcPr>
            <w:tcW w:w="908" w:type="dxa"/>
          </w:tcPr>
          <w:p w:rsidR="000C5713" w:rsidRDefault="00A65A83" w:rsidP="007A2DEE">
            <w:pPr>
              <w:pStyle w:val="mhb1"/>
              <w:tabs>
                <w:tab w:val="clear" w:pos="567"/>
              </w:tabs>
              <w:spacing w:before="0"/>
              <w:jc w:val="center"/>
              <w:rPr>
                <w:b w:val="0"/>
                <w:sz w:val="16"/>
              </w:rPr>
            </w:pPr>
            <w:r>
              <w:rPr>
                <w:b w:val="0"/>
                <w:sz w:val="16"/>
              </w:rPr>
              <w:t>17AE(1)(a) (i)</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A65A83" w:rsidP="007A2DEE">
            <w:pPr>
              <w:pStyle w:val="mhb1"/>
              <w:tabs>
                <w:tab w:val="clear" w:pos="567"/>
              </w:tabs>
              <w:spacing w:before="0"/>
              <w:rPr>
                <w:b w:val="0"/>
                <w:sz w:val="20"/>
              </w:rPr>
            </w:pPr>
            <w:r>
              <w:rPr>
                <w:b w:val="0"/>
                <w:sz w:val="20"/>
              </w:rPr>
              <w:t>A description of the role and functions of the entity.</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CF21E4" w:rsidRDefault="000C5713" w:rsidP="007A2DEE">
            <w:r w:rsidRPr="00CF21E4">
              <w:rPr>
                <w:sz w:val="16"/>
                <w:szCs w:val="16"/>
              </w:rPr>
              <w:t>Chap</w:t>
            </w:r>
            <w:r>
              <w:rPr>
                <w:sz w:val="16"/>
                <w:szCs w:val="16"/>
              </w:rPr>
              <w:t>ter</w:t>
            </w:r>
            <w:r w:rsidRPr="00CF21E4">
              <w:rPr>
                <w:sz w:val="16"/>
                <w:szCs w:val="16"/>
              </w:rPr>
              <w:t xml:space="preserve"> 1</w:t>
            </w:r>
          </w:p>
        </w:tc>
      </w:tr>
      <w:tr w:rsidR="00A65A83" w:rsidTr="002D48EF">
        <w:trPr>
          <w:cantSplit/>
          <w:trHeight w:val="50"/>
        </w:trPr>
        <w:tc>
          <w:tcPr>
            <w:tcW w:w="908" w:type="dxa"/>
          </w:tcPr>
          <w:p w:rsidR="00A65A83" w:rsidRDefault="00A65A83" w:rsidP="00D65937">
            <w:pPr>
              <w:pStyle w:val="mhb1"/>
              <w:tabs>
                <w:tab w:val="clear" w:pos="567"/>
              </w:tabs>
              <w:spacing w:before="0"/>
              <w:jc w:val="center"/>
              <w:rPr>
                <w:b w:val="0"/>
                <w:sz w:val="16"/>
              </w:rPr>
            </w:pPr>
            <w:r>
              <w:rPr>
                <w:b w:val="0"/>
                <w:sz w:val="16"/>
              </w:rPr>
              <w:t>17AE(1)(a) (ii)</w:t>
            </w:r>
          </w:p>
        </w:tc>
        <w:tc>
          <w:tcPr>
            <w:tcW w:w="760" w:type="dxa"/>
          </w:tcPr>
          <w:p w:rsidR="00A65A83" w:rsidRDefault="00A65A83" w:rsidP="007A2DEE">
            <w:pPr>
              <w:pStyle w:val="mhb1"/>
              <w:tabs>
                <w:tab w:val="clear" w:pos="567"/>
              </w:tabs>
              <w:spacing w:before="0"/>
              <w:jc w:val="center"/>
              <w:rPr>
                <w:b w:val="0"/>
                <w:sz w:val="20"/>
              </w:rPr>
            </w:pPr>
          </w:p>
        </w:tc>
        <w:tc>
          <w:tcPr>
            <w:tcW w:w="3351" w:type="dxa"/>
          </w:tcPr>
          <w:p w:rsidR="00A65A83" w:rsidRDefault="00A65A83" w:rsidP="007A2DEE">
            <w:pPr>
              <w:pStyle w:val="mhb1"/>
              <w:tabs>
                <w:tab w:val="clear" w:pos="567"/>
              </w:tabs>
              <w:spacing w:before="0"/>
              <w:rPr>
                <w:b w:val="0"/>
                <w:sz w:val="20"/>
              </w:rPr>
            </w:pPr>
            <w:r>
              <w:rPr>
                <w:b w:val="0"/>
                <w:sz w:val="20"/>
              </w:rPr>
              <w:t>A description of the organisational structure of the entity.</w:t>
            </w:r>
          </w:p>
        </w:tc>
        <w:tc>
          <w:tcPr>
            <w:tcW w:w="1275" w:type="dxa"/>
          </w:tcPr>
          <w:p w:rsidR="00A65A83" w:rsidRDefault="00A65A83" w:rsidP="007A2DEE">
            <w:pPr>
              <w:pStyle w:val="mhb1"/>
              <w:tabs>
                <w:tab w:val="clear" w:pos="567"/>
              </w:tabs>
              <w:spacing w:before="0"/>
              <w:rPr>
                <w:b w:val="0"/>
                <w:sz w:val="20"/>
              </w:rPr>
            </w:pPr>
            <w:r>
              <w:rPr>
                <w:b w:val="0"/>
                <w:sz w:val="20"/>
              </w:rPr>
              <w:t>Mandatory</w:t>
            </w:r>
          </w:p>
        </w:tc>
        <w:tc>
          <w:tcPr>
            <w:tcW w:w="1134" w:type="dxa"/>
          </w:tcPr>
          <w:p w:rsidR="00A65A83" w:rsidRPr="00CF21E4" w:rsidRDefault="00A65A83" w:rsidP="007A2DEE">
            <w:r w:rsidRPr="00CF21E4">
              <w:rPr>
                <w:sz w:val="16"/>
                <w:szCs w:val="16"/>
              </w:rPr>
              <w:t>Chap</w:t>
            </w:r>
            <w:r>
              <w:rPr>
                <w:sz w:val="16"/>
                <w:szCs w:val="16"/>
              </w:rPr>
              <w:t>ter</w:t>
            </w:r>
            <w:r w:rsidRPr="00CF21E4">
              <w:rPr>
                <w:sz w:val="16"/>
                <w:szCs w:val="16"/>
              </w:rPr>
              <w:t xml:space="preserve"> 1</w:t>
            </w:r>
          </w:p>
        </w:tc>
      </w:tr>
      <w:tr w:rsidR="00A65A83" w:rsidTr="002D48EF">
        <w:trPr>
          <w:cantSplit/>
          <w:trHeight w:val="50"/>
        </w:trPr>
        <w:tc>
          <w:tcPr>
            <w:tcW w:w="908" w:type="dxa"/>
          </w:tcPr>
          <w:p w:rsidR="00A65A83" w:rsidRDefault="00A65A83" w:rsidP="00D65937">
            <w:pPr>
              <w:pStyle w:val="mhb1"/>
              <w:tabs>
                <w:tab w:val="clear" w:pos="567"/>
              </w:tabs>
              <w:spacing w:before="0"/>
              <w:jc w:val="center"/>
              <w:rPr>
                <w:b w:val="0"/>
                <w:sz w:val="16"/>
              </w:rPr>
            </w:pPr>
            <w:r>
              <w:rPr>
                <w:b w:val="0"/>
                <w:sz w:val="16"/>
              </w:rPr>
              <w:t>17AE(1)(a) (iii)</w:t>
            </w:r>
          </w:p>
        </w:tc>
        <w:tc>
          <w:tcPr>
            <w:tcW w:w="760" w:type="dxa"/>
          </w:tcPr>
          <w:p w:rsidR="00A65A83" w:rsidRDefault="00A65A83" w:rsidP="007A2DEE">
            <w:pPr>
              <w:pStyle w:val="mhb1"/>
              <w:tabs>
                <w:tab w:val="clear" w:pos="567"/>
              </w:tabs>
              <w:spacing w:before="0"/>
              <w:jc w:val="center"/>
              <w:rPr>
                <w:b w:val="0"/>
                <w:sz w:val="20"/>
              </w:rPr>
            </w:pPr>
          </w:p>
        </w:tc>
        <w:tc>
          <w:tcPr>
            <w:tcW w:w="3351" w:type="dxa"/>
          </w:tcPr>
          <w:p w:rsidR="00A65A83" w:rsidRDefault="00A65A83" w:rsidP="007A2DEE">
            <w:pPr>
              <w:pStyle w:val="mhb1"/>
              <w:tabs>
                <w:tab w:val="clear" w:pos="567"/>
              </w:tabs>
              <w:spacing w:before="0"/>
              <w:rPr>
                <w:b w:val="0"/>
                <w:sz w:val="20"/>
              </w:rPr>
            </w:pPr>
            <w:r>
              <w:rPr>
                <w:b w:val="0"/>
                <w:sz w:val="20"/>
              </w:rPr>
              <w:t>A descripti</w:t>
            </w:r>
            <w:r w:rsidR="009F1ECF">
              <w:rPr>
                <w:b w:val="0"/>
                <w:sz w:val="20"/>
              </w:rPr>
              <w:t>on of the outcomes and program</w:t>
            </w:r>
            <w:r>
              <w:rPr>
                <w:b w:val="0"/>
                <w:sz w:val="20"/>
              </w:rPr>
              <w:t>s administered by the entity.</w:t>
            </w:r>
          </w:p>
        </w:tc>
        <w:tc>
          <w:tcPr>
            <w:tcW w:w="1275" w:type="dxa"/>
          </w:tcPr>
          <w:p w:rsidR="00A65A83" w:rsidRDefault="00A65A83" w:rsidP="007A2DEE">
            <w:pPr>
              <w:pStyle w:val="mhb1"/>
              <w:tabs>
                <w:tab w:val="clear" w:pos="567"/>
              </w:tabs>
              <w:spacing w:before="0"/>
              <w:rPr>
                <w:b w:val="0"/>
                <w:sz w:val="20"/>
              </w:rPr>
            </w:pPr>
            <w:r>
              <w:rPr>
                <w:b w:val="0"/>
                <w:sz w:val="20"/>
              </w:rPr>
              <w:t>Mandatory</w:t>
            </w:r>
          </w:p>
        </w:tc>
        <w:tc>
          <w:tcPr>
            <w:tcW w:w="1134" w:type="dxa"/>
          </w:tcPr>
          <w:p w:rsidR="00A65A83" w:rsidRPr="00CF21E4" w:rsidRDefault="00A65A83" w:rsidP="007A2DEE">
            <w:r w:rsidRPr="00CF21E4">
              <w:rPr>
                <w:sz w:val="16"/>
                <w:szCs w:val="16"/>
              </w:rPr>
              <w:t>Chap</w:t>
            </w:r>
            <w:r>
              <w:rPr>
                <w:sz w:val="16"/>
                <w:szCs w:val="16"/>
              </w:rPr>
              <w:t>ter</w:t>
            </w:r>
            <w:r w:rsidRPr="00CF21E4">
              <w:rPr>
                <w:sz w:val="16"/>
                <w:szCs w:val="16"/>
              </w:rPr>
              <w:t xml:space="preserve"> 1</w:t>
            </w:r>
          </w:p>
        </w:tc>
      </w:tr>
      <w:tr w:rsidR="009F1ECF" w:rsidTr="002D48EF">
        <w:trPr>
          <w:cantSplit/>
          <w:trHeight w:val="50"/>
        </w:trPr>
        <w:tc>
          <w:tcPr>
            <w:tcW w:w="908" w:type="dxa"/>
          </w:tcPr>
          <w:p w:rsidR="009F1ECF" w:rsidRDefault="009F1ECF" w:rsidP="00D65937">
            <w:pPr>
              <w:pStyle w:val="mhb1"/>
              <w:tabs>
                <w:tab w:val="clear" w:pos="567"/>
              </w:tabs>
              <w:spacing w:before="0"/>
              <w:jc w:val="center"/>
              <w:rPr>
                <w:b w:val="0"/>
                <w:sz w:val="16"/>
              </w:rPr>
            </w:pPr>
            <w:r>
              <w:rPr>
                <w:b w:val="0"/>
                <w:sz w:val="16"/>
              </w:rPr>
              <w:t>17AE(1)(a) (iv)</w:t>
            </w:r>
          </w:p>
        </w:tc>
        <w:tc>
          <w:tcPr>
            <w:tcW w:w="760" w:type="dxa"/>
          </w:tcPr>
          <w:p w:rsidR="009F1ECF" w:rsidRDefault="009F1ECF" w:rsidP="007A2DEE">
            <w:pPr>
              <w:pStyle w:val="mhb1"/>
              <w:tabs>
                <w:tab w:val="clear" w:pos="567"/>
              </w:tabs>
              <w:spacing w:before="0"/>
              <w:jc w:val="center"/>
              <w:rPr>
                <w:b w:val="0"/>
                <w:sz w:val="20"/>
              </w:rPr>
            </w:pPr>
          </w:p>
        </w:tc>
        <w:tc>
          <w:tcPr>
            <w:tcW w:w="3351" w:type="dxa"/>
          </w:tcPr>
          <w:p w:rsidR="009F1ECF" w:rsidRDefault="009F1ECF" w:rsidP="00D65937">
            <w:pPr>
              <w:pStyle w:val="mhb1"/>
              <w:tabs>
                <w:tab w:val="clear" w:pos="567"/>
              </w:tabs>
              <w:spacing w:before="0"/>
              <w:rPr>
                <w:b w:val="0"/>
                <w:sz w:val="20"/>
              </w:rPr>
            </w:pPr>
            <w:r>
              <w:rPr>
                <w:b w:val="0"/>
                <w:sz w:val="20"/>
              </w:rPr>
              <w:t>A description of the purposes of the entity as included in corporate plan.</w:t>
            </w:r>
          </w:p>
        </w:tc>
        <w:tc>
          <w:tcPr>
            <w:tcW w:w="1275" w:type="dxa"/>
          </w:tcPr>
          <w:p w:rsidR="009F1ECF" w:rsidRDefault="009F1ECF" w:rsidP="00D65937">
            <w:pPr>
              <w:pStyle w:val="mhb1"/>
              <w:tabs>
                <w:tab w:val="clear" w:pos="567"/>
              </w:tabs>
              <w:spacing w:before="0"/>
              <w:rPr>
                <w:b w:val="0"/>
                <w:sz w:val="20"/>
              </w:rPr>
            </w:pPr>
            <w:r>
              <w:rPr>
                <w:b w:val="0"/>
                <w:sz w:val="20"/>
              </w:rPr>
              <w:t>Mandatory</w:t>
            </w:r>
          </w:p>
        </w:tc>
        <w:tc>
          <w:tcPr>
            <w:tcW w:w="1134" w:type="dxa"/>
          </w:tcPr>
          <w:p w:rsidR="009F1ECF" w:rsidRPr="00CF21E4" w:rsidRDefault="009F1ECF" w:rsidP="00D65937">
            <w:r w:rsidRPr="00CF21E4">
              <w:rPr>
                <w:sz w:val="16"/>
                <w:szCs w:val="16"/>
              </w:rPr>
              <w:t>Chap</w:t>
            </w:r>
            <w:r>
              <w:rPr>
                <w:sz w:val="16"/>
                <w:szCs w:val="16"/>
              </w:rPr>
              <w:t>ter</w:t>
            </w:r>
            <w:r w:rsidRPr="00CF21E4">
              <w:rPr>
                <w:sz w:val="16"/>
                <w:szCs w:val="16"/>
              </w:rPr>
              <w:t xml:space="preserve"> 1</w:t>
            </w:r>
          </w:p>
        </w:tc>
      </w:tr>
      <w:tr w:rsidR="009F1ECF" w:rsidTr="002D48EF">
        <w:trPr>
          <w:cantSplit/>
          <w:trHeight w:val="50"/>
        </w:trPr>
        <w:tc>
          <w:tcPr>
            <w:tcW w:w="908" w:type="dxa"/>
          </w:tcPr>
          <w:p w:rsidR="009F1ECF" w:rsidRDefault="009F1ECF" w:rsidP="00D65937">
            <w:pPr>
              <w:pStyle w:val="mhb1"/>
              <w:tabs>
                <w:tab w:val="clear" w:pos="567"/>
              </w:tabs>
              <w:spacing w:before="0"/>
              <w:jc w:val="center"/>
              <w:rPr>
                <w:b w:val="0"/>
                <w:sz w:val="16"/>
              </w:rPr>
            </w:pPr>
            <w:r>
              <w:rPr>
                <w:b w:val="0"/>
                <w:sz w:val="16"/>
              </w:rPr>
              <w:t>17AE(1)(b)</w:t>
            </w:r>
          </w:p>
        </w:tc>
        <w:tc>
          <w:tcPr>
            <w:tcW w:w="760" w:type="dxa"/>
          </w:tcPr>
          <w:p w:rsidR="009F1ECF" w:rsidRDefault="009F1ECF" w:rsidP="007A2DEE">
            <w:pPr>
              <w:pStyle w:val="mhb1"/>
              <w:tabs>
                <w:tab w:val="clear" w:pos="567"/>
              </w:tabs>
              <w:spacing w:before="0"/>
              <w:jc w:val="center"/>
              <w:rPr>
                <w:b w:val="0"/>
                <w:sz w:val="20"/>
              </w:rPr>
            </w:pPr>
          </w:p>
        </w:tc>
        <w:tc>
          <w:tcPr>
            <w:tcW w:w="3351" w:type="dxa"/>
          </w:tcPr>
          <w:p w:rsidR="009F1ECF" w:rsidRDefault="009F1ECF" w:rsidP="007A2DEE">
            <w:pPr>
              <w:pStyle w:val="mhb1"/>
              <w:tabs>
                <w:tab w:val="clear" w:pos="567"/>
              </w:tabs>
              <w:spacing w:before="0"/>
              <w:rPr>
                <w:b w:val="0"/>
                <w:sz w:val="20"/>
              </w:rPr>
            </w:pPr>
            <w:r>
              <w:rPr>
                <w:b w:val="0"/>
                <w:sz w:val="20"/>
              </w:rPr>
              <w:t>An outline of the structure of the portfolio of the entity.</w:t>
            </w:r>
          </w:p>
        </w:tc>
        <w:tc>
          <w:tcPr>
            <w:tcW w:w="1275" w:type="dxa"/>
          </w:tcPr>
          <w:p w:rsidR="009F1ECF" w:rsidRDefault="009F1ECF" w:rsidP="009F1ECF">
            <w:pPr>
              <w:pStyle w:val="mhb1"/>
              <w:tabs>
                <w:tab w:val="clear" w:pos="567"/>
              </w:tabs>
              <w:spacing w:before="0"/>
              <w:rPr>
                <w:b w:val="0"/>
                <w:sz w:val="20"/>
              </w:rPr>
            </w:pPr>
            <w:r>
              <w:rPr>
                <w:b w:val="0"/>
                <w:sz w:val="20"/>
              </w:rPr>
              <w:t>Portfolio departments – Mandatory</w:t>
            </w:r>
          </w:p>
        </w:tc>
        <w:tc>
          <w:tcPr>
            <w:tcW w:w="1134" w:type="dxa"/>
          </w:tcPr>
          <w:p w:rsidR="009F1ECF" w:rsidRDefault="009F1ECF" w:rsidP="007A2DEE">
            <w:pPr>
              <w:pStyle w:val="mhb1"/>
              <w:tabs>
                <w:tab w:val="clear" w:pos="567"/>
              </w:tabs>
              <w:spacing w:before="0"/>
              <w:rPr>
                <w:b w:val="0"/>
                <w:sz w:val="16"/>
                <w:szCs w:val="16"/>
              </w:rPr>
            </w:pPr>
            <w:r>
              <w:rPr>
                <w:b w:val="0"/>
                <w:sz w:val="16"/>
                <w:szCs w:val="16"/>
              </w:rPr>
              <w:t>N/A</w:t>
            </w:r>
          </w:p>
        </w:tc>
      </w:tr>
      <w:tr w:rsidR="00A65A83" w:rsidTr="002D48EF">
        <w:trPr>
          <w:cantSplit/>
          <w:trHeight w:val="50"/>
        </w:trPr>
        <w:tc>
          <w:tcPr>
            <w:tcW w:w="908" w:type="dxa"/>
          </w:tcPr>
          <w:p w:rsidR="00A65A83" w:rsidRDefault="00A65A83" w:rsidP="00D65937">
            <w:pPr>
              <w:pStyle w:val="mhb1"/>
              <w:tabs>
                <w:tab w:val="clear" w:pos="567"/>
              </w:tabs>
              <w:spacing w:before="0"/>
              <w:jc w:val="center"/>
              <w:rPr>
                <w:b w:val="0"/>
                <w:sz w:val="16"/>
              </w:rPr>
            </w:pPr>
            <w:r>
              <w:rPr>
                <w:b w:val="0"/>
                <w:sz w:val="16"/>
              </w:rPr>
              <w:t>17AE(1)(a) (iv)</w:t>
            </w:r>
          </w:p>
        </w:tc>
        <w:tc>
          <w:tcPr>
            <w:tcW w:w="760" w:type="dxa"/>
          </w:tcPr>
          <w:p w:rsidR="00A65A83" w:rsidRDefault="00A65A83" w:rsidP="007A2DEE">
            <w:pPr>
              <w:pStyle w:val="mhb1"/>
              <w:tabs>
                <w:tab w:val="clear" w:pos="567"/>
              </w:tabs>
              <w:spacing w:before="0"/>
              <w:jc w:val="center"/>
              <w:rPr>
                <w:b w:val="0"/>
                <w:sz w:val="20"/>
              </w:rPr>
            </w:pPr>
          </w:p>
        </w:tc>
        <w:tc>
          <w:tcPr>
            <w:tcW w:w="3351" w:type="dxa"/>
          </w:tcPr>
          <w:p w:rsidR="00A65A83" w:rsidRDefault="00A65A83" w:rsidP="009F1ECF">
            <w:pPr>
              <w:pStyle w:val="mhb1"/>
              <w:tabs>
                <w:tab w:val="clear" w:pos="567"/>
              </w:tabs>
              <w:spacing w:before="0"/>
              <w:rPr>
                <w:b w:val="0"/>
                <w:sz w:val="20"/>
              </w:rPr>
            </w:pPr>
            <w:r>
              <w:rPr>
                <w:b w:val="0"/>
                <w:sz w:val="20"/>
              </w:rPr>
              <w:t>Where outcome and program</w:t>
            </w:r>
            <w:r w:rsidR="009F1ECF">
              <w:rPr>
                <w:b w:val="0"/>
                <w:sz w:val="20"/>
              </w:rPr>
              <w:t>s administered</w:t>
            </w:r>
            <w:r>
              <w:rPr>
                <w:b w:val="0"/>
                <w:sz w:val="20"/>
              </w:rPr>
              <w:t xml:space="preserve"> </w:t>
            </w:r>
            <w:r w:rsidR="009F1ECF">
              <w:rPr>
                <w:b w:val="0"/>
                <w:sz w:val="20"/>
              </w:rPr>
              <w:t>by the entity d</w:t>
            </w:r>
            <w:r>
              <w:rPr>
                <w:b w:val="0"/>
                <w:sz w:val="20"/>
              </w:rPr>
              <w:t>iffer from</w:t>
            </w:r>
            <w:r w:rsidR="009F1ECF">
              <w:rPr>
                <w:b w:val="0"/>
                <w:sz w:val="20"/>
              </w:rPr>
              <w:t xml:space="preserve"> any</w:t>
            </w:r>
            <w:r>
              <w:rPr>
                <w:b w:val="0"/>
                <w:sz w:val="20"/>
              </w:rPr>
              <w:t xml:space="preserve"> P</w:t>
            </w:r>
            <w:r w:rsidR="009F1ECF">
              <w:rPr>
                <w:b w:val="0"/>
                <w:sz w:val="20"/>
              </w:rPr>
              <w:t xml:space="preserve">ortfolio </w:t>
            </w:r>
            <w:r>
              <w:rPr>
                <w:b w:val="0"/>
                <w:sz w:val="20"/>
              </w:rPr>
              <w:t>B</w:t>
            </w:r>
            <w:r w:rsidR="009F1ECF">
              <w:rPr>
                <w:b w:val="0"/>
                <w:sz w:val="20"/>
              </w:rPr>
              <w:t xml:space="preserve">udget Statement, </w:t>
            </w:r>
            <w:r>
              <w:rPr>
                <w:b w:val="0"/>
                <w:sz w:val="20"/>
              </w:rPr>
              <w:t>P</w:t>
            </w:r>
            <w:r w:rsidR="009F1ECF">
              <w:rPr>
                <w:b w:val="0"/>
                <w:sz w:val="20"/>
              </w:rPr>
              <w:t xml:space="preserve">ortfolio </w:t>
            </w:r>
            <w:r>
              <w:rPr>
                <w:b w:val="0"/>
                <w:sz w:val="20"/>
              </w:rPr>
              <w:t>A</w:t>
            </w:r>
            <w:r w:rsidR="009F1ECF">
              <w:rPr>
                <w:b w:val="0"/>
                <w:sz w:val="20"/>
              </w:rPr>
              <w:t xml:space="preserve">dditional </w:t>
            </w:r>
            <w:r>
              <w:rPr>
                <w:b w:val="0"/>
                <w:sz w:val="20"/>
              </w:rPr>
              <w:t>E</w:t>
            </w:r>
            <w:r w:rsidR="009F1ECF">
              <w:rPr>
                <w:b w:val="0"/>
                <w:sz w:val="20"/>
              </w:rPr>
              <w:t xml:space="preserve">stimates </w:t>
            </w:r>
            <w:r>
              <w:rPr>
                <w:b w:val="0"/>
                <w:sz w:val="20"/>
              </w:rPr>
              <w:t>S</w:t>
            </w:r>
            <w:r w:rsidR="009F1ECF">
              <w:rPr>
                <w:b w:val="0"/>
                <w:sz w:val="20"/>
              </w:rPr>
              <w:t>tatement</w:t>
            </w:r>
            <w:r>
              <w:rPr>
                <w:b w:val="0"/>
                <w:sz w:val="20"/>
              </w:rPr>
              <w:t xml:space="preserve"> or other portfolio</w:t>
            </w:r>
            <w:r w:rsidR="009F1ECF">
              <w:rPr>
                <w:b w:val="0"/>
                <w:sz w:val="20"/>
              </w:rPr>
              <w:t xml:space="preserve"> estimates statement that was prepared for the entity for the period, include</w:t>
            </w:r>
            <w:r>
              <w:rPr>
                <w:b w:val="0"/>
                <w:sz w:val="20"/>
              </w:rPr>
              <w:t xml:space="preserve"> details of variation and reasons for change</w:t>
            </w:r>
            <w:r w:rsidR="009F1ECF">
              <w:rPr>
                <w:b w:val="0"/>
                <w:sz w:val="20"/>
              </w:rPr>
              <w:t>.</w:t>
            </w:r>
          </w:p>
        </w:tc>
        <w:tc>
          <w:tcPr>
            <w:tcW w:w="1275" w:type="dxa"/>
          </w:tcPr>
          <w:p w:rsidR="00A65A83" w:rsidRDefault="009F1ECF" w:rsidP="007A2DEE">
            <w:pPr>
              <w:pStyle w:val="mhb1"/>
              <w:tabs>
                <w:tab w:val="clear" w:pos="567"/>
              </w:tabs>
              <w:spacing w:before="0"/>
              <w:rPr>
                <w:b w:val="0"/>
                <w:sz w:val="20"/>
              </w:rPr>
            </w:pPr>
            <w:r>
              <w:rPr>
                <w:b w:val="0"/>
                <w:sz w:val="20"/>
              </w:rPr>
              <w:t xml:space="preserve">If applicable, </w:t>
            </w:r>
            <w:r w:rsidR="00A65A83">
              <w:rPr>
                <w:b w:val="0"/>
                <w:sz w:val="20"/>
              </w:rPr>
              <w:t>Mandatory</w:t>
            </w:r>
          </w:p>
        </w:tc>
        <w:tc>
          <w:tcPr>
            <w:tcW w:w="1134" w:type="dxa"/>
          </w:tcPr>
          <w:p w:rsidR="00A65A83" w:rsidRPr="00EE0730" w:rsidRDefault="00A65A83" w:rsidP="007A2DEE">
            <w:pPr>
              <w:pStyle w:val="mhb1"/>
              <w:tabs>
                <w:tab w:val="clear" w:pos="567"/>
              </w:tabs>
              <w:spacing w:before="0"/>
              <w:rPr>
                <w:b w:val="0"/>
                <w:sz w:val="16"/>
                <w:szCs w:val="16"/>
              </w:rPr>
            </w:pPr>
            <w:r>
              <w:rPr>
                <w:b w:val="0"/>
                <w:sz w:val="16"/>
                <w:szCs w:val="16"/>
              </w:rPr>
              <w:t>N/A</w:t>
            </w:r>
          </w:p>
        </w:tc>
      </w:tr>
      <w:tr w:rsidR="007A05D9" w:rsidTr="002D48EF">
        <w:trPr>
          <w:cantSplit/>
          <w:trHeight w:val="50"/>
        </w:trPr>
        <w:tc>
          <w:tcPr>
            <w:tcW w:w="908" w:type="dxa"/>
          </w:tcPr>
          <w:p w:rsidR="007A05D9" w:rsidRPr="00D65937" w:rsidRDefault="007A05D9" w:rsidP="007A2DEE">
            <w:pPr>
              <w:pStyle w:val="mhb1"/>
              <w:tabs>
                <w:tab w:val="clear" w:pos="567"/>
              </w:tabs>
              <w:spacing w:before="0"/>
              <w:jc w:val="center"/>
              <w:rPr>
                <w:sz w:val="16"/>
              </w:rPr>
            </w:pPr>
            <w:r w:rsidRPr="00D65937">
              <w:rPr>
                <w:sz w:val="16"/>
              </w:rPr>
              <w:t>17AD(c)</w:t>
            </w:r>
          </w:p>
        </w:tc>
        <w:tc>
          <w:tcPr>
            <w:tcW w:w="6520" w:type="dxa"/>
            <w:gridSpan w:val="4"/>
          </w:tcPr>
          <w:p w:rsidR="007A05D9" w:rsidRPr="00087F6B" w:rsidRDefault="007A05D9" w:rsidP="00D65937">
            <w:pPr>
              <w:pStyle w:val="mhb1"/>
              <w:tabs>
                <w:tab w:val="clear" w:pos="567"/>
              </w:tabs>
              <w:spacing w:before="0"/>
              <w:rPr>
                <w:sz w:val="20"/>
              </w:rPr>
            </w:pPr>
            <w:r>
              <w:rPr>
                <w:sz w:val="20"/>
              </w:rPr>
              <w:t>Report on the Performance of the entity</w:t>
            </w:r>
          </w:p>
        </w:tc>
      </w:tr>
      <w:tr w:rsidR="007A05D9" w:rsidTr="002D48EF">
        <w:trPr>
          <w:cantSplit/>
          <w:trHeight w:val="50"/>
        </w:trPr>
        <w:tc>
          <w:tcPr>
            <w:tcW w:w="908" w:type="dxa"/>
          </w:tcPr>
          <w:p w:rsidR="007A05D9" w:rsidRDefault="007A05D9" w:rsidP="007A2DEE">
            <w:pPr>
              <w:pStyle w:val="mhb1"/>
              <w:tabs>
                <w:tab w:val="clear" w:pos="567"/>
              </w:tabs>
              <w:spacing w:before="0"/>
              <w:jc w:val="center"/>
              <w:rPr>
                <w:b w:val="0"/>
                <w:sz w:val="16"/>
              </w:rPr>
            </w:pPr>
          </w:p>
        </w:tc>
        <w:tc>
          <w:tcPr>
            <w:tcW w:w="6520" w:type="dxa"/>
            <w:gridSpan w:val="4"/>
          </w:tcPr>
          <w:p w:rsidR="007A05D9" w:rsidRPr="007A05D9" w:rsidRDefault="007A05D9" w:rsidP="00D65937">
            <w:pPr>
              <w:pStyle w:val="mhb1"/>
              <w:tabs>
                <w:tab w:val="clear" w:pos="567"/>
              </w:tabs>
              <w:spacing w:before="0"/>
              <w:rPr>
                <w:i/>
                <w:sz w:val="20"/>
              </w:rPr>
            </w:pPr>
            <w:r>
              <w:rPr>
                <w:i/>
                <w:sz w:val="20"/>
              </w:rPr>
              <w:t>Annual Performance Statements</w:t>
            </w:r>
          </w:p>
        </w:tc>
      </w:tr>
      <w:tr w:rsidR="000C5713" w:rsidTr="002D48EF">
        <w:trPr>
          <w:cantSplit/>
          <w:trHeight w:val="50"/>
        </w:trPr>
        <w:tc>
          <w:tcPr>
            <w:tcW w:w="908" w:type="dxa"/>
          </w:tcPr>
          <w:p w:rsidR="000C5713" w:rsidRDefault="007A05D9" w:rsidP="007A2DEE">
            <w:pPr>
              <w:pStyle w:val="mhb1"/>
              <w:tabs>
                <w:tab w:val="clear" w:pos="567"/>
              </w:tabs>
              <w:spacing w:before="0"/>
              <w:jc w:val="center"/>
              <w:rPr>
                <w:b w:val="0"/>
                <w:sz w:val="16"/>
              </w:rPr>
            </w:pPr>
            <w:r>
              <w:rPr>
                <w:b w:val="0"/>
                <w:sz w:val="16"/>
              </w:rPr>
              <w:t>17AD(c)(i); 16F</w:t>
            </w:r>
          </w:p>
        </w:tc>
        <w:tc>
          <w:tcPr>
            <w:tcW w:w="760" w:type="dxa"/>
          </w:tcPr>
          <w:p w:rsidR="000C5713" w:rsidRDefault="000C5713" w:rsidP="007A2DEE">
            <w:pPr>
              <w:pStyle w:val="mhb1"/>
              <w:tabs>
                <w:tab w:val="clear" w:pos="567"/>
              </w:tabs>
              <w:spacing w:before="0"/>
              <w:rPr>
                <w:b w:val="0"/>
                <w:sz w:val="20"/>
              </w:rPr>
            </w:pPr>
          </w:p>
        </w:tc>
        <w:tc>
          <w:tcPr>
            <w:tcW w:w="3351" w:type="dxa"/>
          </w:tcPr>
          <w:p w:rsidR="000C5713" w:rsidRDefault="007A05D9" w:rsidP="007A2DEE">
            <w:pPr>
              <w:pStyle w:val="mhb1"/>
              <w:tabs>
                <w:tab w:val="clear" w:pos="567"/>
              </w:tabs>
              <w:spacing w:before="0"/>
              <w:rPr>
                <w:b w:val="0"/>
                <w:sz w:val="20"/>
              </w:rPr>
            </w:pPr>
            <w:r>
              <w:rPr>
                <w:b w:val="0"/>
                <w:sz w:val="20"/>
              </w:rPr>
              <w:t xml:space="preserve">Annual performance statement in accordance with paragraph 39(1)(b) of the </w:t>
            </w:r>
            <w:r w:rsidR="00256A92">
              <w:rPr>
                <w:b w:val="0"/>
                <w:sz w:val="20"/>
              </w:rPr>
              <w:t xml:space="preserve">PGPA </w:t>
            </w:r>
            <w:r>
              <w:rPr>
                <w:b w:val="0"/>
                <w:sz w:val="20"/>
              </w:rPr>
              <w:t xml:space="preserve">Act and section 16F of the </w:t>
            </w:r>
            <w:r w:rsidR="00256A92">
              <w:rPr>
                <w:b w:val="0"/>
                <w:sz w:val="20"/>
              </w:rPr>
              <w:t xml:space="preserve">PGPA </w:t>
            </w:r>
            <w:r>
              <w:rPr>
                <w:b w:val="0"/>
                <w:sz w:val="20"/>
              </w:rPr>
              <w:t>Rule.</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Chapter 2</w:t>
            </w:r>
          </w:p>
        </w:tc>
      </w:tr>
      <w:tr w:rsidR="00D65937" w:rsidTr="002D48EF">
        <w:trPr>
          <w:cantSplit/>
          <w:trHeight w:val="50"/>
        </w:trPr>
        <w:tc>
          <w:tcPr>
            <w:tcW w:w="908" w:type="dxa"/>
          </w:tcPr>
          <w:p w:rsidR="00D65937" w:rsidRPr="00D65937" w:rsidRDefault="00D65937" w:rsidP="00D65937">
            <w:pPr>
              <w:pStyle w:val="mhb1"/>
              <w:tabs>
                <w:tab w:val="clear" w:pos="567"/>
              </w:tabs>
              <w:spacing w:before="0"/>
              <w:jc w:val="center"/>
              <w:rPr>
                <w:i/>
                <w:sz w:val="16"/>
              </w:rPr>
            </w:pPr>
            <w:r w:rsidRPr="00D65937">
              <w:rPr>
                <w:i/>
                <w:sz w:val="16"/>
              </w:rPr>
              <w:t>17AD(c)(ii)</w:t>
            </w:r>
          </w:p>
        </w:tc>
        <w:tc>
          <w:tcPr>
            <w:tcW w:w="6520" w:type="dxa"/>
            <w:gridSpan w:val="4"/>
          </w:tcPr>
          <w:p w:rsidR="00D65937" w:rsidRPr="007A05D9" w:rsidRDefault="00D65937" w:rsidP="00D65937">
            <w:pPr>
              <w:pStyle w:val="mhb1"/>
              <w:tabs>
                <w:tab w:val="clear" w:pos="567"/>
              </w:tabs>
              <w:spacing w:before="0"/>
              <w:rPr>
                <w:i/>
                <w:sz w:val="20"/>
              </w:rPr>
            </w:pPr>
            <w:r>
              <w:rPr>
                <w:i/>
                <w:sz w:val="20"/>
              </w:rPr>
              <w:t>Report on Financial Performance</w:t>
            </w:r>
          </w:p>
        </w:tc>
      </w:tr>
      <w:tr w:rsidR="000C5713" w:rsidTr="002D48EF">
        <w:trPr>
          <w:cantSplit/>
          <w:trHeight w:val="50"/>
        </w:trPr>
        <w:tc>
          <w:tcPr>
            <w:tcW w:w="908" w:type="dxa"/>
          </w:tcPr>
          <w:p w:rsidR="000C5713" w:rsidRDefault="00D65937" w:rsidP="007A2DEE">
            <w:pPr>
              <w:pStyle w:val="mhb1"/>
              <w:tabs>
                <w:tab w:val="clear" w:pos="567"/>
              </w:tabs>
              <w:spacing w:before="0"/>
              <w:jc w:val="center"/>
              <w:rPr>
                <w:b w:val="0"/>
                <w:sz w:val="16"/>
              </w:rPr>
            </w:pPr>
            <w:r>
              <w:rPr>
                <w:b w:val="0"/>
                <w:sz w:val="16"/>
              </w:rPr>
              <w:t>17AF(1)(a)</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Pr="00CB1118" w:rsidRDefault="00D65937" w:rsidP="007A2DEE">
            <w:pPr>
              <w:pStyle w:val="mhb1"/>
              <w:tabs>
                <w:tab w:val="clear" w:pos="567"/>
              </w:tabs>
              <w:spacing w:before="0"/>
              <w:rPr>
                <w:b w:val="0"/>
                <w:sz w:val="20"/>
              </w:rPr>
            </w:pPr>
            <w:r>
              <w:rPr>
                <w:b w:val="0"/>
                <w:sz w:val="20"/>
              </w:rPr>
              <w:t>A discussion and analysis of the entity’s financial performance.</w:t>
            </w:r>
          </w:p>
        </w:tc>
        <w:tc>
          <w:tcPr>
            <w:tcW w:w="1275" w:type="dxa"/>
          </w:tcPr>
          <w:p w:rsidR="000C5713" w:rsidRPr="00CB1118" w:rsidRDefault="000C5713" w:rsidP="007A2DEE">
            <w:pPr>
              <w:pStyle w:val="mhb1"/>
              <w:tabs>
                <w:tab w:val="clear" w:pos="567"/>
              </w:tabs>
              <w:spacing w:before="0"/>
              <w:rPr>
                <w:b w:val="0"/>
                <w:sz w:val="20"/>
              </w:rPr>
            </w:pPr>
            <w:r w:rsidRPr="00CB1118">
              <w:rPr>
                <w:b w:val="0"/>
                <w:sz w:val="20"/>
              </w:rPr>
              <w:t>Mandatory</w:t>
            </w:r>
          </w:p>
        </w:tc>
        <w:tc>
          <w:tcPr>
            <w:tcW w:w="1134" w:type="dxa"/>
          </w:tcPr>
          <w:p w:rsidR="000C5713" w:rsidRPr="00A76D1D" w:rsidRDefault="000C5713" w:rsidP="007A2DEE">
            <w:pPr>
              <w:pStyle w:val="mhb1"/>
              <w:tabs>
                <w:tab w:val="clear" w:pos="567"/>
              </w:tabs>
              <w:spacing w:before="0"/>
              <w:rPr>
                <w:b w:val="0"/>
                <w:sz w:val="16"/>
                <w:szCs w:val="16"/>
              </w:rPr>
            </w:pPr>
            <w:r w:rsidRPr="00A76D1D">
              <w:rPr>
                <w:b w:val="0"/>
                <w:sz w:val="16"/>
                <w:szCs w:val="16"/>
              </w:rPr>
              <w:t>Chapter 2</w:t>
            </w:r>
          </w:p>
        </w:tc>
      </w:tr>
      <w:tr w:rsidR="00D65937" w:rsidTr="002D48EF">
        <w:trPr>
          <w:cantSplit/>
          <w:trHeight w:val="50"/>
        </w:trPr>
        <w:tc>
          <w:tcPr>
            <w:tcW w:w="908" w:type="dxa"/>
          </w:tcPr>
          <w:p w:rsidR="00D65937" w:rsidRDefault="00D65937" w:rsidP="00D65937">
            <w:pPr>
              <w:pStyle w:val="mhb1"/>
              <w:tabs>
                <w:tab w:val="clear" w:pos="567"/>
              </w:tabs>
              <w:spacing w:before="0"/>
              <w:jc w:val="center"/>
              <w:rPr>
                <w:b w:val="0"/>
                <w:sz w:val="16"/>
              </w:rPr>
            </w:pPr>
            <w:r>
              <w:rPr>
                <w:b w:val="0"/>
                <w:sz w:val="16"/>
              </w:rPr>
              <w:t>17AF(1)(b)</w:t>
            </w:r>
          </w:p>
        </w:tc>
        <w:tc>
          <w:tcPr>
            <w:tcW w:w="760" w:type="dxa"/>
          </w:tcPr>
          <w:p w:rsidR="00D65937" w:rsidRDefault="00D65937" w:rsidP="007A2DEE">
            <w:pPr>
              <w:pStyle w:val="mhb1"/>
              <w:tabs>
                <w:tab w:val="clear" w:pos="567"/>
              </w:tabs>
              <w:spacing w:before="0"/>
              <w:jc w:val="center"/>
              <w:rPr>
                <w:b w:val="0"/>
                <w:sz w:val="20"/>
              </w:rPr>
            </w:pPr>
          </w:p>
        </w:tc>
        <w:tc>
          <w:tcPr>
            <w:tcW w:w="3351" w:type="dxa"/>
          </w:tcPr>
          <w:p w:rsidR="00D65937" w:rsidRPr="00CB1118" w:rsidRDefault="00D65937" w:rsidP="00D65937">
            <w:pPr>
              <w:pStyle w:val="mhb1"/>
              <w:tabs>
                <w:tab w:val="clear" w:pos="567"/>
              </w:tabs>
              <w:spacing w:before="0"/>
              <w:rPr>
                <w:b w:val="0"/>
                <w:sz w:val="20"/>
              </w:rPr>
            </w:pPr>
            <w:r>
              <w:rPr>
                <w:b w:val="0"/>
                <w:sz w:val="20"/>
              </w:rPr>
              <w:t>A table summarising the total</w:t>
            </w:r>
            <w:r w:rsidRPr="00CB1118">
              <w:rPr>
                <w:b w:val="0"/>
                <w:sz w:val="20"/>
              </w:rPr>
              <w:t xml:space="preserve"> resource</w:t>
            </w:r>
            <w:r>
              <w:rPr>
                <w:b w:val="0"/>
                <w:sz w:val="20"/>
              </w:rPr>
              <w:t xml:space="preserve">s </w:t>
            </w:r>
            <w:r w:rsidRPr="00CB1118">
              <w:rPr>
                <w:b w:val="0"/>
                <w:sz w:val="20"/>
              </w:rPr>
              <w:t xml:space="preserve">and </w:t>
            </w:r>
            <w:r>
              <w:rPr>
                <w:b w:val="0"/>
                <w:sz w:val="20"/>
              </w:rPr>
              <w:t>total payments of the entity.</w:t>
            </w:r>
          </w:p>
        </w:tc>
        <w:tc>
          <w:tcPr>
            <w:tcW w:w="1275" w:type="dxa"/>
          </w:tcPr>
          <w:p w:rsidR="00D65937" w:rsidRPr="00CB1118" w:rsidRDefault="00D65937" w:rsidP="007A2DEE">
            <w:pPr>
              <w:pStyle w:val="mhb1"/>
              <w:tabs>
                <w:tab w:val="clear" w:pos="567"/>
              </w:tabs>
              <w:spacing w:before="0"/>
              <w:rPr>
                <w:b w:val="0"/>
                <w:sz w:val="20"/>
              </w:rPr>
            </w:pPr>
            <w:r w:rsidRPr="00CB1118">
              <w:rPr>
                <w:b w:val="0"/>
                <w:sz w:val="20"/>
              </w:rPr>
              <w:t>Mandatory</w:t>
            </w:r>
          </w:p>
        </w:tc>
        <w:tc>
          <w:tcPr>
            <w:tcW w:w="1134" w:type="dxa"/>
          </w:tcPr>
          <w:p w:rsidR="00D65937" w:rsidRPr="00EE0730" w:rsidRDefault="00D65937" w:rsidP="00D65937">
            <w:pPr>
              <w:pStyle w:val="mhb1"/>
              <w:tabs>
                <w:tab w:val="clear" w:pos="567"/>
              </w:tabs>
              <w:spacing w:before="0"/>
              <w:rPr>
                <w:b w:val="0"/>
                <w:sz w:val="16"/>
                <w:szCs w:val="16"/>
              </w:rPr>
            </w:pPr>
            <w:r>
              <w:rPr>
                <w:b w:val="0"/>
                <w:sz w:val="16"/>
                <w:szCs w:val="16"/>
              </w:rPr>
              <w:t>Appendix A</w:t>
            </w:r>
          </w:p>
        </w:tc>
      </w:tr>
      <w:tr w:rsidR="00D65937" w:rsidTr="002D48EF">
        <w:trPr>
          <w:cantSplit/>
          <w:trHeight w:val="50"/>
        </w:trPr>
        <w:tc>
          <w:tcPr>
            <w:tcW w:w="908" w:type="dxa"/>
          </w:tcPr>
          <w:p w:rsidR="00D65937" w:rsidRDefault="00D65937" w:rsidP="00D65937">
            <w:pPr>
              <w:pStyle w:val="mhb1"/>
              <w:tabs>
                <w:tab w:val="clear" w:pos="567"/>
              </w:tabs>
              <w:spacing w:before="0"/>
              <w:jc w:val="center"/>
              <w:rPr>
                <w:b w:val="0"/>
                <w:sz w:val="16"/>
              </w:rPr>
            </w:pPr>
            <w:r>
              <w:rPr>
                <w:b w:val="0"/>
                <w:sz w:val="16"/>
              </w:rPr>
              <w:t>17AF(2)</w:t>
            </w:r>
          </w:p>
        </w:tc>
        <w:tc>
          <w:tcPr>
            <w:tcW w:w="760" w:type="dxa"/>
          </w:tcPr>
          <w:p w:rsidR="00D65937" w:rsidRDefault="00D65937" w:rsidP="007A2DEE">
            <w:pPr>
              <w:pStyle w:val="mhb1"/>
              <w:tabs>
                <w:tab w:val="clear" w:pos="567"/>
              </w:tabs>
              <w:spacing w:before="0"/>
              <w:jc w:val="center"/>
              <w:rPr>
                <w:b w:val="0"/>
                <w:sz w:val="20"/>
              </w:rPr>
            </w:pPr>
          </w:p>
        </w:tc>
        <w:tc>
          <w:tcPr>
            <w:tcW w:w="3351" w:type="dxa"/>
          </w:tcPr>
          <w:p w:rsidR="00D65937" w:rsidRPr="00CB1118" w:rsidRDefault="00D65937" w:rsidP="00D65937">
            <w:pPr>
              <w:pStyle w:val="mhb1"/>
              <w:tabs>
                <w:tab w:val="clear" w:pos="567"/>
              </w:tabs>
              <w:spacing w:before="0"/>
              <w:rPr>
                <w:b w:val="0"/>
                <w:sz w:val="20"/>
              </w:rPr>
            </w:pPr>
            <w:r>
              <w:rPr>
                <w:b w:val="0"/>
                <w:sz w:val="20"/>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275" w:type="dxa"/>
          </w:tcPr>
          <w:p w:rsidR="00D65937" w:rsidRPr="00CB1118" w:rsidRDefault="00B913CB" w:rsidP="007A2DEE">
            <w:pPr>
              <w:pStyle w:val="mhb1"/>
              <w:tabs>
                <w:tab w:val="clear" w:pos="567"/>
              </w:tabs>
              <w:spacing w:before="0"/>
              <w:rPr>
                <w:b w:val="0"/>
                <w:sz w:val="20"/>
              </w:rPr>
            </w:pPr>
            <w:r>
              <w:rPr>
                <w:b w:val="0"/>
                <w:sz w:val="20"/>
              </w:rPr>
              <w:t xml:space="preserve">If applicable, </w:t>
            </w:r>
            <w:r w:rsidR="00D65937" w:rsidRPr="00CB1118">
              <w:rPr>
                <w:b w:val="0"/>
                <w:sz w:val="20"/>
              </w:rPr>
              <w:t>Mandatory</w:t>
            </w:r>
          </w:p>
        </w:tc>
        <w:tc>
          <w:tcPr>
            <w:tcW w:w="1134" w:type="dxa"/>
          </w:tcPr>
          <w:p w:rsidR="00D65937" w:rsidRPr="00EE0730" w:rsidRDefault="00D65937" w:rsidP="007A2DEE">
            <w:pPr>
              <w:pStyle w:val="mhb1"/>
              <w:tabs>
                <w:tab w:val="clear" w:pos="567"/>
              </w:tabs>
              <w:spacing w:before="0"/>
              <w:rPr>
                <w:b w:val="0"/>
                <w:sz w:val="16"/>
                <w:szCs w:val="16"/>
              </w:rPr>
            </w:pPr>
            <w:r>
              <w:rPr>
                <w:b w:val="0"/>
                <w:sz w:val="16"/>
                <w:szCs w:val="16"/>
              </w:rPr>
              <w:t>Chapter 2</w:t>
            </w:r>
          </w:p>
        </w:tc>
      </w:tr>
      <w:tr w:rsidR="00B913CB" w:rsidTr="002D48EF">
        <w:trPr>
          <w:cantSplit/>
          <w:trHeight w:val="50"/>
        </w:trPr>
        <w:tc>
          <w:tcPr>
            <w:tcW w:w="908" w:type="dxa"/>
          </w:tcPr>
          <w:p w:rsidR="00B913CB" w:rsidRPr="00D65937" w:rsidRDefault="00B913CB" w:rsidP="00B913CB">
            <w:pPr>
              <w:pStyle w:val="mhb1"/>
              <w:tabs>
                <w:tab w:val="clear" w:pos="567"/>
              </w:tabs>
              <w:spacing w:before="0"/>
              <w:jc w:val="center"/>
              <w:rPr>
                <w:sz w:val="16"/>
              </w:rPr>
            </w:pPr>
            <w:r w:rsidRPr="00D65937">
              <w:rPr>
                <w:sz w:val="16"/>
              </w:rPr>
              <w:t>17AD(</w:t>
            </w:r>
            <w:r>
              <w:rPr>
                <w:sz w:val="16"/>
              </w:rPr>
              <w:t>d</w:t>
            </w:r>
            <w:r w:rsidRPr="00D65937">
              <w:rPr>
                <w:sz w:val="16"/>
              </w:rPr>
              <w:t>)</w:t>
            </w:r>
          </w:p>
        </w:tc>
        <w:tc>
          <w:tcPr>
            <w:tcW w:w="6520" w:type="dxa"/>
            <w:gridSpan w:val="4"/>
          </w:tcPr>
          <w:p w:rsidR="00B913CB" w:rsidRPr="00B913CB" w:rsidRDefault="00B913CB" w:rsidP="00B913CB">
            <w:pPr>
              <w:pStyle w:val="mhb1"/>
              <w:tabs>
                <w:tab w:val="clear" w:pos="567"/>
              </w:tabs>
              <w:spacing w:before="0"/>
              <w:rPr>
                <w:sz w:val="20"/>
              </w:rPr>
            </w:pPr>
            <w:r w:rsidRPr="007C1DFC">
              <w:rPr>
                <w:sz w:val="20"/>
              </w:rPr>
              <w:t>Management</w:t>
            </w:r>
            <w:r>
              <w:rPr>
                <w:sz w:val="20"/>
              </w:rPr>
              <w:t xml:space="preserve"> and</w:t>
            </w:r>
            <w:r w:rsidRPr="007C1DFC">
              <w:rPr>
                <w:sz w:val="20"/>
              </w:rPr>
              <w:t xml:space="preserve"> Accountability</w:t>
            </w:r>
          </w:p>
        </w:tc>
      </w:tr>
      <w:tr w:rsidR="00B913CB" w:rsidTr="002D48EF">
        <w:trPr>
          <w:cantSplit/>
          <w:trHeight w:val="50"/>
        </w:trPr>
        <w:tc>
          <w:tcPr>
            <w:tcW w:w="908" w:type="dxa"/>
          </w:tcPr>
          <w:p w:rsidR="00B913CB" w:rsidRDefault="00B913CB" w:rsidP="007A2DEE">
            <w:pPr>
              <w:pStyle w:val="mhb1"/>
              <w:tabs>
                <w:tab w:val="clear" w:pos="567"/>
              </w:tabs>
              <w:spacing w:before="0"/>
              <w:jc w:val="center"/>
              <w:rPr>
                <w:b w:val="0"/>
                <w:sz w:val="16"/>
              </w:rPr>
            </w:pPr>
          </w:p>
        </w:tc>
        <w:tc>
          <w:tcPr>
            <w:tcW w:w="6520" w:type="dxa"/>
            <w:gridSpan w:val="4"/>
          </w:tcPr>
          <w:p w:rsidR="00B913CB" w:rsidRPr="00EE0730" w:rsidRDefault="00B913CB" w:rsidP="007A2DEE">
            <w:pPr>
              <w:rPr>
                <w:sz w:val="16"/>
                <w:szCs w:val="16"/>
              </w:rPr>
            </w:pPr>
            <w:r w:rsidRPr="007C1DFC">
              <w:rPr>
                <w:b/>
                <w:i/>
                <w:sz w:val="20"/>
              </w:rPr>
              <w:t>Corporate Governance</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t>17AG(2)(a)</w:t>
            </w:r>
          </w:p>
        </w:tc>
        <w:tc>
          <w:tcPr>
            <w:tcW w:w="760" w:type="dxa"/>
          </w:tcPr>
          <w:p w:rsidR="00B913CB" w:rsidRDefault="00B913CB" w:rsidP="007A2DEE">
            <w:pPr>
              <w:pStyle w:val="mhb1"/>
              <w:tabs>
                <w:tab w:val="clear" w:pos="567"/>
              </w:tabs>
              <w:spacing w:before="0"/>
              <w:rPr>
                <w:b w:val="0"/>
                <w:sz w:val="20"/>
              </w:rPr>
            </w:pPr>
          </w:p>
        </w:tc>
        <w:tc>
          <w:tcPr>
            <w:tcW w:w="3351" w:type="dxa"/>
          </w:tcPr>
          <w:p w:rsidR="00B913CB" w:rsidRPr="00CB1118" w:rsidRDefault="00B913CB" w:rsidP="00BA3C59">
            <w:pPr>
              <w:pStyle w:val="mhb1"/>
              <w:tabs>
                <w:tab w:val="clear" w:pos="567"/>
              </w:tabs>
              <w:spacing w:before="0"/>
              <w:rPr>
                <w:b w:val="0"/>
                <w:sz w:val="20"/>
              </w:rPr>
            </w:pPr>
            <w:r>
              <w:rPr>
                <w:b w:val="0"/>
                <w:sz w:val="20"/>
              </w:rPr>
              <w:t>Information on compliance with section 10 (fraud systems).</w:t>
            </w:r>
          </w:p>
        </w:tc>
        <w:tc>
          <w:tcPr>
            <w:tcW w:w="1275" w:type="dxa"/>
          </w:tcPr>
          <w:p w:rsidR="00B913CB" w:rsidRPr="00CB1118" w:rsidRDefault="00B913CB" w:rsidP="007A2DEE">
            <w:pPr>
              <w:pStyle w:val="mhb1"/>
              <w:tabs>
                <w:tab w:val="clear" w:pos="567"/>
              </w:tabs>
              <w:spacing w:before="0"/>
              <w:rPr>
                <w:b w:val="0"/>
                <w:sz w:val="20"/>
              </w:rPr>
            </w:pPr>
            <w:r w:rsidRPr="00CB1118">
              <w:rPr>
                <w:b w:val="0"/>
                <w:sz w:val="20"/>
              </w:rPr>
              <w:t>Mandatory</w:t>
            </w:r>
          </w:p>
        </w:tc>
        <w:tc>
          <w:tcPr>
            <w:tcW w:w="1134" w:type="dxa"/>
          </w:tcPr>
          <w:p w:rsidR="00B913CB" w:rsidRPr="00EE0730" w:rsidRDefault="00B913CB" w:rsidP="007A2DEE">
            <w:pPr>
              <w:pStyle w:val="mhb1"/>
              <w:tabs>
                <w:tab w:val="clear" w:pos="567"/>
              </w:tabs>
              <w:spacing w:before="0"/>
              <w:rPr>
                <w:b w:val="0"/>
                <w:sz w:val="16"/>
                <w:szCs w:val="16"/>
              </w:rPr>
            </w:pPr>
            <w:r>
              <w:rPr>
                <w:b w:val="0"/>
                <w:sz w:val="16"/>
                <w:szCs w:val="16"/>
              </w:rPr>
              <w:t>Chapter 3</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t>17AG(2)(b)(i)</w:t>
            </w:r>
          </w:p>
        </w:tc>
        <w:tc>
          <w:tcPr>
            <w:tcW w:w="760" w:type="dxa"/>
          </w:tcPr>
          <w:p w:rsidR="00B913CB" w:rsidRPr="00B619F8" w:rsidRDefault="00B913CB" w:rsidP="007A2DEE">
            <w:pPr>
              <w:pStyle w:val="mhb1"/>
              <w:tabs>
                <w:tab w:val="clear" w:pos="567"/>
              </w:tabs>
              <w:spacing w:before="0"/>
              <w:rPr>
                <w:b w:val="0"/>
                <w:sz w:val="20"/>
              </w:rPr>
            </w:pPr>
          </w:p>
        </w:tc>
        <w:tc>
          <w:tcPr>
            <w:tcW w:w="3351" w:type="dxa"/>
          </w:tcPr>
          <w:p w:rsidR="00B913CB" w:rsidRPr="00CB1118" w:rsidRDefault="00B913CB" w:rsidP="007A2DEE">
            <w:pPr>
              <w:pStyle w:val="mhb1"/>
              <w:tabs>
                <w:tab w:val="clear" w:pos="567"/>
              </w:tabs>
              <w:spacing w:before="0"/>
              <w:rPr>
                <w:b w:val="0"/>
                <w:sz w:val="20"/>
              </w:rPr>
            </w:pPr>
            <w:r>
              <w:rPr>
                <w:b w:val="0"/>
                <w:sz w:val="20"/>
              </w:rPr>
              <w:t>A certification by accountable authority that fraud risk assessments and fraud control plans have been prepared.</w:t>
            </w:r>
          </w:p>
        </w:tc>
        <w:tc>
          <w:tcPr>
            <w:tcW w:w="1275" w:type="dxa"/>
          </w:tcPr>
          <w:p w:rsidR="00B913CB" w:rsidRPr="00CB1118" w:rsidRDefault="00B913CB" w:rsidP="008B7F83">
            <w:pPr>
              <w:pStyle w:val="mhb1"/>
              <w:tabs>
                <w:tab w:val="clear" w:pos="567"/>
              </w:tabs>
              <w:spacing w:before="0"/>
              <w:rPr>
                <w:b w:val="0"/>
                <w:sz w:val="20"/>
              </w:rPr>
            </w:pPr>
            <w:r w:rsidRPr="00CB1118">
              <w:rPr>
                <w:b w:val="0"/>
                <w:sz w:val="20"/>
              </w:rPr>
              <w:t>Mandatory</w:t>
            </w:r>
          </w:p>
        </w:tc>
        <w:tc>
          <w:tcPr>
            <w:tcW w:w="1134" w:type="dxa"/>
          </w:tcPr>
          <w:p w:rsidR="00B913CB" w:rsidRPr="00EE0730" w:rsidRDefault="00B913CB" w:rsidP="008B7F83">
            <w:pPr>
              <w:pStyle w:val="mhb1"/>
              <w:tabs>
                <w:tab w:val="clear" w:pos="567"/>
              </w:tabs>
              <w:spacing w:before="0"/>
              <w:rPr>
                <w:b w:val="0"/>
                <w:sz w:val="16"/>
                <w:szCs w:val="16"/>
              </w:rPr>
            </w:pPr>
            <w:r>
              <w:rPr>
                <w:b w:val="0"/>
                <w:sz w:val="16"/>
                <w:szCs w:val="16"/>
              </w:rPr>
              <w:t>Chapter 3</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t>17AG(2)(b)(ii)</w:t>
            </w:r>
          </w:p>
        </w:tc>
        <w:tc>
          <w:tcPr>
            <w:tcW w:w="760" w:type="dxa"/>
          </w:tcPr>
          <w:p w:rsidR="00B913CB" w:rsidRPr="00B619F8" w:rsidRDefault="00B913CB" w:rsidP="008B7F83">
            <w:pPr>
              <w:pStyle w:val="mhb1"/>
              <w:tabs>
                <w:tab w:val="clear" w:pos="567"/>
              </w:tabs>
              <w:spacing w:before="0"/>
              <w:rPr>
                <w:b w:val="0"/>
                <w:sz w:val="20"/>
              </w:rPr>
            </w:pPr>
          </w:p>
        </w:tc>
        <w:tc>
          <w:tcPr>
            <w:tcW w:w="3351" w:type="dxa"/>
          </w:tcPr>
          <w:p w:rsidR="00B913CB" w:rsidRPr="00CB1118" w:rsidRDefault="00B913CB" w:rsidP="00B913CB">
            <w:pPr>
              <w:pStyle w:val="mhb1"/>
              <w:tabs>
                <w:tab w:val="clear" w:pos="567"/>
              </w:tabs>
              <w:spacing w:before="0"/>
              <w:rPr>
                <w:b w:val="0"/>
                <w:sz w:val="20"/>
              </w:rPr>
            </w:pPr>
            <w:r>
              <w:rPr>
                <w:b w:val="0"/>
                <w:sz w:val="20"/>
              </w:rPr>
              <w:t>A certification by accountable authority that appropriate mechanisms for preventing, detecting incidents of, investigating or otherwise dealing with, and recording or reporting fraud that meet the specific needs of the entity are in place.</w:t>
            </w:r>
          </w:p>
        </w:tc>
        <w:tc>
          <w:tcPr>
            <w:tcW w:w="1275" w:type="dxa"/>
          </w:tcPr>
          <w:p w:rsidR="00B913CB" w:rsidRPr="00CB1118" w:rsidRDefault="00B913CB" w:rsidP="008B7F83">
            <w:pPr>
              <w:pStyle w:val="mhb1"/>
              <w:tabs>
                <w:tab w:val="clear" w:pos="567"/>
              </w:tabs>
              <w:spacing w:before="0"/>
              <w:rPr>
                <w:b w:val="0"/>
                <w:sz w:val="20"/>
              </w:rPr>
            </w:pPr>
            <w:r w:rsidRPr="00CB1118">
              <w:rPr>
                <w:b w:val="0"/>
                <w:sz w:val="20"/>
              </w:rPr>
              <w:t>Mandatory</w:t>
            </w:r>
          </w:p>
        </w:tc>
        <w:tc>
          <w:tcPr>
            <w:tcW w:w="1134" w:type="dxa"/>
          </w:tcPr>
          <w:p w:rsidR="00B913CB" w:rsidRPr="00EE0730" w:rsidRDefault="00B913CB" w:rsidP="008B7F83">
            <w:pPr>
              <w:pStyle w:val="mhb1"/>
              <w:tabs>
                <w:tab w:val="clear" w:pos="567"/>
              </w:tabs>
              <w:spacing w:before="0"/>
              <w:rPr>
                <w:b w:val="0"/>
                <w:sz w:val="16"/>
                <w:szCs w:val="16"/>
              </w:rPr>
            </w:pPr>
            <w:r>
              <w:rPr>
                <w:b w:val="0"/>
                <w:sz w:val="16"/>
                <w:szCs w:val="16"/>
              </w:rPr>
              <w:t>Chapter 3</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t>17AG(2)(b)(iii)</w:t>
            </w:r>
          </w:p>
        </w:tc>
        <w:tc>
          <w:tcPr>
            <w:tcW w:w="760" w:type="dxa"/>
          </w:tcPr>
          <w:p w:rsidR="00B913CB" w:rsidRPr="00B619F8" w:rsidRDefault="00B913CB" w:rsidP="008B7F83">
            <w:pPr>
              <w:pStyle w:val="mhb1"/>
              <w:tabs>
                <w:tab w:val="clear" w:pos="567"/>
              </w:tabs>
              <w:spacing w:before="0"/>
              <w:rPr>
                <w:b w:val="0"/>
                <w:sz w:val="20"/>
              </w:rPr>
            </w:pPr>
          </w:p>
        </w:tc>
        <w:tc>
          <w:tcPr>
            <w:tcW w:w="3351" w:type="dxa"/>
          </w:tcPr>
          <w:p w:rsidR="00B913CB" w:rsidRPr="00CB1118" w:rsidRDefault="00B913CB" w:rsidP="00B913CB">
            <w:pPr>
              <w:pStyle w:val="mhb1"/>
              <w:tabs>
                <w:tab w:val="clear" w:pos="567"/>
              </w:tabs>
              <w:spacing w:before="0"/>
              <w:rPr>
                <w:b w:val="0"/>
                <w:sz w:val="20"/>
              </w:rPr>
            </w:pPr>
            <w:r>
              <w:rPr>
                <w:b w:val="0"/>
                <w:sz w:val="20"/>
              </w:rPr>
              <w:t>A certification by accountable authority that all reasonable measures have been taken to deal appropriately with fraud relating to the entity.</w:t>
            </w:r>
          </w:p>
        </w:tc>
        <w:tc>
          <w:tcPr>
            <w:tcW w:w="1275" w:type="dxa"/>
          </w:tcPr>
          <w:p w:rsidR="00B913CB" w:rsidRPr="00CB1118" w:rsidRDefault="00B913CB" w:rsidP="008B7F83">
            <w:pPr>
              <w:pStyle w:val="mhb1"/>
              <w:tabs>
                <w:tab w:val="clear" w:pos="567"/>
              </w:tabs>
              <w:spacing w:before="0"/>
              <w:rPr>
                <w:b w:val="0"/>
                <w:sz w:val="20"/>
              </w:rPr>
            </w:pPr>
            <w:r w:rsidRPr="00CB1118">
              <w:rPr>
                <w:b w:val="0"/>
                <w:sz w:val="20"/>
              </w:rPr>
              <w:t>Mandatory</w:t>
            </w:r>
          </w:p>
        </w:tc>
        <w:tc>
          <w:tcPr>
            <w:tcW w:w="1134" w:type="dxa"/>
          </w:tcPr>
          <w:p w:rsidR="00B913CB" w:rsidRPr="00EE0730" w:rsidRDefault="00B913CB" w:rsidP="008B7F83">
            <w:pPr>
              <w:pStyle w:val="mhb1"/>
              <w:tabs>
                <w:tab w:val="clear" w:pos="567"/>
              </w:tabs>
              <w:spacing w:before="0"/>
              <w:rPr>
                <w:b w:val="0"/>
                <w:sz w:val="16"/>
                <w:szCs w:val="16"/>
              </w:rPr>
            </w:pPr>
            <w:r>
              <w:rPr>
                <w:b w:val="0"/>
                <w:sz w:val="16"/>
                <w:szCs w:val="16"/>
              </w:rPr>
              <w:t>Chapter 3</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t>17AG(2)(c)</w:t>
            </w:r>
          </w:p>
        </w:tc>
        <w:tc>
          <w:tcPr>
            <w:tcW w:w="760" w:type="dxa"/>
          </w:tcPr>
          <w:p w:rsidR="00B913CB" w:rsidRPr="00B619F8" w:rsidRDefault="00B913CB" w:rsidP="007A2DEE">
            <w:pPr>
              <w:pStyle w:val="mhb1"/>
              <w:tabs>
                <w:tab w:val="clear" w:pos="567"/>
              </w:tabs>
              <w:spacing w:before="0"/>
              <w:rPr>
                <w:b w:val="0"/>
                <w:sz w:val="20"/>
              </w:rPr>
            </w:pPr>
          </w:p>
        </w:tc>
        <w:tc>
          <w:tcPr>
            <w:tcW w:w="3351" w:type="dxa"/>
          </w:tcPr>
          <w:p w:rsidR="00B913CB" w:rsidRPr="00CB1118" w:rsidRDefault="00B913CB" w:rsidP="007A2DEE">
            <w:pPr>
              <w:pStyle w:val="mhb1"/>
              <w:tabs>
                <w:tab w:val="clear" w:pos="567"/>
              </w:tabs>
              <w:spacing w:before="0"/>
              <w:rPr>
                <w:b w:val="0"/>
                <w:sz w:val="20"/>
              </w:rPr>
            </w:pPr>
            <w:r>
              <w:rPr>
                <w:b w:val="0"/>
                <w:sz w:val="20"/>
              </w:rPr>
              <w:t>An outline of structures and processes in place for the entity to implement principles and objectives of</w:t>
            </w:r>
            <w:r w:rsidRPr="00CB1118">
              <w:rPr>
                <w:b w:val="0"/>
                <w:sz w:val="20"/>
              </w:rPr>
              <w:t xml:space="preserve"> corpora</w:t>
            </w:r>
            <w:r>
              <w:rPr>
                <w:b w:val="0"/>
                <w:sz w:val="20"/>
              </w:rPr>
              <w:t>te governance.</w:t>
            </w:r>
          </w:p>
        </w:tc>
        <w:tc>
          <w:tcPr>
            <w:tcW w:w="1275" w:type="dxa"/>
          </w:tcPr>
          <w:p w:rsidR="00B913CB" w:rsidRPr="00CB1118" w:rsidRDefault="00B913CB" w:rsidP="007A2DEE">
            <w:pPr>
              <w:rPr>
                <w:b/>
                <w:sz w:val="20"/>
                <w:szCs w:val="20"/>
              </w:rPr>
            </w:pPr>
            <w:r w:rsidRPr="00CB1118">
              <w:rPr>
                <w:sz w:val="20"/>
                <w:szCs w:val="20"/>
              </w:rPr>
              <w:t>Mandatory</w:t>
            </w:r>
          </w:p>
        </w:tc>
        <w:tc>
          <w:tcPr>
            <w:tcW w:w="1134" w:type="dxa"/>
          </w:tcPr>
          <w:p w:rsidR="00B913CB" w:rsidRPr="00F66CC5" w:rsidRDefault="00B913CB" w:rsidP="007A2DEE">
            <w:pPr>
              <w:rPr>
                <w:sz w:val="16"/>
                <w:szCs w:val="16"/>
              </w:rPr>
            </w:pPr>
            <w:r w:rsidRPr="00F66CC5">
              <w:rPr>
                <w:sz w:val="16"/>
                <w:szCs w:val="16"/>
              </w:rPr>
              <w:t>Chapter 3</w:t>
            </w:r>
          </w:p>
        </w:tc>
      </w:tr>
      <w:tr w:rsidR="00C41AF0" w:rsidTr="002D48EF">
        <w:trPr>
          <w:cantSplit/>
          <w:trHeight w:val="50"/>
        </w:trPr>
        <w:tc>
          <w:tcPr>
            <w:tcW w:w="908" w:type="dxa"/>
          </w:tcPr>
          <w:p w:rsidR="00C41AF0" w:rsidRDefault="00C41AF0" w:rsidP="008B7F83">
            <w:pPr>
              <w:pStyle w:val="mhb1"/>
              <w:tabs>
                <w:tab w:val="clear" w:pos="567"/>
              </w:tabs>
              <w:spacing w:before="0"/>
              <w:jc w:val="center"/>
              <w:rPr>
                <w:b w:val="0"/>
                <w:sz w:val="16"/>
              </w:rPr>
            </w:pPr>
            <w:r>
              <w:rPr>
                <w:b w:val="0"/>
                <w:sz w:val="16"/>
              </w:rPr>
              <w:t>17AG(2)(d) - (e)</w:t>
            </w:r>
          </w:p>
        </w:tc>
        <w:tc>
          <w:tcPr>
            <w:tcW w:w="760" w:type="dxa"/>
          </w:tcPr>
          <w:p w:rsidR="00C41AF0" w:rsidRDefault="00C41AF0" w:rsidP="007A2DEE">
            <w:pPr>
              <w:pStyle w:val="mhb1"/>
              <w:tabs>
                <w:tab w:val="clear" w:pos="567"/>
              </w:tabs>
              <w:spacing w:before="0"/>
              <w:rPr>
                <w:b w:val="0"/>
                <w:i/>
                <w:sz w:val="20"/>
              </w:rPr>
            </w:pPr>
          </w:p>
        </w:tc>
        <w:tc>
          <w:tcPr>
            <w:tcW w:w="3351" w:type="dxa"/>
          </w:tcPr>
          <w:p w:rsidR="00C41AF0" w:rsidRPr="00CB1118" w:rsidRDefault="00C41AF0" w:rsidP="007A2DEE">
            <w:pPr>
              <w:pStyle w:val="mhb1"/>
              <w:tabs>
                <w:tab w:val="clear" w:pos="567"/>
              </w:tabs>
              <w:spacing w:before="0"/>
              <w:rPr>
                <w:b w:val="0"/>
                <w:i/>
                <w:sz w:val="20"/>
              </w:rPr>
            </w:pPr>
            <w:r>
              <w:rPr>
                <w:b w:val="0"/>
                <w:sz w:val="20"/>
              </w:rPr>
              <w:t xml:space="preserve">A statement of significant issues reported to Minister under paragraph 19(1)(e) of the </w:t>
            </w:r>
            <w:r w:rsidR="003B1A26">
              <w:rPr>
                <w:b w:val="0"/>
                <w:sz w:val="20"/>
              </w:rPr>
              <w:t xml:space="preserve">PGPA </w:t>
            </w:r>
            <w:r>
              <w:rPr>
                <w:b w:val="0"/>
                <w:sz w:val="20"/>
              </w:rPr>
              <w:t>Act that relates to non-compliance with Finance law and action taken to remedy non-compliance</w:t>
            </w:r>
          </w:p>
        </w:tc>
        <w:tc>
          <w:tcPr>
            <w:tcW w:w="1275" w:type="dxa"/>
          </w:tcPr>
          <w:p w:rsidR="00C41AF0" w:rsidRPr="00CB1118" w:rsidRDefault="00C41AF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C41AF0" w:rsidRPr="00EE0730" w:rsidRDefault="00814442" w:rsidP="007A2DEE">
            <w:pPr>
              <w:pStyle w:val="mhb1"/>
              <w:tabs>
                <w:tab w:val="clear" w:pos="567"/>
              </w:tabs>
              <w:spacing w:before="0"/>
              <w:rPr>
                <w:b w:val="0"/>
                <w:sz w:val="16"/>
                <w:szCs w:val="16"/>
              </w:rPr>
            </w:pPr>
            <w:r>
              <w:rPr>
                <w:b w:val="0"/>
                <w:sz w:val="16"/>
                <w:szCs w:val="16"/>
              </w:rPr>
              <w:t>N/A</w:t>
            </w:r>
          </w:p>
        </w:tc>
      </w:tr>
      <w:tr w:rsidR="00C41AF0" w:rsidTr="002D48EF">
        <w:trPr>
          <w:cantSplit/>
          <w:trHeight w:val="50"/>
        </w:trPr>
        <w:tc>
          <w:tcPr>
            <w:tcW w:w="908" w:type="dxa"/>
          </w:tcPr>
          <w:p w:rsidR="00C41AF0" w:rsidRDefault="00C41AF0" w:rsidP="007A2DEE">
            <w:pPr>
              <w:pStyle w:val="mhb1"/>
              <w:tabs>
                <w:tab w:val="clear" w:pos="567"/>
              </w:tabs>
              <w:spacing w:before="0"/>
              <w:jc w:val="center"/>
              <w:rPr>
                <w:b w:val="0"/>
                <w:sz w:val="16"/>
              </w:rPr>
            </w:pPr>
          </w:p>
        </w:tc>
        <w:tc>
          <w:tcPr>
            <w:tcW w:w="6520" w:type="dxa"/>
            <w:gridSpan w:val="4"/>
          </w:tcPr>
          <w:p w:rsidR="00C41AF0" w:rsidRPr="00C41AF0" w:rsidRDefault="00C41AF0" w:rsidP="007A2DEE">
            <w:pPr>
              <w:pStyle w:val="mhb1"/>
              <w:tabs>
                <w:tab w:val="clear" w:pos="567"/>
              </w:tabs>
              <w:spacing w:before="0"/>
              <w:rPr>
                <w:sz w:val="16"/>
                <w:szCs w:val="16"/>
              </w:rPr>
            </w:pPr>
            <w:r w:rsidRPr="00C41AF0">
              <w:rPr>
                <w:i/>
                <w:sz w:val="20"/>
              </w:rPr>
              <w:t>External Scrutiny</w:t>
            </w:r>
          </w:p>
        </w:tc>
      </w:tr>
      <w:tr w:rsidR="000C5713" w:rsidTr="002D48EF">
        <w:trPr>
          <w:cantSplit/>
          <w:trHeight w:val="50"/>
        </w:trPr>
        <w:tc>
          <w:tcPr>
            <w:tcW w:w="908" w:type="dxa"/>
          </w:tcPr>
          <w:p w:rsidR="000C5713" w:rsidRDefault="00C41AF0" w:rsidP="007A2DEE">
            <w:pPr>
              <w:pStyle w:val="mhb1"/>
              <w:tabs>
                <w:tab w:val="clear" w:pos="567"/>
              </w:tabs>
              <w:spacing w:before="0"/>
              <w:jc w:val="center"/>
              <w:rPr>
                <w:b w:val="0"/>
                <w:sz w:val="16"/>
              </w:rPr>
            </w:pPr>
            <w:r>
              <w:rPr>
                <w:b w:val="0"/>
                <w:sz w:val="16"/>
              </w:rPr>
              <w:t>17AG(3)</w:t>
            </w:r>
          </w:p>
        </w:tc>
        <w:tc>
          <w:tcPr>
            <w:tcW w:w="760" w:type="dxa"/>
          </w:tcPr>
          <w:p w:rsidR="000C5713" w:rsidRPr="00B619F8" w:rsidRDefault="000C5713" w:rsidP="007A2DEE">
            <w:pPr>
              <w:pStyle w:val="mhb1"/>
              <w:tabs>
                <w:tab w:val="clear" w:pos="567"/>
              </w:tabs>
              <w:spacing w:before="0"/>
              <w:rPr>
                <w:b w:val="0"/>
                <w:sz w:val="20"/>
              </w:rPr>
            </w:pPr>
          </w:p>
        </w:tc>
        <w:tc>
          <w:tcPr>
            <w:tcW w:w="3351" w:type="dxa"/>
          </w:tcPr>
          <w:p w:rsidR="000C5713" w:rsidRPr="00CB1118" w:rsidRDefault="00C41AF0" w:rsidP="00C41AF0">
            <w:pPr>
              <w:pStyle w:val="mhb1"/>
              <w:tabs>
                <w:tab w:val="clear" w:pos="567"/>
              </w:tabs>
              <w:spacing w:before="0"/>
              <w:rPr>
                <w:b w:val="0"/>
                <w:sz w:val="20"/>
              </w:rPr>
            </w:pPr>
            <w:r>
              <w:rPr>
                <w:b w:val="0"/>
                <w:sz w:val="20"/>
              </w:rPr>
              <w:t>Information on the most s</w:t>
            </w:r>
            <w:r w:rsidR="000C5713" w:rsidRPr="00CB1118">
              <w:rPr>
                <w:b w:val="0"/>
                <w:sz w:val="20"/>
              </w:rPr>
              <w:t>ignificant developments in external scrutiny</w:t>
            </w:r>
            <w:r>
              <w:rPr>
                <w:b w:val="0"/>
                <w:sz w:val="20"/>
              </w:rPr>
              <w:t xml:space="preserve"> and the entity’s response to the scrutiny.</w:t>
            </w:r>
          </w:p>
        </w:tc>
        <w:tc>
          <w:tcPr>
            <w:tcW w:w="1275" w:type="dxa"/>
          </w:tcPr>
          <w:p w:rsidR="000C5713" w:rsidRPr="00CB1118" w:rsidRDefault="000C5713" w:rsidP="007A2DEE">
            <w:pPr>
              <w:pStyle w:val="mhb1"/>
              <w:tabs>
                <w:tab w:val="clear" w:pos="567"/>
              </w:tabs>
              <w:spacing w:before="0"/>
              <w:rPr>
                <w:b w:val="0"/>
                <w:sz w:val="20"/>
              </w:rPr>
            </w:pPr>
            <w:r w:rsidRPr="00CB1118">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Chapter 3</w:t>
            </w:r>
          </w:p>
        </w:tc>
      </w:tr>
      <w:tr w:rsidR="00C41AF0" w:rsidTr="002D48EF">
        <w:trPr>
          <w:cantSplit/>
          <w:trHeight w:val="50"/>
        </w:trPr>
        <w:tc>
          <w:tcPr>
            <w:tcW w:w="908" w:type="dxa"/>
          </w:tcPr>
          <w:p w:rsidR="00C41AF0" w:rsidRDefault="00C41AF0" w:rsidP="008B7F83">
            <w:pPr>
              <w:pStyle w:val="mhb1"/>
              <w:tabs>
                <w:tab w:val="clear" w:pos="567"/>
              </w:tabs>
              <w:spacing w:before="0"/>
              <w:jc w:val="center"/>
              <w:rPr>
                <w:b w:val="0"/>
                <w:sz w:val="16"/>
              </w:rPr>
            </w:pPr>
            <w:r>
              <w:rPr>
                <w:b w:val="0"/>
                <w:sz w:val="16"/>
              </w:rPr>
              <w:t>17AG(3)(a)</w:t>
            </w:r>
          </w:p>
        </w:tc>
        <w:tc>
          <w:tcPr>
            <w:tcW w:w="760" w:type="dxa"/>
          </w:tcPr>
          <w:p w:rsidR="00C41AF0" w:rsidRDefault="00C41AF0" w:rsidP="007A2DEE">
            <w:pPr>
              <w:pStyle w:val="mhb1"/>
              <w:tabs>
                <w:tab w:val="clear" w:pos="567"/>
              </w:tabs>
              <w:spacing w:before="0"/>
              <w:rPr>
                <w:b w:val="0"/>
                <w:i/>
                <w:sz w:val="20"/>
              </w:rPr>
            </w:pPr>
          </w:p>
        </w:tc>
        <w:tc>
          <w:tcPr>
            <w:tcW w:w="3351" w:type="dxa"/>
          </w:tcPr>
          <w:p w:rsidR="00C41AF0" w:rsidRPr="00CB1118" w:rsidRDefault="00C41AF0" w:rsidP="00C41AF0">
            <w:pPr>
              <w:pStyle w:val="mhb1"/>
              <w:tabs>
                <w:tab w:val="clear" w:pos="567"/>
              </w:tabs>
              <w:spacing w:before="0"/>
              <w:rPr>
                <w:b w:val="0"/>
                <w:sz w:val="20"/>
              </w:rPr>
            </w:pPr>
            <w:r>
              <w:rPr>
                <w:b w:val="0"/>
                <w:sz w:val="20"/>
              </w:rPr>
              <w:t>Information on j</w:t>
            </w:r>
            <w:r w:rsidRPr="00CB1118">
              <w:rPr>
                <w:b w:val="0"/>
                <w:sz w:val="20"/>
              </w:rPr>
              <w:t>udicial decisions and decisions of administrative tribunals</w:t>
            </w:r>
            <w:r>
              <w:rPr>
                <w:b w:val="0"/>
                <w:sz w:val="20"/>
              </w:rPr>
              <w:t xml:space="preserve"> and by the Australian Information Commissioner that may have a significant effect on the operations of the entity.</w:t>
            </w:r>
          </w:p>
        </w:tc>
        <w:tc>
          <w:tcPr>
            <w:tcW w:w="1275" w:type="dxa"/>
          </w:tcPr>
          <w:p w:rsidR="00C41AF0" w:rsidRPr="00CB1118" w:rsidRDefault="00C41AF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C41AF0" w:rsidRPr="00EE0730" w:rsidRDefault="00814442" w:rsidP="007A2DEE">
            <w:pPr>
              <w:pStyle w:val="mhb1"/>
              <w:tabs>
                <w:tab w:val="clear" w:pos="567"/>
              </w:tabs>
              <w:spacing w:before="0"/>
              <w:rPr>
                <w:b w:val="0"/>
                <w:sz w:val="16"/>
                <w:szCs w:val="16"/>
              </w:rPr>
            </w:pPr>
            <w:r>
              <w:rPr>
                <w:b w:val="0"/>
                <w:sz w:val="16"/>
                <w:szCs w:val="16"/>
              </w:rPr>
              <w:t>N/A</w:t>
            </w:r>
          </w:p>
        </w:tc>
      </w:tr>
      <w:tr w:rsidR="00C41AF0" w:rsidTr="002D48EF">
        <w:trPr>
          <w:cantSplit/>
          <w:trHeight w:val="50"/>
        </w:trPr>
        <w:tc>
          <w:tcPr>
            <w:tcW w:w="908" w:type="dxa"/>
          </w:tcPr>
          <w:p w:rsidR="00C41AF0" w:rsidRDefault="00C41AF0" w:rsidP="008B7F83">
            <w:pPr>
              <w:pStyle w:val="mhb1"/>
              <w:tabs>
                <w:tab w:val="clear" w:pos="567"/>
              </w:tabs>
              <w:spacing w:before="0"/>
              <w:jc w:val="center"/>
              <w:rPr>
                <w:b w:val="0"/>
                <w:sz w:val="16"/>
              </w:rPr>
            </w:pPr>
            <w:r>
              <w:rPr>
                <w:b w:val="0"/>
                <w:sz w:val="16"/>
              </w:rPr>
              <w:t>17AG(3)(b)</w:t>
            </w:r>
          </w:p>
        </w:tc>
        <w:tc>
          <w:tcPr>
            <w:tcW w:w="760" w:type="dxa"/>
          </w:tcPr>
          <w:p w:rsidR="00C41AF0" w:rsidRDefault="00C41AF0" w:rsidP="007A2DEE">
            <w:pPr>
              <w:pStyle w:val="mhb1"/>
              <w:tabs>
                <w:tab w:val="clear" w:pos="567"/>
              </w:tabs>
              <w:spacing w:before="0"/>
              <w:rPr>
                <w:b w:val="0"/>
                <w:i/>
                <w:sz w:val="20"/>
              </w:rPr>
            </w:pPr>
          </w:p>
        </w:tc>
        <w:tc>
          <w:tcPr>
            <w:tcW w:w="3351" w:type="dxa"/>
          </w:tcPr>
          <w:p w:rsidR="00C41AF0" w:rsidRPr="00CB1118" w:rsidRDefault="00C41AF0" w:rsidP="00C41AF0">
            <w:pPr>
              <w:pStyle w:val="mhb1"/>
              <w:tabs>
                <w:tab w:val="clear" w:pos="567"/>
              </w:tabs>
              <w:spacing w:before="0"/>
              <w:rPr>
                <w:b w:val="0"/>
                <w:sz w:val="20"/>
              </w:rPr>
            </w:pPr>
            <w:r>
              <w:rPr>
                <w:b w:val="0"/>
                <w:sz w:val="20"/>
              </w:rPr>
              <w:t>Information on any r</w:t>
            </w:r>
            <w:r w:rsidRPr="00CB1118">
              <w:rPr>
                <w:b w:val="0"/>
                <w:sz w:val="20"/>
              </w:rPr>
              <w:t xml:space="preserve">eports </w:t>
            </w:r>
            <w:r>
              <w:rPr>
                <w:b w:val="0"/>
                <w:sz w:val="20"/>
              </w:rPr>
              <w:t xml:space="preserve">on operations of the entity by </w:t>
            </w:r>
            <w:r w:rsidRPr="00CB1118">
              <w:rPr>
                <w:b w:val="0"/>
                <w:sz w:val="20"/>
              </w:rPr>
              <w:t>the Auditor-General</w:t>
            </w:r>
            <w:r>
              <w:rPr>
                <w:b w:val="0"/>
                <w:sz w:val="20"/>
              </w:rPr>
              <w:t xml:space="preserve"> (other than report under section 43 of the </w:t>
            </w:r>
            <w:r w:rsidR="003B1A26">
              <w:rPr>
                <w:b w:val="0"/>
                <w:sz w:val="20"/>
              </w:rPr>
              <w:t xml:space="preserve">PGPA </w:t>
            </w:r>
            <w:r>
              <w:rPr>
                <w:b w:val="0"/>
                <w:sz w:val="20"/>
              </w:rPr>
              <w:t>Act)</w:t>
            </w:r>
            <w:r w:rsidRPr="00CB1118">
              <w:rPr>
                <w:b w:val="0"/>
                <w:sz w:val="20"/>
              </w:rPr>
              <w:t>, a Parliamentary Committee</w:t>
            </w:r>
            <w:r>
              <w:rPr>
                <w:b w:val="0"/>
                <w:sz w:val="20"/>
              </w:rPr>
              <w:t>,</w:t>
            </w:r>
            <w:r w:rsidRPr="00CB1118">
              <w:rPr>
                <w:b w:val="0"/>
                <w:sz w:val="20"/>
              </w:rPr>
              <w:t xml:space="preserve"> </w:t>
            </w:r>
            <w:r>
              <w:rPr>
                <w:b w:val="0"/>
                <w:sz w:val="20"/>
              </w:rPr>
              <w:t xml:space="preserve">or </w:t>
            </w:r>
            <w:r w:rsidRPr="00CB1118">
              <w:rPr>
                <w:b w:val="0"/>
                <w:sz w:val="20"/>
              </w:rPr>
              <w:t>the Commonwealth Ombudsman</w:t>
            </w:r>
            <w:r>
              <w:rPr>
                <w:b w:val="0"/>
                <w:sz w:val="20"/>
              </w:rPr>
              <w:t>.</w:t>
            </w:r>
          </w:p>
        </w:tc>
        <w:tc>
          <w:tcPr>
            <w:tcW w:w="1275" w:type="dxa"/>
          </w:tcPr>
          <w:p w:rsidR="00C41AF0" w:rsidRPr="00CB1118" w:rsidRDefault="00C41AF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C41AF0" w:rsidRPr="00EE0730" w:rsidRDefault="00814442" w:rsidP="007A2DEE">
            <w:pPr>
              <w:pStyle w:val="mhb1"/>
              <w:tabs>
                <w:tab w:val="clear" w:pos="567"/>
              </w:tabs>
              <w:spacing w:before="0"/>
              <w:rPr>
                <w:b w:val="0"/>
                <w:sz w:val="16"/>
                <w:szCs w:val="16"/>
              </w:rPr>
            </w:pPr>
            <w:r>
              <w:rPr>
                <w:b w:val="0"/>
                <w:sz w:val="16"/>
                <w:szCs w:val="16"/>
              </w:rPr>
              <w:t>N/A</w:t>
            </w:r>
          </w:p>
        </w:tc>
      </w:tr>
      <w:tr w:rsidR="00C41AF0" w:rsidTr="002D48EF">
        <w:trPr>
          <w:cantSplit/>
          <w:trHeight w:val="50"/>
        </w:trPr>
        <w:tc>
          <w:tcPr>
            <w:tcW w:w="908" w:type="dxa"/>
          </w:tcPr>
          <w:p w:rsidR="00C41AF0" w:rsidRDefault="00C41AF0" w:rsidP="00C41AF0">
            <w:pPr>
              <w:pStyle w:val="mhb1"/>
              <w:tabs>
                <w:tab w:val="clear" w:pos="567"/>
              </w:tabs>
              <w:spacing w:before="0"/>
              <w:jc w:val="center"/>
              <w:rPr>
                <w:b w:val="0"/>
                <w:sz w:val="16"/>
              </w:rPr>
            </w:pPr>
            <w:r>
              <w:rPr>
                <w:b w:val="0"/>
                <w:sz w:val="16"/>
              </w:rPr>
              <w:t>17AG(3)(c)</w:t>
            </w:r>
          </w:p>
        </w:tc>
        <w:tc>
          <w:tcPr>
            <w:tcW w:w="760" w:type="dxa"/>
          </w:tcPr>
          <w:p w:rsidR="00C41AF0" w:rsidRDefault="00C41AF0" w:rsidP="008B7F83">
            <w:pPr>
              <w:pStyle w:val="mhb1"/>
              <w:tabs>
                <w:tab w:val="clear" w:pos="567"/>
              </w:tabs>
              <w:spacing w:before="0"/>
              <w:rPr>
                <w:b w:val="0"/>
                <w:i/>
                <w:sz w:val="20"/>
              </w:rPr>
            </w:pPr>
          </w:p>
        </w:tc>
        <w:tc>
          <w:tcPr>
            <w:tcW w:w="3351" w:type="dxa"/>
          </w:tcPr>
          <w:p w:rsidR="00C41AF0" w:rsidRPr="00CB1118" w:rsidRDefault="00C41AF0" w:rsidP="00C41AF0">
            <w:pPr>
              <w:pStyle w:val="mhb1"/>
              <w:tabs>
                <w:tab w:val="clear" w:pos="567"/>
              </w:tabs>
              <w:spacing w:before="0"/>
              <w:rPr>
                <w:b w:val="0"/>
                <w:sz w:val="20"/>
              </w:rPr>
            </w:pPr>
            <w:r>
              <w:rPr>
                <w:b w:val="0"/>
                <w:sz w:val="20"/>
              </w:rPr>
              <w:t>Information on any capability reviews</w:t>
            </w:r>
            <w:r w:rsidRPr="00CB1118">
              <w:rPr>
                <w:b w:val="0"/>
                <w:sz w:val="20"/>
              </w:rPr>
              <w:t xml:space="preserve"> </w:t>
            </w:r>
            <w:r>
              <w:rPr>
                <w:b w:val="0"/>
                <w:sz w:val="20"/>
              </w:rPr>
              <w:t>on the entity that were released during the period.</w:t>
            </w:r>
          </w:p>
        </w:tc>
        <w:tc>
          <w:tcPr>
            <w:tcW w:w="1275" w:type="dxa"/>
          </w:tcPr>
          <w:p w:rsidR="00C41AF0" w:rsidRPr="00CB1118" w:rsidRDefault="00C41AF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C41AF0" w:rsidRPr="00EE0730" w:rsidRDefault="00814442" w:rsidP="008B7F83">
            <w:pPr>
              <w:pStyle w:val="mhb1"/>
              <w:tabs>
                <w:tab w:val="clear" w:pos="567"/>
              </w:tabs>
              <w:spacing w:before="0"/>
              <w:rPr>
                <w:b w:val="0"/>
                <w:sz w:val="16"/>
                <w:szCs w:val="16"/>
              </w:rPr>
            </w:pPr>
            <w:r>
              <w:rPr>
                <w:b w:val="0"/>
                <w:sz w:val="16"/>
                <w:szCs w:val="16"/>
              </w:rPr>
              <w:t>N/A</w:t>
            </w:r>
          </w:p>
        </w:tc>
      </w:tr>
      <w:tr w:rsidR="00C41AF0" w:rsidTr="002D48EF">
        <w:trPr>
          <w:cantSplit/>
          <w:trHeight w:val="50"/>
        </w:trPr>
        <w:tc>
          <w:tcPr>
            <w:tcW w:w="908" w:type="dxa"/>
          </w:tcPr>
          <w:p w:rsidR="00C41AF0" w:rsidRDefault="00C41AF0" w:rsidP="007A2DEE">
            <w:pPr>
              <w:pStyle w:val="mhb1"/>
              <w:tabs>
                <w:tab w:val="clear" w:pos="567"/>
              </w:tabs>
              <w:spacing w:before="0"/>
              <w:jc w:val="center"/>
              <w:rPr>
                <w:b w:val="0"/>
                <w:sz w:val="16"/>
              </w:rPr>
            </w:pPr>
          </w:p>
        </w:tc>
        <w:tc>
          <w:tcPr>
            <w:tcW w:w="6520" w:type="dxa"/>
            <w:gridSpan w:val="4"/>
          </w:tcPr>
          <w:p w:rsidR="00C41AF0" w:rsidRPr="00C41AF0" w:rsidRDefault="00C41AF0" w:rsidP="007A2DEE">
            <w:pPr>
              <w:pStyle w:val="mhb1"/>
              <w:tabs>
                <w:tab w:val="clear" w:pos="567"/>
              </w:tabs>
              <w:spacing w:before="0"/>
              <w:rPr>
                <w:sz w:val="16"/>
                <w:szCs w:val="16"/>
              </w:rPr>
            </w:pPr>
            <w:r w:rsidRPr="00C41AF0">
              <w:rPr>
                <w:i/>
                <w:sz w:val="20"/>
              </w:rPr>
              <w:t>Management of Human Resources</w:t>
            </w:r>
          </w:p>
        </w:tc>
      </w:tr>
      <w:tr w:rsidR="00C41AF0" w:rsidTr="002D48EF">
        <w:trPr>
          <w:cantSplit/>
          <w:trHeight w:val="50"/>
        </w:trPr>
        <w:tc>
          <w:tcPr>
            <w:tcW w:w="908" w:type="dxa"/>
          </w:tcPr>
          <w:p w:rsidR="00C41AF0" w:rsidRDefault="00C41AF0" w:rsidP="008B7F83">
            <w:pPr>
              <w:pStyle w:val="mhb1"/>
              <w:tabs>
                <w:tab w:val="clear" w:pos="567"/>
              </w:tabs>
              <w:spacing w:before="0"/>
              <w:jc w:val="center"/>
              <w:rPr>
                <w:b w:val="0"/>
                <w:sz w:val="16"/>
              </w:rPr>
            </w:pPr>
            <w:r>
              <w:rPr>
                <w:b w:val="0"/>
                <w:sz w:val="16"/>
              </w:rPr>
              <w:t>17AG(4)(a)</w:t>
            </w:r>
          </w:p>
        </w:tc>
        <w:tc>
          <w:tcPr>
            <w:tcW w:w="760" w:type="dxa"/>
          </w:tcPr>
          <w:p w:rsidR="00C41AF0" w:rsidRPr="00B619F8" w:rsidRDefault="00C41AF0" w:rsidP="007A2DEE">
            <w:pPr>
              <w:pStyle w:val="mhb1"/>
              <w:tabs>
                <w:tab w:val="clear" w:pos="567"/>
              </w:tabs>
              <w:spacing w:before="0"/>
              <w:rPr>
                <w:b w:val="0"/>
                <w:sz w:val="20"/>
              </w:rPr>
            </w:pPr>
          </w:p>
        </w:tc>
        <w:tc>
          <w:tcPr>
            <w:tcW w:w="3351" w:type="dxa"/>
          </w:tcPr>
          <w:p w:rsidR="00C41AF0" w:rsidRPr="00CB1118" w:rsidRDefault="00C41AF0" w:rsidP="00EF4FB7">
            <w:pPr>
              <w:pStyle w:val="mhb1"/>
              <w:tabs>
                <w:tab w:val="clear" w:pos="567"/>
              </w:tabs>
              <w:spacing w:before="0"/>
              <w:rPr>
                <w:b w:val="0"/>
                <w:sz w:val="20"/>
              </w:rPr>
            </w:pPr>
            <w:r>
              <w:rPr>
                <w:b w:val="0"/>
                <w:sz w:val="20"/>
              </w:rPr>
              <w:t>An a</w:t>
            </w:r>
            <w:r w:rsidRPr="00CB1118">
              <w:rPr>
                <w:b w:val="0"/>
                <w:sz w:val="20"/>
              </w:rPr>
              <w:t xml:space="preserve">ssessment of </w:t>
            </w:r>
            <w:r>
              <w:rPr>
                <w:b w:val="0"/>
                <w:sz w:val="20"/>
              </w:rPr>
              <w:t xml:space="preserve">the entity’s </w:t>
            </w:r>
            <w:r w:rsidRPr="00CB1118">
              <w:rPr>
                <w:b w:val="0"/>
                <w:sz w:val="20"/>
              </w:rPr>
              <w:t xml:space="preserve">effectiveness in managing and developing </w:t>
            </w:r>
            <w:r w:rsidR="00EF4FB7">
              <w:rPr>
                <w:b w:val="0"/>
                <w:sz w:val="20"/>
              </w:rPr>
              <w:t>employees to achieve entity</w:t>
            </w:r>
            <w:r w:rsidRPr="00CB1118">
              <w:rPr>
                <w:b w:val="0"/>
                <w:sz w:val="20"/>
              </w:rPr>
              <w:t xml:space="preserve"> objectives</w:t>
            </w:r>
            <w:r w:rsidR="00EF4FB7">
              <w:rPr>
                <w:b w:val="0"/>
                <w:sz w:val="20"/>
              </w:rPr>
              <w:t>.</w:t>
            </w:r>
          </w:p>
        </w:tc>
        <w:tc>
          <w:tcPr>
            <w:tcW w:w="1275" w:type="dxa"/>
          </w:tcPr>
          <w:p w:rsidR="00C41AF0" w:rsidRPr="00CB1118" w:rsidRDefault="00C41AF0" w:rsidP="007A2DEE">
            <w:pPr>
              <w:pStyle w:val="mhb1"/>
              <w:tabs>
                <w:tab w:val="clear" w:pos="567"/>
              </w:tabs>
              <w:spacing w:before="0"/>
              <w:rPr>
                <w:b w:val="0"/>
                <w:sz w:val="20"/>
              </w:rPr>
            </w:pPr>
            <w:r w:rsidRPr="00CB1118">
              <w:rPr>
                <w:b w:val="0"/>
                <w:sz w:val="20"/>
              </w:rPr>
              <w:t>Mandatory</w:t>
            </w:r>
          </w:p>
        </w:tc>
        <w:tc>
          <w:tcPr>
            <w:tcW w:w="1134" w:type="dxa"/>
          </w:tcPr>
          <w:p w:rsidR="00C41AF0" w:rsidRPr="00EE0730" w:rsidRDefault="00C41AF0" w:rsidP="007A2DEE">
            <w:pPr>
              <w:pStyle w:val="mhb1"/>
              <w:tabs>
                <w:tab w:val="clear" w:pos="567"/>
              </w:tabs>
              <w:spacing w:before="0"/>
              <w:rPr>
                <w:b w:val="0"/>
                <w:sz w:val="16"/>
                <w:szCs w:val="16"/>
              </w:rPr>
            </w:pPr>
            <w:r>
              <w:rPr>
                <w:b w:val="0"/>
                <w:sz w:val="16"/>
                <w:szCs w:val="16"/>
              </w:rPr>
              <w:t>Chapter 4</w:t>
            </w:r>
          </w:p>
        </w:tc>
      </w:tr>
      <w:tr w:rsidR="00EF4FB7" w:rsidTr="002D48EF">
        <w:trPr>
          <w:cantSplit/>
          <w:trHeight w:val="50"/>
        </w:trPr>
        <w:tc>
          <w:tcPr>
            <w:tcW w:w="908" w:type="dxa"/>
          </w:tcPr>
          <w:p w:rsidR="00EF4FB7" w:rsidRDefault="00EF4FB7" w:rsidP="008B7F83">
            <w:pPr>
              <w:pStyle w:val="mhb1"/>
              <w:tabs>
                <w:tab w:val="clear" w:pos="567"/>
              </w:tabs>
              <w:spacing w:before="0"/>
              <w:jc w:val="center"/>
              <w:rPr>
                <w:b w:val="0"/>
                <w:sz w:val="16"/>
              </w:rPr>
            </w:pPr>
            <w:r>
              <w:rPr>
                <w:b w:val="0"/>
                <w:sz w:val="16"/>
              </w:rPr>
              <w:t>17AG(4)(b)</w:t>
            </w:r>
          </w:p>
        </w:tc>
        <w:tc>
          <w:tcPr>
            <w:tcW w:w="760" w:type="dxa"/>
          </w:tcPr>
          <w:p w:rsidR="00EF4FB7" w:rsidRDefault="00EF4FB7" w:rsidP="007A2DEE">
            <w:pPr>
              <w:pStyle w:val="mhb1"/>
              <w:tabs>
                <w:tab w:val="clear" w:pos="567"/>
              </w:tabs>
              <w:spacing w:before="0"/>
              <w:rPr>
                <w:b w:val="0"/>
                <w:i/>
                <w:sz w:val="20"/>
              </w:rPr>
            </w:pPr>
          </w:p>
        </w:tc>
        <w:tc>
          <w:tcPr>
            <w:tcW w:w="3351" w:type="dxa"/>
          </w:tcPr>
          <w:p w:rsidR="00EF4FB7" w:rsidRDefault="00EF4FB7" w:rsidP="00EF4FB7">
            <w:pPr>
              <w:pStyle w:val="mhb1"/>
              <w:tabs>
                <w:tab w:val="clear" w:pos="567"/>
              </w:tabs>
              <w:spacing w:before="0"/>
              <w:rPr>
                <w:b w:val="0"/>
                <w:sz w:val="20"/>
              </w:rPr>
            </w:pPr>
            <w:r w:rsidRPr="00CB1118">
              <w:rPr>
                <w:b w:val="0"/>
                <w:sz w:val="20"/>
              </w:rPr>
              <w:t xml:space="preserve">Statistics on </w:t>
            </w:r>
            <w:r>
              <w:rPr>
                <w:b w:val="0"/>
                <w:sz w:val="20"/>
              </w:rPr>
              <w:t>the entity’s APS employees on an ongoing and non-ongoing basis; including the following:</w:t>
            </w:r>
          </w:p>
          <w:p w:rsidR="00EF4FB7" w:rsidRDefault="00EF4FB7" w:rsidP="00EF4FB7">
            <w:pPr>
              <w:pStyle w:val="mhb1"/>
              <w:numPr>
                <w:ilvl w:val="0"/>
                <w:numId w:val="32"/>
              </w:numPr>
              <w:tabs>
                <w:tab w:val="clear" w:pos="567"/>
              </w:tabs>
              <w:spacing w:before="0"/>
              <w:rPr>
                <w:b w:val="0"/>
                <w:sz w:val="20"/>
              </w:rPr>
            </w:pPr>
            <w:r>
              <w:rPr>
                <w:b w:val="0"/>
                <w:sz w:val="20"/>
              </w:rPr>
              <w:t>statistics on staffing classification level;</w:t>
            </w:r>
          </w:p>
          <w:p w:rsidR="00EF4FB7" w:rsidRDefault="00EF4FB7" w:rsidP="00EF4FB7">
            <w:pPr>
              <w:pStyle w:val="mhb1"/>
              <w:numPr>
                <w:ilvl w:val="0"/>
                <w:numId w:val="32"/>
              </w:numPr>
              <w:tabs>
                <w:tab w:val="clear" w:pos="567"/>
              </w:tabs>
              <w:spacing w:before="0"/>
              <w:rPr>
                <w:b w:val="0"/>
                <w:sz w:val="20"/>
              </w:rPr>
            </w:pPr>
            <w:r>
              <w:rPr>
                <w:b w:val="0"/>
                <w:sz w:val="20"/>
              </w:rPr>
              <w:t>statistics on full-time employees;</w:t>
            </w:r>
          </w:p>
          <w:p w:rsidR="00EF4FB7" w:rsidRDefault="00EF4FB7" w:rsidP="00EF4FB7">
            <w:pPr>
              <w:pStyle w:val="mhb1"/>
              <w:numPr>
                <w:ilvl w:val="0"/>
                <w:numId w:val="32"/>
              </w:numPr>
              <w:tabs>
                <w:tab w:val="clear" w:pos="567"/>
              </w:tabs>
              <w:spacing w:before="0"/>
              <w:rPr>
                <w:b w:val="0"/>
                <w:sz w:val="20"/>
              </w:rPr>
            </w:pPr>
            <w:r>
              <w:rPr>
                <w:b w:val="0"/>
                <w:sz w:val="20"/>
              </w:rPr>
              <w:t>statistics on part-time employees;</w:t>
            </w:r>
          </w:p>
          <w:p w:rsidR="00EF4FB7" w:rsidRDefault="00EF4FB7" w:rsidP="00EF4FB7">
            <w:pPr>
              <w:pStyle w:val="mhb1"/>
              <w:numPr>
                <w:ilvl w:val="0"/>
                <w:numId w:val="32"/>
              </w:numPr>
              <w:tabs>
                <w:tab w:val="clear" w:pos="567"/>
              </w:tabs>
              <w:spacing w:before="0"/>
              <w:rPr>
                <w:b w:val="0"/>
                <w:sz w:val="20"/>
              </w:rPr>
            </w:pPr>
            <w:r>
              <w:rPr>
                <w:b w:val="0"/>
                <w:sz w:val="20"/>
              </w:rPr>
              <w:t>statistics on gender;</w:t>
            </w:r>
          </w:p>
          <w:p w:rsidR="00EF4FB7" w:rsidRDefault="00EF4FB7" w:rsidP="00EF4FB7">
            <w:pPr>
              <w:pStyle w:val="mhb1"/>
              <w:numPr>
                <w:ilvl w:val="0"/>
                <w:numId w:val="32"/>
              </w:numPr>
              <w:tabs>
                <w:tab w:val="clear" w:pos="567"/>
              </w:tabs>
              <w:spacing w:before="0"/>
              <w:rPr>
                <w:b w:val="0"/>
                <w:sz w:val="20"/>
              </w:rPr>
            </w:pPr>
            <w:r>
              <w:rPr>
                <w:b w:val="0"/>
                <w:sz w:val="20"/>
              </w:rPr>
              <w:t>statistics on staff location;</w:t>
            </w:r>
          </w:p>
          <w:p w:rsidR="00EF4FB7" w:rsidRPr="00CB1118" w:rsidRDefault="00EF4FB7" w:rsidP="00EF4FB7">
            <w:pPr>
              <w:pStyle w:val="mhb1"/>
              <w:numPr>
                <w:ilvl w:val="0"/>
                <w:numId w:val="32"/>
              </w:numPr>
              <w:tabs>
                <w:tab w:val="clear" w:pos="567"/>
              </w:tabs>
              <w:spacing w:before="0"/>
              <w:rPr>
                <w:b w:val="0"/>
                <w:sz w:val="20"/>
              </w:rPr>
            </w:pPr>
            <w:r>
              <w:rPr>
                <w:b w:val="0"/>
                <w:sz w:val="20"/>
              </w:rPr>
              <w:t>statistics on employees who identify as Indigenous.</w:t>
            </w:r>
          </w:p>
        </w:tc>
        <w:tc>
          <w:tcPr>
            <w:tcW w:w="1275" w:type="dxa"/>
          </w:tcPr>
          <w:p w:rsidR="00EF4FB7" w:rsidRPr="00CB1118" w:rsidRDefault="00EF4FB7" w:rsidP="008B7F83">
            <w:pPr>
              <w:pStyle w:val="mhb1"/>
              <w:tabs>
                <w:tab w:val="clear" w:pos="567"/>
              </w:tabs>
              <w:spacing w:before="0"/>
              <w:rPr>
                <w:b w:val="0"/>
                <w:sz w:val="20"/>
              </w:rPr>
            </w:pPr>
            <w:r w:rsidRPr="00CB1118">
              <w:rPr>
                <w:b w:val="0"/>
                <w:sz w:val="20"/>
              </w:rPr>
              <w:t>Mandatory</w:t>
            </w:r>
          </w:p>
        </w:tc>
        <w:tc>
          <w:tcPr>
            <w:tcW w:w="1134" w:type="dxa"/>
          </w:tcPr>
          <w:p w:rsidR="00EF4FB7" w:rsidRPr="00EE0730" w:rsidRDefault="00EF4FB7" w:rsidP="008B7F83">
            <w:pPr>
              <w:pStyle w:val="mhb1"/>
              <w:tabs>
                <w:tab w:val="clear" w:pos="567"/>
              </w:tabs>
              <w:spacing w:before="0"/>
              <w:rPr>
                <w:b w:val="0"/>
                <w:sz w:val="16"/>
                <w:szCs w:val="16"/>
              </w:rPr>
            </w:pPr>
            <w:r>
              <w:rPr>
                <w:b w:val="0"/>
                <w:sz w:val="16"/>
                <w:szCs w:val="16"/>
              </w:rPr>
              <w:t>Chapter 4 Appendix B</w:t>
            </w:r>
          </w:p>
        </w:tc>
      </w:tr>
      <w:tr w:rsidR="00EF4FB7" w:rsidTr="00290F08">
        <w:trPr>
          <w:trHeight w:val="50"/>
        </w:trPr>
        <w:tc>
          <w:tcPr>
            <w:tcW w:w="908" w:type="dxa"/>
          </w:tcPr>
          <w:p w:rsidR="00EF4FB7" w:rsidRDefault="00EF4FB7" w:rsidP="008B7F83">
            <w:pPr>
              <w:pStyle w:val="mhb1"/>
              <w:tabs>
                <w:tab w:val="clear" w:pos="567"/>
              </w:tabs>
              <w:spacing w:before="0"/>
              <w:jc w:val="center"/>
              <w:rPr>
                <w:b w:val="0"/>
                <w:sz w:val="16"/>
              </w:rPr>
            </w:pPr>
            <w:r>
              <w:rPr>
                <w:b w:val="0"/>
                <w:sz w:val="16"/>
              </w:rPr>
              <w:t>17AG(4)(c)</w:t>
            </w:r>
          </w:p>
        </w:tc>
        <w:tc>
          <w:tcPr>
            <w:tcW w:w="760" w:type="dxa"/>
          </w:tcPr>
          <w:p w:rsidR="00EF4FB7" w:rsidRDefault="00EF4FB7" w:rsidP="008B7F83">
            <w:pPr>
              <w:pStyle w:val="mhb1"/>
              <w:tabs>
                <w:tab w:val="clear" w:pos="567"/>
              </w:tabs>
              <w:spacing w:before="0"/>
              <w:rPr>
                <w:b w:val="0"/>
                <w:i/>
                <w:sz w:val="20"/>
              </w:rPr>
            </w:pPr>
          </w:p>
        </w:tc>
        <w:tc>
          <w:tcPr>
            <w:tcW w:w="3351" w:type="dxa"/>
          </w:tcPr>
          <w:p w:rsidR="00EF4FB7" w:rsidRPr="00EF4FB7" w:rsidRDefault="00EF4FB7" w:rsidP="00EF4FB7">
            <w:pPr>
              <w:pStyle w:val="mhb1"/>
              <w:tabs>
                <w:tab w:val="clear" w:pos="567"/>
              </w:tabs>
              <w:spacing w:before="0"/>
              <w:rPr>
                <w:b w:val="0"/>
                <w:sz w:val="20"/>
              </w:rPr>
            </w:pPr>
            <w:r>
              <w:rPr>
                <w:b w:val="0"/>
                <w:sz w:val="20"/>
              </w:rPr>
              <w:t>Information on any e</w:t>
            </w:r>
            <w:r w:rsidRPr="00CB1118">
              <w:rPr>
                <w:b w:val="0"/>
                <w:sz w:val="20"/>
              </w:rPr>
              <w:t xml:space="preserve">nterprise </w:t>
            </w:r>
            <w:r>
              <w:rPr>
                <w:b w:val="0"/>
                <w:sz w:val="20"/>
              </w:rPr>
              <w:t xml:space="preserve">agreements, individual flexibility arrangements, Australian workplace agreements, </w:t>
            </w:r>
            <w:r w:rsidRPr="00CB1118">
              <w:rPr>
                <w:b w:val="0"/>
                <w:sz w:val="20"/>
              </w:rPr>
              <w:t xml:space="preserve">common law contracts and </w:t>
            </w:r>
            <w:r>
              <w:rPr>
                <w:b w:val="0"/>
                <w:sz w:val="20"/>
              </w:rPr>
              <w:t xml:space="preserve">determinations under subsection 24(1) of the </w:t>
            </w:r>
            <w:r>
              <w:rPr>
                <w:b w:val="0"/>
                <w:i/>
                <w:sz w:val="20"/>
              </w:rPr>
              <w:t>Public Service Act 1999</w:t>
            </w:r>
            <w:r>
              <w:rPr>
                <w:b w:val="0"/>
                <w:sz w:val="20"/>
              </w:rPr>
              <w:t>.</w:t>
            </w:r>
          </w:p>
        </w:tc>
        <w:tc>
          <w:tcPr>
            <w:tcW w:w="1275" w:type="dxa"/>
          </w:tcPr>
          <w:p w:rsidR="00EF4FB7" w:rsidRPr="00CB1118" w:rsidRDefault="00EF4FB7" w:rsidP="008B7F83">
            <w:pPr>
              <w:pStyle w:val="mhb1"/>
              <w:tabs>
                <w:tab w:val="clear" w:pos="567"/>
              </w:tabs>
              <w:spacing w:before="0"/>
              <w:rPr>
                <w:b w:val="0"/>
                <w:sz w:val="20"/>
              </w:rPr>
            </w:pPr>
            <w:r w:rsidRPr="00CB1118">
              <w:rPr>
                <w:b w:val="0"/>
                <w:sz w:val="20"/>
              </w:rPr>
              <w:t>Mandatory</w:t>
            </w:r>
          </w:p>
        </w:tc>
        <w:tc>
          <w:tcPr>
            <w:tcW w:w="1134" w:type="dxa"/>
          </w:tcPr>
          <w:p w:rsidR="00EF4FB7" w:rsidRPr="00EE0730" w:rsidRDefault="00EF4FB7" w:rsidP="008B7F83">
            <w:pPr>
              <w:pStyle w:val="mhb1"/>
              <w:tabs>
                <w:tab w:val="clear" w:pos="567"/>
              </w:tabs>
              <w:spacing w:before="0"/>
              <w:rPr>
                <w:b w:val="0"/>
                <w:sz w:val="16"/>
                <w:szCs w:val="16"/>
              </w:rPr>
            </w:pPr>
            <w:r>
              <w:rPr>
                <w:b w:val="0"/>
                <w:sz w:val="16"/>
                <w:szCs w:val="16"/>
              </w:rPr>
              <w:t>Chapter 4 Appendix B</w:t>
            </w:r>
          </w:p>
        </w:tc>
      </w:tr>
      <w:tr w:rsidR="00993484" w:rsidTr="002D48EF">
        <w:trPr>
          <w:cantSplit/>
          <w:trHeight w:val="50"/>
        </w:trPr>
        <w:tc>
          <w:tcPr>
            <w:tcW w:w="908" w:type="dxa"/>
          </w:tcPr>
          <w:p w:rsidR="00993484" w:rsidRDefault="00993484" w:rsidP="008B7F83">
            <w:pPr>
              <w:pStyle w:val="mhb1"/>
              <w:tabs>
                <w:tab w:val="clear" w:pos="567"/>
              </w:tabs>
              <w:spacing w:before="0"/>
              <w:jc w:val="center"/>
              <w:rPr>
                <w:b w:val="0"/>
                <w:sz w:val="16"/>
              </w:rPr>
            </w:pPr>
            <w:r>
              <w:rPr>
                <w:b w:val="0"/>
                <w:sz w:val="16"/>
              </w:rPr>
              <w:t>17AG(4)(c)(i)</w:t>
            </w:r>
          </w:p>
        </w:tc>
        <w:tc>
          <w:tcPr>
            <w:tcW w:w="760" w:type="dxa"/>
          </w:tcPr>
          <w:p w:rsidR="00993484" w:rsidRDefault="00993484" w:rsidP="007A2DEE">
            <w:pPr>
              <w:pStyle w:val="mhb1"/>
              <w:tabs>
                <w:tab w:val="clear" w:pos="567"/>
              </w:tabs>
              <w:spacing w:before="0"/>
              <w:rPr>
                <w:b w:val="0"/>
                <w:i/>
                <w:sz w:val="20"/>
              </w:rPr>
            </w:pPr>
          </w:p>
        </w:tc>
        <w:tc>
          <w:tcPr>
            <w:tcW w:w="3351" w:type="dxa"/>
          </w:tcPr>
          <w:p w:rsidR="00993484" w:rsidRPr="00CB1118" w:rsidRDefault="00993484" w:rsidP="00F24971">
            <w:pPr>
              <w:pStyle w:val="mhb1"/>
              <w:tabs>
                <w:tab w:val="clear" w:pos="567"/>
              </w:tabs>
              <w:spacing w:before="0"/>
              <w:rPr>
                <w:b w:val="0"/>
                <w:sz w:val="20"/>
              </w:rPr>
            </w:pPr>
            <w:r>
              <w:rPr>
                <w:b w:val="0"/>
                <w:sz w:val="20"/>
              </w:rPr>
              <w:t>Information on the number of SES and non-SES employees covered by agreements e</w:t>
            </w:r>
            <w:r w:rsidR="003B1A26">
              <w:rPr>
                <w:b w:val="0"/>
                <w:sz w:val="20"/>
              </w:rPr>
              <w:t>tc. identified in paragraph 17AG</w:t>
            </w:r>
            <w:r>
              <w:rPr>
                <w:b w:val="0"/>
                <w:sz w:val="20"/>
              </w:rPr>
              <w:t>(4)(c).</w:t>
            </w:r>
          </w:p>
        </w:tc>
        <w:tc>
          <w:tcPr>
            <w:tcW w:w="1275" w:type="dxa"/>
          </w:tcPr>
          <w:p w:rsidR="00993484" w:rsidRPr="00CB1118" w:rsidRDefault="00993484" w:rsidP="008B7F83">
            <w:pPr>
              <w:pStyle w:val="mhb1"/>
              <w:tabs>
                <w:tab w:val="clear" w:pos="567"/>
              </w:tabs>
              <w:spacing w:before="0"/>
              <w:rPr>
                <w:b w:val="0"/>
                <w:sz w:val="20"/>
              </w:rPr>
            </w:pPr>
            <w:r w:rsidRPr="00CB1118">
              <w:rPr>
                <w:b w:val="0"/>
                <w:sz w:val="20"/>
              </w:rPr>
              <w:t>Mandatory</w:t>
            </w:r>
          </w:p>
        </w:tc>
        <w:tc>
          <w:tcPr>
            <w:tcW w:w="1134" w:type="dxa"/>
          </w:tcPr>
          <w:p w:rsidR="00993484" w:rsidRPr="00EE0730" w:rsidRDefault="00993484" w:rsidP="008B7F83">
            <w:pPr>
              <w:pStyle w:val="mhb1"/>
              <w:tabs>
                <w:tab w:val="clear" w:pos="567"/>
              </w:tabs>
              <w:spacing w:before="0"/>
              <w:rPr>
                <w:b w:val="0"/>
                <w:sz w:val="16"/>
                <w:szCs w:val="16"/>
              </w:rPr>
            </w:pPr>
            <w:r>
              <w:rPr>
                <w:b w:val="0"/>
                <w:sz w:val="16"/>
                <w:szCs w:val="16"/>
              </w:rPr>
              <w:t>Chapter 4 Appendix B</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17AG(4)(c)(ii)</w:t>
            </w:r>
          </w:p>
        </w:tc>
        <w:tc>
          <w:tcPr>
            <w:tcW w:w="760" w:type="dxa"/>
          </w:tcPr>
          <w:p w:rsidR="00971000" w:rsidRDefault="00971000" w:rsidP="007A2DEE">
            <w:pPr>
              <w:pStyle w:val="mhb1"/>
              <w:tabs>
                <w:tab w:val="clear" w:pos="567"/>
              </w:tabs>
              <w:spacing w:before="0"/>
              <w:rPr>
                <w:b w:val="0"/>
                <w:i/>
                <w:sz w:val="20"/>
              </w:rPr>
            </w:pPr>
          </w:p>
        </w:tc>
        <w:tc>
          <w:tcPr>
            <w:tcW w:w="3351" w:type="dxa"/>
          </w:tcPr>
          <w:p w:rsidR="00971000" w:rsidRPr="00CB1118" w:rsidRDefault="00971000" w:rsidP="003C39D9">
            <w:pPr>
              <w:pStyle w:val="mhb1"/>
              <w:tabs>
                <w:tab w:val="clear" w:pos="567"/>
              </w:tabs>
              <w:spacing w:before="0"/>
              <w:rPr>
                <w:b w:val="0"/>
                <w:i/>
                <w:sz w:val="20"/>
              </w:rPr>
            </w:pPr>
            <w:r>
              <w:rPr>
                <w:b w:val="0"/>
                <w:sz w:val="20"/>
              </w:rPr>
              <w:t>The salary ranges available for APS employees by classification level.</w:t>
            </w:r>
          </w:p>
        </w:tc>
        <w:tc>
          <w:tcPr>
            <w:tcW w:w="1275" w:type="dxa"/>
          </w:tcPr>
          <w:p w:rsidR="00971000" w:rsidRPr="00CB1118" w:rsidRDefault="00971000" w:rsidP="008B7F83">
            <w:pPr>
              <w:pStyle w:val="mhb1"/>
              <w:tabs>
                <w:tab w:val="clear" w:pos="567"/>
              </w:tabs>
              <w:spacing w:before="0"/>
              <w:rPr>
                <w:b w:val="0"/>
                <w:sz w:val="20"/>
              </w:rPr>
            </w:pPr>
            <w:r w:rsidRPr="00CB1118">
              <w:rPr>
                <w:b w:val="0"/>
                <w:sz w:val="20"/>
              </w:rPr>
              <w:t>Mandatory</w:t>
            </w:r>
          </w:p>
        </w:tc>
        <w:tc>
          <w:tcPr>
            <w:tcW w:w="1134" w:type="dxa"/>
          </w:tcPr>
          <w:p w:rsidR="00971000" w:rsidRDefault="00971000" w:rsidP="008B7F83">
            <w:pPr>
              <w:pStyle w:val="mhb1"/>
              <w:tabs>
                <w:tab w:val="clear" w:pos="567"/>
              </w:tabs>
              <w:spacing w:before="0"/>
              <w:rPr>
                <w:b w:val="0"/>
                <w:sz w:val="16"/>
                <w:szCs w:val="16"/>
              </w:rPr>
            </w:pPr>
            <w:r>
              <w:rPr>
                <w:b w:val="0"/>
                <w:sz w:val="16"/>
                <w:szCs w:val="16"/>
              </w:rPr>
              <w:t>Appendix B</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17AG(4)(c)(iii)</w:t>
            </w:r>
          </w:p>
        </w:tc>
        <w:tc>
          <w:tcPr>
            <w:tcW w:w="760" w:type="dxa"/>
          </w:tcPr>
          <w:p w:rsidR="00971000" w:rsidRDefault="00971000" w:rsidP="008B7F83">
            <w:pPr>
              <w:pStyle w:val="mhb1"/>
              <w:tabs>
                <w:tab w:val="clear" w:pos="567"/>
              </w:tabs>
              <w:spacing w:before="0"/>
              <w:rPr>
                <w:b w:val="0"/>
                <w:i/>
                <w:sz w:val="20"/>
              </w:rPr>
            </w:pPr>
          </w:p>
        </w:tc>
        <w:tc>
          <w:tcPr>
            <w:tcW w:w="3351" w:type="dxa"/>
          </w:tcPr>
          <w:p w:rsidR="00971000" w:rsidRPr="00CB1118" w:rsidRDefault="00971000" w:rsidP="008B7F83">
            <w:pPr>
              <w:pStyle w:val="mhb1"/>
              <w:tabs>
                <w:tab w:val="clear" w:pos="567"/>
              </w:tabs>
              <w:spacing w:before="0"/>
              <w:rPr>
                <w:b w:val="0"/>
                <w:sz w:val="20"/>
              </w:rPr>
            </w:pPr>
            <w:r>
              <w:rPr>
                <w:b w:val="0"/>
                <w:sz w:val="20"/>
              </w:rPr>
              <w:t>A description of non-salary benefits provided to employees.</w:t>
            </w:r>
          </w:p>
        </w:tc>
        <w:tc>
          <w:tcPr>
            <w:tcW w:w="1275" w:type="dxa"/>
          </w:tcPr>
          <w:p w:rsidR="00971000" w:rsidRPr="00CB1118" w:rsidRDefault="00971000" w:rsidP="008B7F83">
            <w:pPr>
              <w:pStyle w:val="mhb1"/>
              <w:tabs>
                <w:tab w:val="clear" w:pos="567"/>
              </w:tabs>
              <w:spacing w:before="0"/>
              <w:rPr>
                <w:b w:val="0"/>
                <w:sz w:val="20"/>
              </w:rPr>
            </w:pPr>
            <w:r w:rsidRPr="00CB1118">
              <w:rPr>
                <w:b w:val="0"/>
                <w:sz w:val="20"/>
              </w:rPr>
              <w:t>Mandatory</w:t>
            </w:r>
          </w:p>
        </w:tc>
        <w:tc>
          <w:tcPr>
            <w:tcW w:w="1134" w:type="dxa"/>
          </w:tcPr>
          <w:p w:rsidR="00971000" w:rsidRPr="00EE0730" w:rsidRDefault="00971000" w:rsidP="008B7F83">
            <w:pPr>
              <w:pStyle w:val="mhb1"/>
              <w:tabs>
                <w:tab w:val="clear" w:pos="567"/>
              </w:tabs>
              <w:spacing w:before="0"/>
              <w:rPr>
                <w:b w:val="0"/>
                <w:sz w:val="16"/>
                <w:szCs w:val="16"/>
              </w:rPr>
            </w:pPr>
            <w:r>
              <w:rPr>
                <w:b w:val="0"/>
                <w:sz w:val="16"/>
                <w:szCs w:val="16"/>
              </w:rPr>
              <w:t>Chapter 4</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17AG(4)(d)(i)</w:t>
            </w:r>
          </w:p>
        </w:tc>
        <w:tc>
          <w:tcPr>
            <w:tcW w:w="760" w:type="dxa"/>
          </w:tcPr>
          <w:p w:rsidR="00971000" w:rsidRDefault="00971000" w:rsidP="007A2DEE">
            <w:pPr>
              <w:pStyle w:val="mhb1"/>
              <w:tabs>
                <w:tab w:val="clear" w:pos="567"/>
              </w:tabs>
              <w:spacing w:before="0"/>
              <w:jc w:val="center"/>
              <w:rPr>
                <w:b w:val="0"/>
                <w:sz w:val="20"/>
              </w:rPr>
            </w:pPr>
          </w:p>
        </w:tc>
        <w:tc>
          <w:tcPr>
            <w:tcW w:w="3351" w:type="dxa"/>
          </w:tcPr>
          <w:p w:rsidR="00971000" w:rsidRPr="00CB1118" w:rsidRDefault="00971000" w:rsidP="00971000">
            <w:pPr>
              <w:pStyle w:val="mhb1"/>
              <w:tabs>
                <w:tab w:val="clear" w:pos="567"/>
              </w:tabs>
              <w:spacing w:before="0"/>
              <w:rPr>
                <w:b w:val="0"/>
                <w:sz w:val="20"/>
              </w:rPr>
            </w:pPr>
            <w:r>
              <w:rPr>
                <w:b w:val="0"/>
                <w:sz w:val="20"/>
              </w:rPr>
              <w:t>Information on the number of employees at each classification level who received p</w:t>
            </w:r>
            <w:r w:rsidRPr="00CB1118">
              <w:rPr>
                <w:b w:val="0"/>
                <w:sz w:val="20"/>
              </w:rPr>
              <w:t>erformance pay</w:t>
            </w:r>
            <w:r>
              <w:rPr>
                <w:b w:val="0"/>
                <w:sz w:val="20"/>
              </w:rPr>
              <w:t>.</w:t>
            </w:r>
          </w:p>
        </w:tc>
        <w:tc>
          <w:tcPr>
            <w:tcW w:w="1275" w:type="dxa"/>
          </w:tcPr>
          <w:p w:rsidR="00971000" w:rsidRPr="00CB1118" w:rsidRDefault="0097100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971000" w:rsidRPr="00EE0730" w:rsidRDefault="00814442" w:rsidP="007A2DEE">
            <w:pPr>
              <w:pStyle w:val="mhb1"/>
              <w:tabs>
                <w:tab w:val="clear" w:pos="567"/>
              </w:tabs>
              <w:spacing w:before="0"/>
              <w:rPr>
                <w:b w:val="0"/>
                <w:sz w:val="16"/>
                <w:szCs w:val="16"/>
              </w:rPr>
            </w:pPr>
            <w:r>
              <w:rPr>
                <w:b w:val="0"/>
                <w:sz w:val="16"/>
                <w:szCs w:val="16"/>
              </w:rPr>
              <w:t>N/A</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17AG(4)(d)(ii)</w:t>
            </w:r>
          </w:p>
        </w:tc>
        <w:tc>
          <w:tcPr>
            <w:tcW w:w="760" w:type="dxa"/>
          </w:tcPr>
          <w:p w:rsidR="00971000" w:rsidRDefault="00971000" w:rsidP="007A2DEE">
            <w:pPr>
              <w:pStyle w:val="mhb1"/>
              <w:tabs>
                <w:tab w:val="clear" w:pos="567"/>
              </w:tabs>
              <w:spacing w:before="0"/>
              <w:rPr>
                <w:b w:val="0"/>
                <w:i/>
                <w:sz w:val="20"/>
              </w:rPr>
            </w:pPr>
          </w:p>
        </w:tc>
        <w:tc>
          <w:tcPr>
            <w:tcW w:w="3351" w:type="dxa"/>
          </w:tcPr>
          <w:p w:rsidR="00971000" w:rsidRPr="00CB1118" w:rsidRDefault="00971000" w:rsidP="00971000">
            <w:pPr>
              <w:pStyle w:val="mhb1"/>
              <w:tabs>
                <w:tab w:val="clear" w:pos="567"/>
              </w:tabs>
              <w:spacing w:before="0"/>
              <w:rPr>
                <w:b w:val="0"/>
                <w:sz w:val="20"/>
              </w:rPr>
            </w:pPr>
            <w:r>
              <w:rPr>
                <w:b w:val="0"/>
                <w:sz w:val="20"/>
              </w:rPr>
              <w:t>Information on aggregate amounts of performance pay at each classification level.</w:t>
            </w:r>
          </w:p>
        </w:tc>
        <w:tc>
          <w:tcPr>
            <w:tcW w:w="1275" w:type="dxa"/>
          </w:tcPr>
          <w:p w:rsidR="00971000" w:rsidRPr="00CB1118" w:rsidRDefault="0097100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971000" w:rsidRPr="00EE0730" w:rsidRDefault="00814442" w:rsidP="007A2DEE">
            <w:pPr>
              <w:pStyle w:val="mhb1"/>
              <w:tabs>
                <w:tab w:val="clear" w:pos="567"/>
              </w:tabs>
              <w:spacing w:before="0"/>
              <w:rPr>
                <w:b w:val="0"/>
                <w:sz w:val="16"/>
                <w:szCs w:val="16"/>
              </w:rPr>
            </w:pPr>
            <w:r>
              <w:rPr>
                <w:b w:val="0"/>
                <w:sz w:val="16"/>
                <w:szCs w:val="16"/>
              </w:rPr>
              <w:t>N/A</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17AG(4)(d)(iii)</w:t>
            </w:r>
          </w:p>
        </w:tc>
        <w:tc>
          <w:tcPr>
            <w:tcW w:w="760" w:type="dxa"/>
          </w:tcPr>
          <w:p w:rsidR="00971000" w:rsidRDefault="00971000" w:rsidP="007A2DEE">
            <w:pPr>
              <w:pStyle w:val="mhb1"/>
              <w:tabs>
                <w:tab w:val="clear" w:pos="567"/>
              </w:tabs>
              <w:spacing w:before="0"/>
              <w:rPr>
                <w:b w:val="0"/>
                <w:i/>
                <w:sz w:val="20"/>
              </w:rPr>
            </w:pPr>
          </w:p>
        </w:tc>
        <w:tc>
          <w:tcPr>
            <w:tcW w:w="3351" w:type="dxa"/>
          </w:tcPr>
          <w:p w:rsidR="00971000" w:rsidRPr="00CB1118" w:rsidRDefault="00971000" w:rsidP="00971000">
            <w:pPr>
              <w:pStyle w:val="mhb1"/>
              <w:tabs>
                <w:tab w:val="clear" w:pos="567"/>
              </w:tabs>
              <w:spacing w:before="0"/>
              <w:rPr>
                <w:b w:val="0"/>
                <w:sz w:val="20"/>
              </w:rPr>
            </w:pPr>
            <w:r>
              <w:rPr>
                <w:b w:val="0"/>
                <w:sz w:val="20"/>
              </w:rPr>
              <w:t>Information on the average amount of performance payment, and range of such payments, at each classification level.</w:t>
            </w:r>
          </w:p>
        </w:tc>
        <w:tc>
          <w:tcPr>
            <w:tcW w:w="1275" w:type="dxa"/>
          </w:tcPr>
          <w:p w:rsidR="00971000" w:rsidRPr="00CB1118" w:rsidRDefault="0097100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971000" w:rsidRPr="00EE0730" w:rsidRDefault="00814442" w:rsidP="007A2DEE">
            <w:pPr>
              <w:pStyle w:val="mhb1"/>
              <w:tabs>
                <w:tab w:val="clear" w:pos="567"/>
              </w:tabs>
              <w:spacing w:before="0"/>
              <w:rPr>
                <w:b w:val="0"/>
                <w:sz w:val="16"/>
                <w:szCs w:val="16"/>
              </w:rPr>
            </w:pPr>
            <w:r>
              <w:rPr>
                <w:b w:val="0"/>
                <w:sz w:val="16"/>
                <w:szCs w:val="16"/>
              </w:rPr>
              <w:t>N/A</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17AG(4)(d)(iv)</w:t>
            </w:r>
          </w:p>
        </w:tc>
        <w:tc>
          <w:tcPr>
            <w:tcW w:w="760" w:type="dxa"/>
          </w:tcPr>
          <w:p w:rsidR="00971000" w:rsidRDefault="00971000" w:rsidP="007A2DEE">
            <w:pPr>
              <w:pStyle w:val="mhb1"/>
              <w:tabs>
                <w:tab w:val="clear" w:pos="567"/>
              </w:tabs>
              <w:spacing w:before="0"/>
              <w:rPr>
                <w:b w:val="0"/>
                <w:i/>
                <w:sz w:val="20"/>
              </w:rPr>
            </w:pPr>
          </w:p>
        </w:tc>
        <w:tc>
          <w:tcPr>
            <w:tcW w:w="3351" w:type="dxa"/>
          </w:tcPr>
          <w:p w:rsidR="00971000" w:rsidRPr="00CB1118" w:rsidRDefault="00971000" w:rsidP="008B7F83">
            <w:pPr>
              <w:pStyle w:val="mhb1"/>
              <w:tabs>
                <w:tab w:val="clear" w:pos="567"/>
              </w:tabs>
              <w:spacing w:before="0"/>
              <w:rPr>
                <w:b w:val="0"/>
                <w:sz w:val="20"/>
              </w:rPr>
            </w:pPr>
            <w:r>
              <w:rPr>
                <w:b w:val="0"/>
                <w:sz w:val="20"/>
              </w:rPr>
              <w:t>Information on aggregate amount of performance payments.</w:t>
            </w:r>
          </w:p>
        </w:tc>
        <w:tc>
          <w:tcPr>
            <w:tcW w:w="1275" w:type="dxa"/>
          </w:tcPr>
          <w:p w:rsidR="00971000" w:rsidRPr="00CB1118" w:rsidRDefault="0097100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971000" w:rsidRPr="00EE0730" w:rsidRDefault="00814442" w:rsidP="007A2DEE">
            <w:pPr>
              <w:pStyle w:val="mhb1"/>
              <w:tabs>
                <w:tab w:val="clear" w:pos="567"/>
              </w:tabs>
              <w:spacing w:before="0"/>
              <w:rPr>
                <w:b w:val="0"/>
                <w:sz w:val="16"/>
                <w:szCs w:val="16"/>
              </w:rPr>
            </w:pPr>
            <w:r>
              <w:rPr>
                <w:b w:val="0"/>
                <w:sz w:val="16"/>
                <w:szCs w:val="16"/>
              </w:rPr>
              <w:t>N/A</w:t>
            </w:r>
          </w:p>
        </w:tc>
      </w:tr>
      <w:tr w:rsidR="000C5713" w:rsidTr="002D48EF">
        <w:trPr>
          <w:cantSplit/>
          <w:trHeight w:val="50"/>
        </w:trPr>
        <w:tc>
          <w:tcPr>
            <w:tcW w:w="908" w:type="dxa"/>
          </w:tcPr>
          <w:p w:rsidR="000C5713" w:rsidRDefault="000C5713" w:rsidP="007A2DEE">
            <w:pPr>
              <w:pStyle w:val="mhb1"/>
              <w:tabs>
                <w:tab w:val="clear" w:pos="567"/>
              </w:tabs>
              <w:spacing w:before="0"/>
              <w:jc w:val="center"/>
              <w:rPr>
                <w:b w:val="0"/>
                <w:sz w:val="16"/>
              </w:rPr>
            </w:pPr>
          </w:p>
        </w:tc>
        <w:tc>
          <w:tcPr>
            <w:tcW w:w="6520" w:type="dxa"/>
            <w:gridSpan w:val="4"/>
          </w:tcPr>
          <w:p w:rsidR="000C5713" w:rsidRPr="00814442" w:rsidRDefault="00814442" w:rsidP="007A2DEE">
            <w:pPr>
              <w:pStyle w:val="mhb1"/>
              <w:tabs>
                <w:tab w:val="clear" w:pos="567"/>
              </w:tabs>
              <w:spacing w:before="0"/>
              <w:rPr>
                <w:i/>
                <w:sz w:val="20"/>
              </w:rPr>
            </w:pPr>
            <w:r>
              <w:rPr>
                <w:i/>
                <w:sz w:val="20"/>
              </w:rPr>
              <w:t>Assets M</w:t>
            </w:r>
            <w:r w:rsidR="000C5713" w:rsidRPr="00814442">
              <w:rPr>
                <w:i/>
                <w:sz w:val="20"/>
              </w:rPr>
              <w:t>anagement</w:t>
            </w:r>
          </w:p>
        </w:tc>
      </w:tr>
      <w:tr w:rsidR="000C5713" w:rsidTr="002D48EF">
        <w:trPr>
          <w:cantSplit/>
          <w:trHeight w:val="50"/>
        </w:trPr>
        <w:tc>
          <w:tcPr>
            <w:tcW w:w="908" w:type="dxa"/>
          </w:tcPr>
          <w:p w:rsidR="000C5713" w:rsidRDefault="00814442" w:rsidP="00DC2406">
            <w:pPr>
              <w:pStyle w:val="mhb1"/>
              <w:tabs>
                <w:tab w:val="clear" w:pos="567"/>
              </w:tabs>
              <w:spacing w:before="0"/>
              <w:jc w:val="center"/>
              <w:rPr>
                <w:b w:val="0"/>
                <w:sz w:val="16"/>
              </w:rPr>
            </w:pPr>
            <w:r>
              <w:rPr>
                <w:b w:val="0"/>
                <w:sz w:val="16"/>
              </w:rPr>
              <w:t>17AG(5)</w:t>
            </w:r>
          </w:p>
        </w:tc>
        <w:tc>
          <w:tcPr>
            <w:tcW w:w="760" w:type="dxa"/>
          </w:tcPr>
          <w:p w:rsidR="000C5713" w:rsidRPr="00B619F8" w:rsidRDefault="000C5713" w:rsidP="007A2DEE">
            <w:pPr>
              <w:pStyle w:val="mhb1"/>
              <w:tabs>
                <w:tab w:val="clear" w:pos="567"/>
              </w:tabs>
              <w:spacing w:before="0"/>
              <w:rPr>
                <w:b w:val="0"/>
                <w:sz w:val="20"/>
              </w:rPr>
            </w:pPr>
          </w:p>
        </w:tc>
        <w:tc>
          <w:tcPr>
            <w:tcW w:w="3351" w:type="dxa"/>
          </w:tcPr>
          <w:p w:rsidR="000C5713" w:rsidRPr="00CB1118" w:rsidRDefault="00814442" w:rsidP="00814442">
            <w:pPr>
              <w:pStyle w:val="mhb1"/>
              <w:tabs>
                <w:tab w:val="clear" w:pos="567"/>
              </w:tabs>
              <w:spacing w:before="0"/>
              <w:rPr>
                <w:b w:val="0"/>
                <w:sz w:val="20"/>
              </w:rPr>
            </w:pPr>
            <w:r>
              <w:rPr>
                <w:b w:val="0"/>
                <w:sz w:val="20"/>
              </w:rPr>
              <w:t>An a</w:t>
            </w:r>
            <w:r w:rsidR="000C5713" w:rsidRPr="00CB1118">
              <w:rPr>
                <w:b w:val="0"/>
                <w:sz w:val="20"/>
              </w:rPr>
              <w:t>ssessment of effectiveness of assets management</w:t>
            </w:r>
            <w:r>
              <w:rPr>
                <w:b w:val="0"/>
                <w:sz w:val="20"/>
              </w:rPr>
              <w:t xml:space="preserve"> where asset management is a significant part of the entity’s activities.</w:t>
            </w:r>
            <w:r w:rsidR="000C5713" w:rsidRPr="00CB1118">
              <w:rPr>
                <w:b w:val="0"/>
                <w:sz w:val="20"/>
              </w:rPr>
              <w:t xml:space="preserve"> </w:t>
            </w:r>
          </w:p>
        </w:tc>
        <w:tc>
          <w:tcPr>
            <w:tcW w:w="1275" w:type="dxa"/>
          </w:tcPr>
          <w:p w:rsidR="000C5713" w:rsidRPr="00CB1118" w:rsidRDefault="00F402F1" w:rsidP="007A2DEE">
            <w:pPr>
              <w:pStyle w:val="mhb1"/>
              <w:tabs>
                <w:tab w:val="clear" w:pos="567"/>
              </w:tabs>
              <w:spacing w:before="0"/>
              <w:rPr>
                <w:b w:val="0"/>
                <w:sz w:val="20"/>
              </w:rPr>
            </w:pPr>
            <w:r>
              <w:rPr>
                <w:b w:val="0"/>
                <w:sz w:val="20"/>
              </w:rPr>
              <w:t>If applicable, M</w:t>
            </w:r>
            <w:r w:rsidR="000C5713" w:rsidRPr="00CB1118">
              <w:rPr>
                <w:b w:val="0"/>
                <w:sz w:val="20"/>
              </w:rPr>
              <w:t>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N/A</w:t>
            </w:r>
          </w:p>
        </w:tc>
      </w:tr>
      <w:tr w:rsidR="000C5713" w:rsidTr="002D48EF">
        <w:trPr>
          <w:cantSplit/>
          <w:trHeight w:val="50"/>
        </w:trPr>
        <w:tc>
          <w:tcPr>
            <w:tcW w:w="908" w:type="dxa"/>
          </w:tcPr>
          <w:p w:rsidR="000C5713" w:rsidRDefault="000C5713" w:rsidP="007A2DEE">
            <w:pPr>
              <w:pStyle w:val="mhb1"/>
              <w:tabs>
                <w:tab w:val="clear" w:pos="567"/>
              </w:tabs>
              <w:spacing w:before="0"/>
              <w:jc w:val="center"/>
              <w:rPr>
                <w:b w:val="0"/>
                <w:sz w:val="16"/>
              </w:rPr>
            </w:pPr>
          </w:p>
        </w:tc>
        <w:tc>
          <w:tcPr>
            <w:tcW w:w="6520" w:type="dxa"/>
            <w:gridSpan w:val="4"/>
          </w:tcPr>
          <w:p w:rsidR="000C5713" w:rsidRPr="00814442" w:rsidRDefault="000C5713" w:rsidP="007A2DEE">
            <w:pPr>
              <w:pStyle w:val="mhb1"/>
              <w:tabs>
                <w:tab w:val="clear" w:pos="567"/>
              </w:tabs>
              <w:spacing w:before="0"/>
              <w:rPr>
                <w:i/>
                <w:sz w:val="20"/>
              </w:rPr>
            </w:pPr>
            <w:r w:rsidRPr="00814442">
              <w:rPr>
                <w:i/>
                <w:sz w:val="20"/>
              </w:rPr>
              <w:t>Purchasing</w:t>
            </w:r>
          </w:p>
        </w:tc>
      </w:tr>
      <w:tr w:rsidR="00814442" w:rsidTr="002D48EF">
        <w:trPr>
          <w:cantSplit/>
          <w:trHeight w:val="50"/>
        </w:trPr>
        <w:tc>
          <w:tcPr>
            <w:tcW w:w="908" w:type="dxa"/>
          </w:tcPr>
          <w:p w:rsidR="00814442" w:rsidRDefault="00814442" w:rsidP="008B7F83">
            <w:pPr>
              <w:pStyle w:val="mhb1"/>
              <w:tabs>
                <w:tab w:val="clear" w:pos="567"/>
              </w:tabs>
              <w:spacing w:before="0"/>
              <w:jc w:val="center"/>
              <w:rPr>
                <w:b w:val="0"/>
                <w:sz w:val="16"/>
              </w:rPr>
            </w:pPr>
            <w:r>
              <w:rPr>
                <w:b w:val="0"/>
                <w:sz w:val="16"/>
              </w:rPr>
              <w:t>17AG(6)</w:t>
            </w:r>
          </w:p>
        </w:tc>
        <w:tc>
          <w:tcPr>
            <w:tcW w:w="760" w:type="dxa"/>
          </w:tcPr>
          <w:p w:rsidR="00814442" w:rsidRPr="00B619F8" w:rsidRDefault="00814442" w:rsidP="007A2DEE">
            <w:pPr>
              <w:pStyle w:val="mhb1"/>
              <w:tabs>
                <w:tab w:val="clear" w:pos="567"/>
              </w:tabs>
              <w:spacing w:before="0"/>
              <w:rPr>
                <w:b w:val="0"/>
                <w:sz w:val="20"/>
              </w:rPr>
            </w:pPr>
          </w:p>
        </w:tc>
        <w:tc>
          <w:tcPr>
            <w:tcW w:w="3351" w:type="dxa"/>
          </w:tcPr>
          <w:p w:rsidR="00814442" w:rsidRPr="00814442" w:rsidRDefault="00814442" w:rsidP="00814442">
            <w:pPr>
              <w:pStyle w:val="mhb1"/>
              <w:tabs>
                <w:tab w:val="clear" w:pos="567"/>
              </w:tabs>
              <w:spacing w:before="0"/>
              <w:rPr>
                <w:b w:val="0"/>
                <w:sz w:val="20"/>
              </w:rPr>
            </w:pPr>
            <w:r>
              <w:rPr>
                <w:b w:val="0"/>
                <w:sz w:val="20"/>
              </w:rPr>
              <w:t>An a</w:t>
            </w:r>
            <w:r w:rsidRPr="00CB1118">
              <w:rPr>
                <w:b w:val="0"/>
                <w:sz w:val="20"/>
              </w:rPr>
              <w:t xml:space="preserve">ssessment of </w:t>
            </w:r>
            <w:r>
              <w:rPr>
                <w:b w:val="0"/>
                <w:sz w:val="20"/>
              </w:rPr>
              <w:t xml:space="preserve">entity performance against the </w:t>
            </w:r>
            <w:r>
              <w:rPr>
                <w:b w:val="0"/>
                <w:i/>
                <w:sz w:val="20"/>
              </w:rPr>
              <w:t>Commonwealth Procurement Rules</w:t>
            </w:r>
            <w:r>
              <w:rPr>
                <w:b w:val="0"/>
                <w:sz w:val="20"/>
              </w:rPr>
              <w:t>.</w:t>
            </w:r>
          </w:p>
        </w:tc>
        <w:tc>
          <w:tcPr>
            <w:tcW w:w="1275" w:type="dxa"/>
          </w:tcPr>
          <w:p w:rsidR="00814442" w:rsidRPr="00CB1118" w:rsidRDefault="00814442" w:rsidP="007A2DEE">
            <w:pPr>
              <w:pStyle w:val="mhb1"/>
              <w:tabs>
                <w:tab w:val="clear" w:pos="567"/>
              </w:tabs>
              <w:spacing w:before="0"/>
              <w:rPr>
                <w:b w:val="0"/>
                <w:sz w:val="20"/>
              </w:rPr>
            </w:pPr>
            <w:r w:rsidRPr="00CB1118">
              <w:rPr>
                <w:b w:val="0"/>
                <w:sz w:val="20"/>
              </w:rPr>
              <w:t>Mandatory</w:t>
            </w:r>
          </w:p>
        </w:tc>
        <w:tc>
          <w:tcPr>
            <w:tcW w:w="1134" w:type="dxa"/>
          </w:tcPr>
          <w:p w:rsidR="00814442" w:rsidRPr="00EE0730" w:rsidRDefault="00814442" w:rsidP="007A2DEE">
            <w:pPr>
              <w:pStyle w:val="mhb1"/>
              <w:tabs>
                <w:tab w:val="clear" w:pos="567"/>
              </w:tabs>
              <w:spacing w:before="0"/>
              <w:rPr>
                <w:b w:val="0"/>
                <w:sz w:val="16"/>
                <w:szCs w:val="16"/>
              </w:rPr>
            </w:pPr>
            <w:r>
              <w:rPr>
                <w:b w:val="0"/>
                <w:sz w:val="16"/>
                <w:szCs w:val="16"/>
              </w:rPr>
              <w:t>Chapter 5</w:t>
            </w:r>
          </w:p>
        </w:tc>
      </w:tr>
      <w:tr w:rsidR="000C5713" w:rsidTr="002D48EF">
        <w:trPr>
          <w:cantSplit/>
          <w:trHeight w:val="50"/>
        </w:trPr>
        <w:tc>
          <w:tcPr>
            <w:tcW w:w="908" w:type="dxa"/>
          </w:tcPr>
          <w:p w:rsidR="000C5713" w:rsidRDefault="000C5713" w:rsidP="007A2DEE">
            <w:pPr>
              <w:pStyle w:val="mhb1"/>
              <w:tabs>
                <w:tab w:val="clear" w:pos="567"/>
              </w:tabs>
              <w:spacing w:before="0"/>
              <w:jc w:val="center"/>
              <w:rPr>
                <w:b w:val="0"/>
                <w:sz w:val="16"/>
              </w:rPr>
            </w:pPr>
          </w:p>
        </w:tc>
        <w:tc>
          <w:tcPr>
            <w:tcW w:w="6520" w:type="dxa"/>
            <w:gridSpan w:val="4"/>
          </w:tcPr>
          <w:p w:rsidR="000C5713" w:rsidRPr="00814442" w:rsidRDefault="000C5713" w:rsidP="00814442">
            <w:pPr>
              <w:pStyle w:val="mhb1"/>
              <w:tabs>
                <w:tab w:val="clear" w:pos="567"/>
              </w:tabs>
              <w:spacing w:before="0"/>
              <w:rPr>
                <w:i/>
                <w:sz w:val="20"/>
              </w:rPr>
            </w:pPr>
            <w:r w:rsidRPr="00814442">
              <w:rPr>
                <w:i/>
                <w:sz w:val="20"/>
              </w:rPr>
              <w:t xml:space="preserve">Consultants </w:t>
            </w:r>
          </w:p>
        </w:tc>
      </w:tr>
      <w:tr w:rsidR="000C5713" w:rsidTr="00290F08">
        <w:trPr>
          <w:trHeight w:val="50"/>
        </w:trPr>
        <w:tc>
          <w:tcPr>
            <w:tcW w:w="908" w:type="dxa"/>
          </w:tcPr>
          <w:p w:rsidR="000C5713" w:rsidRDefault="00814442" w:rsidP="00DC2406">
            <w:pPr>
              <w:pStyle w:val="mhb1"/>
              <w:tabs>
                <w:tab w:val="clear" w:pos="567"/>
              </w:tabs>
              <w:spacing w:before="0"/>
              <w:jc w:val="center"/>
              <w:rPr>
                <w:b w:val="0"/>
                <w:sz w:val="16"/>
              </w:rPr>
            </w:pPr>
            <w:r>
              <w:rPr>
                <w:b w:val="0"/>
                <w:sz w:val="16"/>
              </w:rPr>
              <w:t>17AG(7)(a)</w:t>
            </w:r>
          </w:p>
        </w:tc>
        <w:tc>
          <w:tcPr>
            <w:tcW w:w="760" w:type="dxa"/>
          </w:tcPr>
          <w:p w:rsidR="000C5713" w:rsidRPr="00B619F8" w:rsidRDefault="000C5713" w:rsidP="007A2DEE">
            <w:pPr>
              <w:pStyle w:val="mhb1"/>
              <w:tabs>
                <w:tab w:val="clear" w:pos="567"/>
              </w:tabs>
              <w:spacing w:before="0"/>
              <w:rPr>
                <w:b w:val="0"/>
                <w:sz w:val="20"/>
              </w:rPr>
            </w:pPr>
          </w:p>
        </w:tc>
        <w:tc>
          <w:tcPr>
            <w:tcW w:w="3351" w:type="dxa"/>
          </w:tcPr>
          <w:p w:rsidR="000C5713" w:rsidRPr="002F4DFE" w:rsidRDefault="00814442" w:rsidP="00814442">
            <w:pPr>
              <w:rPr>
                <w:b/>
                <w:sz w:val="20"/>
                <w:szCs w:val="20"/>
              </w:rPr>
            </w:pPr>
            <w:r>
              <w:rPr>
                <w:sz w:val="20"/>
                <w:szCs w:val="20"/>
              </w:rPr>
              <w:t>A summ</w:t>
            </w:r>
            <w:r w:rsidR="000C5713" w:rsidRPr="00CB1118">
              <w:rPr>
                <w:sz w:val="20"/>
                <w:szCs w:val="20"/>
              </w:rPr>
              <w:t xml:space="preserve">ary statement detailing the number of new </w:t>
            </w:r>
            <w:r>
              <w:rPr>
                <w:sz w:val="20"/>
                <w:szCs w:val="20"/>
              </w:rPr>
              <w:t>contracts engaging consultants entered into</w:t>
            </w:r>
            <w:r w:rsidR="000C5713" w:rsidRPr="00CB1118">
              <w:rPr>
                <w:sz w:val="20"/>
                <w:szCs w:val="20"/>
              </w:rPr>
              <w:t xml:space="preserve"> during the </w:t>
            </w:r>
            <w:r>
              <w:rPr>
                <w:sz w:val="20"/>
                <w:szCs w:val="20"/>
              </w:rPr>
              <w:t>period</w:t>
            </w:r>
            <w:r w:rsidR="000C5713" w:rsidRPr="00CB1118">
              <w:rPr>
                <w:sz w:val="20"/>
                <w:szCs w:val="20"/>
              </w:rPr>
              <w:t xml:space="preserve">; the total actual expenditure on all new consultancy contracts </w:t>
            </w:r>
            <w:r>
              <w:rPr>
                <w:sz w:val="20"/>
                <w:szCs w:val="20"/>
              </w:rPr>
              <w:t>entered into</w:t>
            </w:r>
            <w:r w:rsidR="000C5713" w:rsidRPr="00CB1118">
              <w:rPr>
                <w:sz w:val="20"/>
                <w:szCs w:val="20"/>
              </w:rPr>
              <w:t xml:space="preserve"> during the </w:t>
            </w:r>
            <w:r>
              <w:rPr>
                <w:sz w:val="20"/>
                <w:szCs w:val="20"/>
              </w:rPr>
              <w:t>period</w:t>
            </w:r>
            <w:r w:rsidR="000C5713" w:rsidRPr="00CB1118">
              <w:rPr>
                <w:sz w:val="20"/>
                <w:szCs w:val="20"/>
              </w:rPr>
              <w:t xml:space="preserve"> (inclusive of GST); the number of ongoing consultancy contracts that were </w:t>
            </w:r>
            <w:r>
              <w:rPr>
                <w:sz w:val="20"/>
                <w:szCs w:val="20"/>
              </w:rPr>
              <w:t>entered into during a previous</w:t>
            </w:r>
            <w:r w:rsidR="000C5713" w:rsidRPr="00CB1118">
              <w:rPr>
                <w:sz w:val="20"/>
                <w:szCs w:val="20"/>
              </w:rPr>
              <w:t xml:space="preserve"> reporting </w:t>
            </w:r>
            <w:r>
              <w:rPr>
                <w:sz w:val="20"/>
                <w:szCs w:val="20"/>
              </w:rPr>
              <w:t>period</w:t>
            </w:r>
            <w:r w:rsidR="000C5713" w:rsidRPr="00CB1118">
              <w:rPr>
                <w:sz w:val="20"/>
                <w:szCs w:val="20"/>
              </w:rPr>
              <w:t>; and the total actual expenditure in the reporting year on the ongoing consultancy contracts (inclusive of GST).</w:t>
            </w:r>
          </w:p>
        </w:tc>
        <w:tc>
          <w:tcPr>
            <w:tcW w:w="1275" w:type="dxa"/>
          </w:tcPr>
          <w:p w:rsidR="000C5713" w:rsidRPr="00CB1118" w:rsidRDefault="000C5713" w:rsidP="007A2DEE">
            <w:pPr>
              <w:pStyle w:val="mhb1"/>
              <w:tabs>
                <w:tab w:val="clear" w:pos="567"/>
              </w:tabs>
              <w:spacing w:before="0"/>
              <w:rPr>
                <w:b w:val="0"/>
                <w:i/>
                <w:sz w:val="20"/>
              </w:rPr>
            </w:pPr>
            <w:r w:rsidRPr="00CB1118">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Chapter 5</w:t>
            </w:r>
          </w:p>
        </w:tc>
      </w:tr>
      <w:tr w:rsidR="00F402F1" w:rsidTr="002D48EF">
        <w:trPr>
          <w:cantSplit/>
          <w:trHeight w:val="50"/>
        </w:trPr>
        <w:tc>
          <w:tcPr>
            <w:tcW w:w="908" w:type="dxa"/>
          </w:tcPr>
          <w:p w:rsidR="00F402F1" w:rsidRDefault="00F402F1" w:rsidP="00DC2406">
            <w:pPr>
              <w:pStyle w:val="mhb1"/>
              <w:tabs>
                <w:tab w:val="clear" w:pos="567"/>
              </w:tabs>
              <w:spacing w:before="0"/>
              <w:jc w:val="center"/>
              <w:rPr>
                <w:b w:val="0"/>
                <w:sz w:val="16"/>
              </w:rPr>
            </w:pPr>
            <w:r>
              <w:rPr>
                <w:b w:val="0"/>
                <w:sz w:val="16"/>
              </w:rPr>
              <w:t>17AG(7)(b)</w:t>
            </w:r>
          </w:p>
        </w:tc>
        <w:tc>
          <w:tcPr>
            <w:tcW w:w="760" w:type="dxa"/>
          </w:tcPr>
          <w:p w:rsidR="00F402F1" w:rsidRPr="00B619F8" w:rsidRDefault="00F402F1" w:rsidP="007A2DEE">
            <w:pPr>
              <w:pStyle w:val="mhb1"/>
              <w:tabs>
                <w:tab w:val="clear" w:pos="567"/>
              </w:tabs>
              <w:spacing w:before="0"/>
              <w:rPr>
                <w:b w:val="0"/>
                <w:sz w:val="20"/>
              </w:rPr>
            </w:pPr>
          </w:p>
        </w:tc>
        <w:tc>
          <w:tcPr>
            <w:tcW w:w="3351" w:type="dxa"/>
          </w:tcPr>
          <w:p w:rsidR="00F402F1" w:rsidRPr="00F402F1" w:rsidRDefault="00F402F1" w:rsidP="00814442">
            <w:pPr>
              <w:rPr>
                <w:sz w:val="20"/>
                <w:szCs w:val="20"/>
              </w:rPr>
            </w:pPr>
            <w:r>
              <w:rPr>
                <w:sz w:val="20"/>
                <w:szCs w:val="20"/>
              </w:rPr>
              <w:t xml:space="preserve">A statement that </w:t>
            </w:r>
            <w:r>
              <w:rPr>
                <w:i/>
                <w:sz w:val="20"/>
                <w:szCs w:val="20"/>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p>
        </w:tc>
        <w:tc>
          <w:tcPr>
            <w:tcW w:w="1275" w:type="dxa"/>
          </w:tcPr>
          <w:p w:rsidR="00F402F1" w:rsidRPr="00CB1118" w:rsidRDefault="00F402F1" w:rsidP="008B7F83">
            <w:pPr>
              <w:pStyle w:val="mhb1"/>
              <w:tabs>
                <w:tab w:val="clear" w:pos="567"/>
              </w:tabs>
              <w:spacing w:before="0"/>
              <w:rPr>
                <w:b w:val="0"/>
                <w:i/>
                <w:sz w:val="20"/>
              </w:rPr>
            </w:pPr>
            <w:r w:rsidRPr="00CB1118">
              <w:rPr>
                <w:b w:val="0"/>
                <w:sz w:val="20"/>
              </w:rPr>
              <w:t>Mandatory</w:t>
            </w:r>
          </w:p>
        </w:tc>
        <w:tc>
          <w:tcPr>
            <w:tcW w:w="1134" w:type="dxa"/>
          </w:tcPr>
          <w:p w:rsidR="00F402F1" w:rsidRPr="00EE0730" w:rsidRDefault="00F402F1" w:rsidP="008B7F83">
            <w:pPr>
              <w:pStyle w:val="mhb1"/>
              <w:tabs>
                <w:tab w:val="clear" w:pos="567"/>
              </w:tabs>
              <w:spacing w:before="0"/>
              <w:rPr>
                <w:b w:val="0"/>
                <w:sz w:val="16"/>
                <w:szCs w:val="16"/>
              </w:rPr>
            </w:pPr>
            <w:r>
              <w:rPr>
                <w:b w:val="0"/>
                <w:sz w:val="16"/>
                <w:szCs w:val="16"/>
              </w:rPr>
              <w:t>Chapter 5</w:t>
            </w:r>
          </w:p>
        </w:tc>
      </w:tr>
      <w:tr w:rsidR="00F402F1" w:rsidTr="002D48EF">
        <w:trPr>
          <w:cantSplit/>
          <w:trHeight w:val="50"/>
        </w:trPr>
        <w:tc>
          <w:tcPr>
            <w:tcW w:w="908" w:type="dxa"/>
          </w:tcPr>
          <w:p w:rsidR="00F402F1" w:rsidRDefault="00F402F1" w:rsidP="008B7F83">
            <w:pPr>
              <w:pStyle w:val="mhb1"/>
              <w:tabs>
                <w:tab w:val="clear" w:pos="567"/>
              </w:tabs>
              <w:spacing w:before="0"/>
              <w:jc w:val="center"/>
              <w:rPr>
                <w:b w:val="0"/>
                <w:sz w:val="16"/>
              </w:rPr>
            </w:pPr>
            <w:r>
              <w:rPr>
                <w:b w:val="0"/>
                <w:sz w:val="16"/>
              </w:rPr>
              <w:t>17AG(7)(c)</w:t>
            </w:r>
          </w:p>
        </w:tc>
        <w:tc>
          <w:tcPr>
            <w:tcW w:w="760" w:type="dxa"/>
          </w:tcPr>
          <w:p w:rsidR="00F402F1" w:rsidRPr="00B619F8" w:rsidRDefault="00F402F1" w:rsidP="007A2DEE">
            <w:pPr>
              <w:pStyle w:val="mhb1"/>
              <w:tabs>
                <w:tab w:val="clear" w:pos="567"/>
              </w:tabs>
              <w:spacing w:before="0"/>
              <w:rPr>
                <w:b w:val="0"/>
                <w:sz w:val="20"/>
              </w:rPr>
            </w:pPr>
          </w:p>
        </w:tc>
        <w:tc>
          <w:tcPr>
            <w:tcW w:w="3351" w:type="dxa"/>
          </w:tcPr>
          <w:p w:rsidR="00F402F1" w:rsidRDefault="00F402F1" w:rsidP="00814442">
            <w:pPr>
              <w:rPr>
                <w:sz w:val="20"/>
                <w:szCs w:val="20"/>
              </w:rPr>
            </w:pPr>
            <w:r>
              <w:rPr>
                <w:sz w:val="20"/>
                <w:szCs w:val="20"/>
              </w:rPr>
              <w:t>A summary of the policies and procedures for selecting and engaging consultants and the main categories of purposes for which consultants were selected and engaged.</w:t>
            </w:r>
          </w:p>
        </w:tc>
        <w:tc>
          <w:tcPr>
            <w:tcW w:w="1275" w:type="dxa"/>
          </w:tcPr>
          <w:p w:rsidR="00F402F1" w:rsidRPr="00CB1118" w:rsidRDefault="00F402F1" w:rsidP="008B7F83">
            <w:pPr>
              <w:pStyle w:val="mhb1"/>
              <w:tabs>
                <w:tab w:val="clear" w:pos="567"/>
              </w:tabs>
              <w:spacing w:before="0"/>
              <w:rPr>
                <w:b w:val="0"/>
                <w:i/>
                <w:sz w:val="20"/>
              </w:rPr>
            </w:pPr>
            <w:r w:rsidRPr="00CB1118">
              <w:rPr>
                <w:b w:val="0"/>
                <w:sz w:val="20"/>
              </w:rPr>
              <w:t>Mandatory</w:t>
            </w:r>
          </w:p>
        </w:tc>
        <w:tc>
          <w:tcPr>
            <w:tcW w:w="1134" w:type="dxa"/>
          </w:tcPr>
          <w:p w:rsidR="00F402F1" w:rsidRPr="00EE0730" w:rsidRDefault="00F402F1" w:rsidP="008B7F83">
            <w:pPr>
              <w:pStyle w:val="mhb1"/>
              <w:tabs>
                <w:tab w:val="clear" w:pos="567"/>
              </w:tabs>
              <w:spacing w:before="0"/>
              <w:rPr>
                <w:b w:val="0"/>
                <w:sz w:val="16"/>
                <w:szCs w:val="16"/>
              </w:rPr>
            </w:pPr>
            <w:r>
              <w:rPr>
                <w:b w:val="0"/>
                <w:sz w:val="16"/>
                <w:szCs w:val="16"/>
              </w:rPr>
              <w:t>Chapter 5</w:t>
            </w:r>
          </w:p>
        </w:tc>
      </w:tr>
      <w:tr w:rsidR="00F402F1" w:rsidTr="002D48EF">
        <w:trPr>
          <w:cantSplit/>
          <w:trHeight w:val="50"/>
        </w:trPr>
        <w:tc>
          <w:tcPr>
            <w:tcW w:w="908" w:type="dxa"/>
          </w:tcPr>
          <w:p w:rsidR="00F402F1" w:rsidRDefault="00F402F1" w:rsidP="008B7F83">
            <w:pPr>
              <w:pStyle w:val="mhb1"/>
              <w:tabs>
                <w:tab w:val="clear" w:pos="567"/>
              </w:tabs>
              <w:spacing w:before="0"/>
              <w:jc w:val="center"/>
              <w:rPr>
                <w:b w:val="0"/>
                <w:sz w:val="16"/>
              </w:rPr>
            </w:pPr>
            <w:r>
              <w:rPr>
                <w:b w:val="0"/>
                <w:sz w:val="16"/>
              </w:rPr>
              <w:t>17AG(7)(d)</w:t>
            </w:r>
          </w:p>
        </w:tc>
        <w:tc>
          <w:tcPr>
            <w:tcW w:w="760" w:type="dxa"/>
          </w:tcPr>
          <w:p w:rsidR="00F402F1" w:rsidRPr="00B619F8" w:rsidRDefault="00F402F1" w:rsidP="007A2DEE">
            <w:pPr>
              <w:pStyle w:val="mhb1"/>
              <w:tabs>
                <w:tab w:val="clear" w:pos="567"/>
              </w:tabs>
              <w:spacing w:before="0"/>
              <w:rPr>
                <w:b w:val="0"/>
                <w:sz w:val="20"/>
              </w:rPr>
            </w:pPr>
          </w:p>
        </w:tc>
        <w:tc>
          <w:tcPr>
            <w:tcW w:w="3351" w:type="dxa"/>
          </w:tcPr>
          <w:p w:rsidR="00F402F1" w:rsidRPr="00F402F1" w:rsidRDefault="00F402F1" w:rsidP="00814442">
            <w:pPr>
              <w:rPr>
                <w:i/>
                <w:sz w:val="20"/>
                <w:szCs w:val="20"/>
              </w:rPr>
            </w:pPr>
            <w:r>
              <w:rPr>
                <w:sz w:val="20"/>
                <w:szCs w:val="20"/>
              </w:rPr>
              <w:t xml:space="preserve">A statement that </w:t>
            </w:r>
            <w:r>
              <w:rPr>
                <w:i/>
                <w:sz w:val="20"/>
                <w:szCs w:val="20"/>
              </w:rPr>
              <w:t>“Annual reports contain information about actual expenditure on contracts for consultancies. Information on the value of contracts and consultancies is available on the AusTender website.”</w:t>
            </w:r>
          </w:p>
        </w:tc>
        <w:tc>
          <w:tcPr>
            <w:tcW w:w="1275" w:type="dxa"/>
          </w:tcPr>
          <w:p w:rsidR="00F402F1" w:rsidRPr="00CB1118" w:rsidRDefault="00F402F1" w:rsidP="008B7F83">
            <w:pPr>
              <w:pStyle w:val="mhb1"/>
              <w:tabs>
                <w:tab w:val="clear" w:pos="567"/>
              </w:tabs>
              <w:spacing w:before="0"/>
              <w:rPr>
                <w:b w:val="0"/>
                <w:i/>
                <w:sz w:val="20"/>
              </w:rPr>
            </w:pPr>
            <w:r w:rsidRPr="00CB1118">
              <w:rPr>
                <w:b w:val="0"/>
                <w:sz w:val="20"/>
              </w:rPr>
              <w:t>Mandatory</w:t>
            </w:r>
          </w:p>
        </w:tc>
        <w:tc>
          <w:tcPr>
            <w:tcW w:w="1134" w:type="dxa"/>
          </w:tcPr>
          <w:p w:rsidR="00F402F1" w:rsidRDefault="00F402F1" w:rsidP="008B7F83">
            <w:pPr>
              <w:pStyle w:val="mhb1"/>
              <w:tabs>
                <w:tab w:val="clear" w:pos="567"/>
              </w:tabs>
              <w:spacing w:before="0"/>
              <w:rPr>
                <w:b w:val="0"/>
                <w:sz w:val="16"/>
                <w:szCs w:val="16"/>
              </w:rPr>
            </w:pPr>
            <w:r>
              <w:rPr>
                <w:b w:val="0"/>
                <w:sz w:val="16"/>
                <w:szCs w:val="16"/>
              </w:rPr>
              <w:t>Chapter 5</w:t>
            </w:r>
          </w:p>
        </w:tc>
      </w:tr>
      <w:tr w:rsidR="00F402F1" w:rsidTr="002D48EF">
        <w:trPr>
          <w:cantSplit/>
          <w:trHeight w:val="50"/>
        </w:trPr>
        <w:tc>
          <w:tcPr>
            <w:tcW w:w="908" w:type="dxa"/>
          </w:tcPr>
          <w:p w:rsidR="00F402F1" w:rsidRDefault="00F402F1" w:rsidP="007A2DEE">
            <w:pPr>
              <w:pStyle w:val="mhb1"/>
              <w:tabs>
                <w:tab w:val="clear" w:pos="567"/>
              </w:tabs>
              <w:spacing w:before="0"/>
              <w:jc w:val="center"/>
              <w:rPr>
                <w:b w:val="0"/>
                <w:sz w:val="16"/>
              </w:rPr>
            </w:pPr>
          </w:p>
        </w:tc>
        <w:tc>
          <w:tcPr>
            <w:tcW w:w="6520" w:type="dxa"/>
            <w:gridSpan w:val="4"/>
          </w:tcPr>
          <w:p w:rsidR="00F402F1" w:rsidRPr="00F402F1" w:rsidRDefault="00F402F1" w:rsidP="007A2DEE">
            <w:pPr>
              <w:pStyle w:val="mhb1"/>
              <w:tabs>
                <w:tab w:val="clear" w:pos="567"/>
              </w:tabs>
              <w:spacing w:before="0"/>
              <w:rPr>
                <w:i/>
                <w:sz w:val="20"/>
              </w:rPr>
            </w:pPr>
            <w:r w:rsidRPr="00F402F1">
              <w:rPr>
                <w:i/>
                <w:sz w:val="20"/>
              </w:rPr>
              <w:t>Australian National Audit Office Access Clauses</w:t>
            </w:r>
          </w:p>
        </w:tc>
      </w:tr>
      <w:tr w:rsidR="00F402F1" w:rsidTr="002D48EF">
        <w:trPr>
          <w:cantSplit/>
          <w:trHeight w:val="50"/>
        </w:trPr>
        <w:tc>
          <w:tcPr>
            <w:tcW w:w="908" w:type="dxa"/>
          </w:tcPr>
          <w:p w:rsidR="00F402F1" w:rsidRDefault="00F402F1" w:rsidP="00F402F1">
            <w:pPr>
              <w:pStyle w:val="mhb1"/>
              <w:tabs>
                <w:tab w:val="clear" w:pos="567"/>
              </w:tabs>
              <w:spacing w:before="0"/>
              <w:jc w:val="center"/>
              <w:rPr>
                <w:b w:val="0"/>
                <w:sz w:val="16"/>
              </w:rPr>
            </w:pPr>
            <w:r>
              <w:rPr>
                <w:b w:val="0"/>
                <w:sz w:val="16"/>
              </w:rPr>
              <w:t>17AG(8)</w:t>
            </w:r>
          </w:p>
        </w:tc>
        <w:tc>
          <w:tcPr>
            <w:tcW w:w="760" w:type="dxa"/>
          </w:tcPr>
          <w:p w:rsidR="00F402F1" w:rsidRDefault="00F402F1" w:rsidP="007A2DEE">
            <w:pPr>
              <w:pStyle w:val="mhb1"/>
              <w:tabs>
                <w:tab w:val="clear" w:pos="567"/>
              </w:tabs>
              <w:spacing w:before="0"/>
              <w:rPr>
                <w:b w:val="0"/>
                <w:i/>
                <w:sz w:val="20"/>
              </w:rPr>
            </w:pPr>
          </w:p>
        </w:tc>
        <w:tc>
          <w:tcPr>
            <w:tcW w:w="3351" w:type="dxa"/>
          </w:tcPr>
          <w:p w:rsidR="00F402F1" w:rsidRPr="00CB1118" w:rsidRDefault="00F402F1" w:rsidP="007A2DEE">
            <w:pPr>
              <w:pStyle w:val="mhb1"/>
              <w:tabs>
                <w:tab w:val="clear" w:pos="567"/>
              </w:tabs>
              <w:spacing w:before="0"/>
              <w:rPr>
                <w:b w:val="0"/>
                <w:sz w:val="20"/>
              </w:rPr>
            </w:pPr>
            <w:r>
              <w:rPr>
                <w:b w:val="0"/>
                <w:sz w:val="20"/>
              </w:rPr>
              <w:t>If an entity entered into a contract with a value of more than $100,000 (inclusive of GST) and the contract did not provide the Auditor-General with access to the contractor’s premises, the report must include the name of the contractor, purpose and value of the contract, and the reason why a clause allowing access was not included in the contract.</w:t>
            </w:r>
          </w:p>
        </w:tc>
        <w:tc>
          <w:tcPr>
            <w:tcW w:w="1275" w:type="dxa"/>
          </w:tcPr>
          <w:p w:rsidR="00F402F1" w:rsidRPr="00CB1118" w:rsidRDefault="00F402F1"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Pr>
          <w:p w:rsidR="00F402F1" w:rsidRPr="00EE0730" w:rsidRDefault="00F402F1" w:rsidP="007A2DEE">
            <w:pPr>
              <w:pStyle w:val="mhb1"/>
              <w:tabs>
                <w:tab w:val="clear" w:pos="567"/>
              </w:tabs>
              <w:spacing w:before="0"/>
              <w:rPr>
                <w:b w:val="0"/>
                <w:sz w:val="16"/>
                <w:szCs w:val="16"/>
              </w:rPr>
            </w:pPr>
            <w:r>
              <w:rPr>
                <w:b w:val="0"/>
                <w:sz w:val="16"/>
                <w:szCs w:val="16"/>
              </w:rPr>
              <w:t>N/A</w:t>
            </w:r>
          </w:p>
        </w:tc>
      </w:tr>
      <w:tr w:rsidR="00F402F1" w:rsidRPr="00A3579C" w:rsidTr="002D4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F402F1" w:rsidRPr="00A3579C" w:rsidRDefault="00F402F1" w:rsidP="007A2DEE">
            <w:pPr>
              <w:pStyle w:val="mhb1"/>
              <w:tabs>
                <w:tab w:val="clear" w:pos="567"/>
              </w:tabs>
              <w:spacing w:before="0"/>
              <w:jc w:val="center"/>
              <w:rPr>
                <w:b w:val="0"/>
                <w:sz w:val="16"/>
              </w:rPr>
            </w:pPr>
          </w:p>
        </w:tc>
        <w:tc>
          <w:tcPr>
            <w:tcW w:w="6520" w:type="dxa"/>
            <w:gridSpan w:val="4"/>
            <w:tcBorders>
              <w:top w:val="single" w:sz="6" w:space="0" w:color="auto"/>
              <w:left w:val="single" w:sz="6" w:space="0" w:color="auto"/>
              <w:bottom w:val="single" w:sz="6" w:space="0" w:color="auto"/>
              <w:right w:val="single" w:sz="6" w:space="0" w:color="auto"/>
            </w:tcBorders>
          </w:tcPr>
          <w:p w:rsidR="00F402F1" w:rsidRPr="003103CF" w:rsidRDefault="00F402F1" w:rsidP="007A2DEE">
            <w:pPr>
              <w:pStyle w:val="mhb1"/>
              <w:tabs>
                <w:tab w:val="clear" w:pos="567"/>
              </w:tabs>
              <w:spacing w:before="0"/>
              <w:rPr>
                <w:i/>
                <w:sz w:val="20"/>
              </w:rPr>
            </w:pPr>
            <w:r w:rsidRPr="003103CF">
              <w:rPr>
                <w:i/>
                <w:sz w:val="20"/>
              </w:rPr>
              <w:t>Exempt contracts</w:t>
            </w:r>
          </w:p>
        </w:tc>
      </w:tr>
      <w:tr w:rsidR="003103CF" w:rsidRPr="00A3579C" w:rsidTr="00290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3103CF" w:rsidRDefault="003103CF" w:rsidP="008B7F83">
            <w:pPr>
              <w:pStyle w:val="mhb1"/>
              <w:tabs>
                <w:tab w:val="clear" w:pos="567"/>
              </w:tabs>
              <w:spacing w:before="0"/>
              <w:jc w:val="center"/>
              <w:rPr>
                <w:b w:val="0"/>
                <w:sz w:val="16"/>
              </w:rPr>
            </w:pPr>
            <w:r>
              <w:rPr>
                <w:b w:val="0"/>
                <w:sz w:val="16"/>
              </w:rPr>
              <w:t>17AG(9)</w:t>
            </w:r>
          </w:p>
        </w:tc>
        <w:tc>
          <w:tcPr>
            <w:tcW w:w="760" w:type="dxa"/>
            <w:tcBorders>
              <w:top w:val="single" w:sz="6" w:space="0" w:color="auto"/>
              <w:left w:val="single" w:sz="6" w:space="0" w:color="auto"/>
              <w:bottom w:val="single" w:sz="6" w:space="0" w:color="auto"/>
              <w:right w:val="single" w:sz="6" w:space="0" w:color="auto"/>
            </w:tcBorders>
          </w:tcPr>
          <w:p w:rsidR="003103CF" w:rsidRPr="00B619F8" w:rsidRDefault="003103CF" w:rsidP="002274D1">
            <w:pPr>
              <w:pStyle w:val="mhb1"/>
              <w:tabs>
                <w:tab w:val="clear" w:pos="567"/>
              </w:tabs>
              <w:spacing w:before="0"/>
              <w:rPr>
                <w:b w:val="0"/>
                <w:sz w:val="20"/>
              </w:rPr>
            </w:pPr>
          </w:p>
        </w:tc>
        <w:tc>
          <w:tcPr>
            <w:tcW w:w="3351" w:type="dxa"/>
            <w:tcBorders>
              <w:top w:val="single" w:sz="6" w:space="0" w:color="auto"/>
              <w:left w:val="single" w:sz="6" w:space="0" w:color="auto"/>
              <w:bottom w:val="single" w:sz="6" w:space="0" w:color="auto"/>
              <w:right w:val="single" w:sz="6" w:space="0" w:color="auto"/>
            </w:tcBorders>
          </w:tcPr>
          <w:p w:rsidR="003103CF" w:rsidRPr="00CB1118" w:rsidRDefault="003103CF" w:rsidP="003103CF">
            <w:pPr>
              <w:pStyle w:val="mhb1"/>
              <w:tabs>
                <w:tab w:val="clear" w:pos="567"/>
              </w:tabs>
              <w:spacing w:before="0"/>
              <w:rPr>
                <w:b w:val="0"/>
                <w:sz w:val="20"/>
              </w:rPr>
            </w:pPr>
            <w:r>
              <w:rPr>
                <w:b w:val="0"/>
                <w:sz w:val="20"/>
              </w:rPr>
              <w:t>If an entity entered into a contract or there is a standing offer with a value greater than $10,000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275" w:type="dxa"/>
            <w:tcBorders>
              <w:top w:val="single" w:sz="6" w:space="0" w:color="auto"/>
              <w:left w:val="single" w:sz="6" w:space="0" w:color="auto"/>
              <w:bottom w:val="single" w:sz="6" w:space="0" w:color="auto"/>
              <w:right w:val="single" w:sz="6" w:space="0" w:color="auto"/>
            </w:tcBorders>
          </w:tcPr>
          <w:p w:rsidR="003103CF" w:rsidRPr="00CB1118" w:rsidRDefault="003103CF"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Borders>
              <w:top w:val="single" w:sz="6" w:space="0" w:color="auto"/>
              <w:left w:val="single" w:sz="6" w:space="0" w:color="auto"/>
              <w:bottom w:val="single" w:sz="6" w:space="0" w:color="auto"/>
              <w:right w:val="single" w:sz="6" w:space="0" w:color="auto"/>
            </w:tcBorders>
          </w:tcPr>
          <w:p w:rsidR="003103CF" w:rsidRPr="00EE0730" w:rsidRDefault="003103CF" w:rsidP="008B746B">
            <w:pPr>
              <w:pStyle w:val="mhb1"/>
              <w:tabs>
                <w:tab w:val="clear" w:pos="567"/>
              </w:tabs>
              <w:spacing w:before="0"/>
              <w:rPr>
                <w:b w:val="0"/>
                <w:sz w:val="16"/>
                <w:szCs w:val="16"/>
              </w:rPr>
            </w:pPr>
            <w:r>
              <w:rPr>
                <w:b w:val="0"/>
                <w:sz w:val="16"/>
                <w:szCs w:val="16"/>
              </w:rPr>
              <w:t>N/A</w:t>
            </w:r>
          </w:p>
        </w:tc>
      </w:tr>
      <w:tr w:rsidR="00290F08" w:rsidRPr="00A3579C" w:rsidTr="00290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tcBorders>
          </w:tcPr>
          <w:p w:rsidR="00290F08" w:rsidRDefault="00290F08" w:rsidP="002274D1">
            <w:pPr>
              <w:pStyle w:val="mhb1"/>
              <w:tabs>
                <w:tab w:val="clear" w:pos="567"/>
              </w:tabs>
              <w:spacing w:before="0"/>
              <w:jc w:val="center"/>
              <w:rPr>
                <w:b w:val="0"/>
                <w:sz w:val="16"/>
              </w:rPr>
            </w:pPr>
          </w:p>
        </w:tc>
        <w:tc>
          <w:tcPr>
            <w:tcW w:w="6520" w:type="dxa"/>
            <w:gridSpan w:val="4"/>
            <w:tcBorders>
              <w:top w:val="single" w:sz="6" w:space="0" w:color="auto"/>
            </w:tcBorders>
          </w:tcPr>
          <w:p w:rsidR="00290F08" w:rsidRPr="003103CF" w:rsidRDefault="00290F08" w:rsidP="00290F08">
            <w:pPr>
              <w:pStyle w:val="mhb1"/>
              <w:keepNext/>
              <w:tabs>
                <w:tab w:val="clear" w:pos="567"/>
              </w:tabs>
              <w:spacing w:before="0"/>
              <w:rPr>
                <w:i/>
                <w:sz w:val="20"/>
              </w:rPr>
            </w:pPr>
          </w:p>
        </w:tc>
      </w:tr>
      <w:tr w:rsidR="00F402F1" w:rsidRPr="00A3579C" w:rsidTr="00290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left w:val="single" w:sz="6" w:space="0" w:color="auto"/>
              <w:bottom w:val="single" w:sz="6" w:space="0" w:color="auto"/>
              <w:right w:val="single" w:sz="6" w:space="0" w:color="auto"/>
            </w:tcBorders>
          </w:tcPr>
          <w:p w:rsidR="00F402F1" w:rsidRDefault="00F402F1" w:rsidP="002274D1">
            <w:pPr>
              <w:pStyle w:val="mhb1"/>
              <w:tabs>
                <w:tab w:val="clear" w:pos="567"/>
              </w:tabs>
              <w:spacing w:before="0"/>
              <w:jc w:val="center"/>
              <w:rPr>
                <w:b w:val="0"/>
                <w:sz w:val="16"/>
              </w:rPr>
            </w:pPr>
          </w:p>
        </w:tc>
        <w:tc>
          <w:tcPr>
            <w:tcW w:w="6520" w:type="dxa"/>
            <w:gridSpan w:val="4"/>
            <w:tcBorders>
              <w:left w:val="single" w:sz="6" w:space="0" w:color="auto"/>
              <w:bottom w:val="single" w:sz="6" w:space="0" w:color="auto"/>
              <w:right w:val="single" w:sz="6" w:space="0" w:color="auto"/>
            </w:tcBorders>
          </w:tcPr>
          <w:p w:rsidR="00F402F1" w:rsidRPr="003103CF" w:rsidRDefault="00F402F1" w:rsidP="00290F08">
            <w:pPr>
              <w:pStyle w:val="mhb1"/>
              <w:keepNext/>
              <w:tabs>
                <w:tab w:val="clear" w:pos="567"/>
              </w:tabs>
              <w:spacing w:before="0"/>
              <w:rPr>
                <w:i/>
                <w:sz w:val="20"/>
              </w:rPr>
            </w:pPr>
            <w:r w:rsidRPr="003103CF">
              <w:rPr>
                <w:i/>
                <w:sz w:val="20"/>
              </w:rPr>
              <w:t>Small Business</w:t>
            </w:r>
          </w:p>
        </w:tc>
      </w:tr>
      <w:tr w:rsidR="00F402F1" w:rsidRPr="00A3579C" w:rsidTr="002D4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F402F1" w:rsidRDefault="003103CF" w:rsidP="002274D1">
            <w:pPr>
              <w:pStyle w:val="mhb1"/>
              <w:tabs>
                <w:tab w:val="clear" w:pos="567"/>
              </w:tabs>
              <w:spacing w:before="0"/>
              <w:jc w:val="center"/>
              <w:rPr>
                <w:b w:val="0"/>
                <w:sz w:val="16"/>
              </w:rPr>
            </w:pPr>
            <w:r>
              <w:rPr>
                <w:b w:val="0"/>
                <w:sz w:val="16"/>
              </w:rPr>
              <w:t>17AG(10)</w:t>
            </w:r>
          </w:p>
          <w:p w:rsidR="003103CF" w:rsidRPr="00A3579C" w:rsidRDefault="003103CF" w:rsidP="002274D1">
            <w:pPr>
              <w:pStyle w:val="mhb1"/>
              <w:tabs>
                <w:tab w:val="clear" w:pos="567"/>
              </w:tabs>
              <w:spacing w:before="0"/>
              <w:jc w:val="center"/>
              <w:rPr>
                <w:b w:val="0"/>
                <w:sz w:val="16"/>
              </w:rPr>
            </w:pPr>
            <w:r>
              <w:rPr>
                <w:b w:val="0"/>
                <w:sz w:val="16"/>
              </w:rPr>
              <w:t>(a)</w:t>
            </w:r>
          </w:p>
        </w:tc>
        <w:tc>
          <w:tcPr>
            <w:tcW w:w="760" w:type="dxa"/>
            <w:tcBorders>
              <w:top w:val="single" w:sz="6" w:space="0" w:color="auto"/>
              <w:left w:val="single" w:sz="6" w:space="0" w:color="auto"/>
              <w:bottom w:val="single" w:sz="6" w:space="0" w:color="auto"/>
              <w:right w:val="single" w:sz="6" w:space="0" w:color="auto"/>
            </w:tcBorders>
          </w:tcPr>
          <w:p w:rsidR="00F402F1" w:rsidRPr="00B619F8" w:rsidRDefault="00F402F1" w:rsidP="002274D1">
            <w:pPr>
              <w:pStyle w:val="mhb1"/>
              <w:tabs>
                <w:tab w:val="clear" w:pos="567"/>
              </w:tabs>
              <w:spacing w:before="0"/>
              <w:rPr>
                <w:b w:val="0"/>
                <w:sz w:val="20"/>
              </w:rPr>
            </w:pPr>
          </w:p>
        </w:tc>
        <w:tc>
          <w:tcPr>
            <w:tcW w:w="3351" w:type="dxa"/>
            <w:tcBorders>
              <w:top w:val="single" w:sz="6" w:space="0" w:color="auto"/>
              <w:left w:val="single" w:sz="6" w:space="0" w:color="auto"/>
              <w:bottom w:val="single" w:sz="6" w:space="0" w:color="auto"/>
              <w:right w:val="single" w:sz="6" w:space="0" w:color="auto"/>
            </w:tcBorders>
          </w:tcPr>
          <w:p w:rsidR="00F402F1" w:rsidRPr="003103CF" w:rsidRDefault="003103CF" w:rsidP="002274D1">
            <w:pPr>
              <w:pStyle w:val="mhb1"/>
              <w:tabs>
                <w:tab w:val="clear" w:pos="567"/>
              </w:tabs>
              <w:spacing w:before="0"/>
              <w:rPr>
                <w:b w:val="0"/>
                <w:i/>
                <w:sz w:val="20"/>
              </w:rPr>
            </w:pPr>
            <w:r>
              <w:rPr>
                <w:b w:val="0"/>
                <w:sz w:val="20"/>
              </w:rPr>
              <w:t xml:space="preserve">A statement that </w:t>
            </w:r>
            <w:r>
              <w:rPr>
                <w:b w:val="0"/>
                <w:i/>
                <w:sz w:val="20"/>
              </w:rPr>
              <w:t>“[Name of entity] supports small business participation in the Commonwealth Government procurement market. Small and Medium Enterprises (SME) and Small Enterprise participation statistics are available on the Department of Finance’s website.”</w:t>
            </w:r>
          </w:p>
        </w:tc>
        <w:tc>
          <w:tcPr>
            <w:tcW w:w="1275" w:type="dxa"/>
            <w:tcBorders>
              <w:top w:val="single" w:sz="6" w:space="0" w:color="auto"/>
              <w:left w:val="single" w:sz="6" w:space="0" w:color="auto"/>
              <w:bottom w:val="single" w:sz="6" w:space="0" w:color="auto"/>
              <w:right w:val="single" w:sz="6" w:space="0" w:color="auto"/>
            </w:tcBorders>
          </w:tcPr>
          <w:p w:rsidR="00F402F1" w:rsidRPr="00CB1118" w:rsidRDefault="00F402F1" w:rsidP="002274D1">
            <w:pPr>
              <w:pStyle w:val="mhb1"/>
              <w:tabs>
                <w:tab w:val="clear" w:pos="567"/>
              </w:tabs>
              <w:spacing w:before="0"/>
              <w:rPr>
                <w:b w:val="0"/>
                <w:sz w:val="20"/>
              </w:rPr>
            </w:pPr>
            <w:r>
              <w:rPr>
                <w:b w:val="0"/>
                <w:sz w:val="20"/>
              </w:rPr>
              <w:t>Mandatory</w:t>
            </w:r>
          </w:p>
        </w:tc>
        <w:tc>
          <w:tcPr>
            <w:tcW w:w="1134" w:type="dxa"/>
            <w:tcBorders>
              <w:top w:val="single" w:sz="6" w:space="0" w:color="auto"/>
              <w:left w:val="single" w:sz="6" w:space="0" w:color="auto"/>
              <w:bottom w:val="single" w:sz="6" w:space="0" w:color="auto"/>
              <w:right w:val="single" w:sz="6" w:space="0" w:color="auto"/>
            </w:tcBorders>
          </w:tcPr>
          <w:p w:rsidR="00F402F1" w:rsidRPr="00EE0730" w:rsidRDefault="00F402F1" w:rsidP="002274D1">
            <w:pPr>
              <w:pStyle w:val="mhb1"/>
              <w:tabs>
                <w:tab w:val="clear" w:pos="567"/>
              </w:tabs>
              <w:spacing w:before="0"/>
              <w:rPr>
                <w:b w:val="0"/>
                <w:sz w:val="16"/>
                <w:szCs w:val="16"/>
              </w:rPr>
            </w:pPr>
            <w:r>
              <w:rPr>
                <w:b w:val="0"/>
                <w:sz w:val="16"/>
                <w:szCs w:val="16"/>
              </w:rPr>
              <w:t>Chapter 5</w:t>
            </w:r>
          </w:p>
        </w:tc>
      </w:tr>
      <w:tr w:rsidR="003103CF" w:rsidRPr="00A3579C" w:rsidTr="002D4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3103CF" w:rsidRDefault="003103CF" w:rsidP="008B7F83">
            <w:pPr>
              <w:pStyle w:val="mhb1"/>
              <w:tabs>
                <w:tab w:val="clear" w:pos="567"/>
              </w:tabs>
              <w:spacing w:before="0"/>
              <w:jc w:val="center"/>
              <w:rPr>
                <w:b w:val="0"/>
                <w:sz w:val="16"/>
              </w:rPr>
            </w:pPr>
            <w:r>
              <w:rPr>
                <w:b w:val="0"/>
                <w:sz w:val="16"/>
              </w:rPr>
              <w:t>17AG(10)</w:t>
            </w:r>
          </w:p>
          <w:p w:rsidR="003103CF" w:rsidRPr="00A3579C" w:rsidRDefault="003103CF" w:rsidP="003103CF">
            <w:pPr>
              <w:pStyle w:val="mhb1"/>
              <w:tabs>
                <w:tab w:val="clear" w:pos="567"/>
              </w:tabs>
              <w:spacing w:before="0"/>
              <w:jc w:val="center"/>
              <w:rPr>
                <w:b w:val="0"/>
                <w:sz w:val="16"/>
              </w:rPr>
            </w:pPr>
            <w:r>
              <w:rPr>
                <w:b w:val="0"/>
                <w:sz w:val="16"/>
              </w:rPr>
              <w:t>(b)</w:t>
            </w:r>
          </w:p>
        </w:tc>
        <w:tc>
          <w:tcPr>
            <w:tcW w:w="760" w:type="dxa"/>
            <w:tcBorders>
              <w:top w:val="single" w:sz="6" w:space="0" w:color="auto"/>
              <w:left w:val="single" w:sz="6" w:space="0" w:color="auto"/>
              <w:bottom w:val="single" w:sz="6" w:space="0" w:color="auto"/>
              <w:right w:val="single" w:sz="6" w:space="0" w:color="auto"/>
            </w:tcBorders>
          </w:tcPr>
          <w:p w:rsidR="003103CF" w:rsidRPr="00B619F8" w:rsidRDefault="003103CF" w:rsidP="002274D1">
            <w:pPr>
              <w:pStyle w:val="mhb1"/>
              <w:tabs>
                <w:tab w:val="clear" w:pos="567"/>
              </w:tabs>
              <w:spacing w:before="0"/>
              <w:rPr>
                <w:b w:val="0"/>
                <w:sz w:val="20"/>
              </w:rPr>
            </w:pPr>
          </w:p>
        </w:tc>
        <w:tc>
          <w:tcPr>
            <w:tcW w:w="3351" w:type="dxa"/>
            <w:tcBorders>
              <w:top w:val="single" w:sz="6" w:space="0" w:color="auto"/>
              <w:left w:val="single" w:sz="6" w:space="0" w:color="auto"/>
              <w:bottom w:val="single" w:sz="6" w:space="0" w:color="auto"/>
              <w:right w:val="single" w:sz="6" w:space="0" w:color="auto"/>
            </w:tcBorders>
          </w:tcPr>
          <w:p w:rsidR="003103CF" w:rsidRDefault="003103CF" w:rsidP="002274D1">
            <w:pPr>
              <w:pStyle w:val="mhb1"/>
              <w:tabs>
                <w:tab w:val="clear" w:pos="567"/>
              </w:tabs>
              <w:spacing w:before="0"/>
              <w:rPr>
                <w:b w:val="0"/>
                <w:sz w:val="20"/>
              </w:rPr>
            </w:pPr>
            <w:r>
              <w:rPr>
                <w:b w:val="0"/>
                <w:sz w:val="20"/>
              </w:rPr>
              <w:t>An outline of the ways in which the procurement practices of the entity support small and medium enterprises.</w:t>
            </w:r>
          </w:p>
        </w:tc>
        <w:tc>
          <w:tcPr>
            <w:tcW w:w="1275" w:type="dxa"/>
            <w:tcBorders>
              <w:top w:val="single" w:sz="6" w:space="0" w:color="auto"/>
              <w:left w:val="single" w:sz="6" w:space="0" w:color="auto"/>
              <w:bottom w:val="single" w:sz="6" w:space="0" w:color="auto"/>
              <w:right w:val="single" w:sz="6" w:space="0" w:color="auto"/>
            </w:tcBorders>
          </w:tcPr>
          <w:p w:rsidR="003103CF" w:rsidRPr="00CB1118" w:rsidRDefault="003103CF" w:rsidP="008B7F83">
            <w:pPr>
              <w:pStyle w:val="mhb1"/>
              <w:tabs>
                <w:tab w:val="clear" w:pos="567"/>
              </w:tabs>
              <w:spacing w:before="0"/>
              <w:rPr>
                <w:b w:val="0"/>
                <w:sz w:val="20"/>
              </w:rPr>
            </w:pPr>
            <w:r>
              <w:rPr>
                <w:b w:val="0"/>
                <w:sz w:val="20"/>
              </w:rPr>
              <w:t>Mandatory</w:t>
            </w:r>
          </w:p>
        </w:tc>
        <w:tc>
          <w:tcPr>
            <w:tcW w:w="1134" w:type="dxa"/>
            <w:tcBorders>
              <w:top w:val="single" w:sz="6" w:space="0" w:color="auto"/>
              <w:left w:val="single" w:sz="6" w:space="0" w:color="auto"/>
              <w:bottom w:val="single" w:sz="6" w:space="0" w:color="auto"/>
              <w:right w:val="single" w:sz="6" w:space="0" w:color="auto"/>
            </w:tcBorders>
          </w:tcPr>
          <w:p w:rsidR="003103CF" w:rsidRPr="00EE0730" w:rsidRDefault="003103CF" w:rsidP="008B7F83">
            <w:pPr>
              <w:pStyle w:val="mhb1"/>
              <w:tabs>
                <w:tab w:val="clear" w:pos="567"/>
              </w:tabs>
              <w:spacing w:before="0"/>
              <w:rPr>
                <w:b w:val="0"/>
                <w:sz w:val="16"/>
                <w:szCs w:val="16"/>
              </w:rPr>
            </w:pPr>
            <w:r>
              <w:rPr>
                <w:b w:val="0"/>
                <w:sz w:val="16"/>
                <w:szCs w:val="16"/>
              </w:rPr>
              <w:t>Chapter 5</w:t>
            </w:r>
          </w:p>
        </w:tc>
      </w:tr>
      <w:tr w:rsidR="00F43761" w:rsidRPr="00A3579C" w:rsidTr="002D4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F43761" w:rsidRDefault="00F43761" w:rsidP="008B7F83">
            <w:pPr>
              <w:pStyle w:val="mhb1"/>
              <w:tabs>
                <w:tab w:val="clear" w:pos="567"/>
              </w:tabs>
              <w:spacing w:before="0"/>
              <w:jc w:val="center"/>
              <w:rPr>
                <w:b w:val="0"/>
                <w:sz w:val="16"/>
              </w:rPr>
            </w:pPr>
            <w:r>
              <w:rPr>
                <w:b w:val="0"/>
                <w:sz w:val="16"/>
              </w:rPr>
              <w:t>17AG(10)</w:t>
            </w:r>
          </w:p>
          <w:p w:rsidR="00F43761" w:rsidRPr="00A3579C" w:rsidRDefault="00F43761" w:rsidP="008B7F83">
            <w:pPr>
              <w:pStyle w:val="mhb1"/>
              <w:tabs>
                <w:tab w:val="clear" w:pos="567"/>
              </w:tabs>
              <w:spacing w:before="0"/>
              <w:jc w:val="center"/>
              <w:rPr>
                <w:b w:val="0"/>
                <w:sz w:val="16"/>
              </w:rPr>
            </w:pPr>
            <w:r>
              <w:rPr>
                <w:b w:val="0"/>
                <w:sz w:val="16"/>
              </w:rPr>
              <w:t>(c)</w:t>
            </w:r>
          </w:p>
        </w:tc>
        <w:tc>
          <w:tcPr>
            <w:tcW w:w="760" w:type="dxa"/>
            <w:tcBorders>
              <w:top w:val="single" w:sz="6" w:space="0" w:color="auto"/>
              <w:left w:val="single" w:sz="6" w:space="0" w:color="auto"/>
              <w:bottom w:val="single" w:sz="6" w:space="0" w:color="auto"/>
              <w:right w:val="single" w:sz="6" w:space="0" w:color="auto"/>
            </w:tcBorders>
          </w:tcPr>
          <w:p w:rsidR="00F43761" w:rsidRPr="00B619F8" w:rsidRDefault="00F43761" w:rsidP="002274D1">
            <w:pPr>
              <w:pStyle w:val="mhb1"/>
              <w:tabs>
                <w:tab w:val="clear" w:pos="567"/>
              </w:tabs>
              <w:spacing w:before="0"/>
              <w:rPr>
                <w:b w:val="0"/>
                <w:sz w:val="20"/>
              </w:rPr>
            </w:pPr>
          </w:p>
        </w:tc>
        <w:tc>
          <w:tcPr>
            <w:tcW w:w="3351" w:type="dxa"/>
            <w:tcBorders>
              <w:top w:val="single" w:sz="6" w:space="0" w:color="auto"/>
              <w:left w:val="single" w:sz="6" w:space="0" w:color="auto"/>
              <w:bottom w:val="single" w:sz="6" w:space="0" w:color="auto"/>
              <w:right w:val="single" w:sz="6" w:space="0" w:color="auto"/>
            </w:tcBorders>
          </w:tcPr>
          <w:p w:rsidR="00F43761" w:rsidRPr="003103CF" w:rsidRDefault="00F43761" w:rsidP="002274D1">
            <w:pPr>
              <w:pStyle w:val="mhb1"/>
              <w:tabs>
                <w:tab w:val="clear" w:pos="567"/>
              </w:tabs>
              <w:spacing w:before="0"/>
              <w:rPr>
                <w:b w:val="0"/>
                <w:i/>
                <w:sz w:val="20"/>
              </w:rPr>
            </w:pPr>
            <w:r>
              <w:rPr>
                <w:b w:val="0"/>
                <w:sz w:val="20"/>
              </w:rPr>
              <w:t xml:space="preserve">If the entity is considered by the Department administered by the Finance Minister as material in nature—a statement that </w:t>
            </w:r>
            <w:r>
              <w:rPr>
                <w:b w:val="0"/>
                <w:i/>
                <w:sz w:val="20"/>
              </w:rPr>
              <w:t>“[Name of entity] recognises the importance of ensuring that small businesses are paid on time. The results of the Survey of Australian Government Payments to Small Business are available on the Treasury’s website.”</w:t>
            </w:r>
          </w:p>
        </w:tc>
        <w:tc>
          <w:tcPr>
            <w:tcW w:w="1275" w:type="dxa"/>
            <w:tcBorders>
              <w:top w:val="single" w:sz="6" w:space="0" w:color="auto"/>
              <w:left w:val="single" w:sz="6" w:space="0" w:color="auto"/>
              <w:bottom w:val="single" w:sz="6" w:space="0" w:color="auto"/>
              <w:right w:val="single" w:sz="6" w:space="0" w:color="auto"/>
            </w:tcBorders>
          </w:tcPr>
          <w:p w:rsidR="00F43761" w:rsidRPr="00CB1118" w:rsidRDefault="00F43761"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Borders>
              <w:top w:val="single" w:sz="6" w:space="0" w:color="auto"/>
              <w:left w:val="single" w:sz="6" w:space="0" w:color="auto"/>
              <w:bottom w:val="single" w:sz="6" w:space="0" w:color="auto"/>
              <w:right w:val="single" w:sz="6" w:space="0" w:color="auto"/>
            </w:tcBorders>
          </w:tcPr>
          <w:p w:rsidR="00F43761" w:rsidRDefault="00F43761" w:rsidP="008B7F83">
            <w:pPr>
              <w:pStyle w:val="mhb1"/>
              <w:tabs>
                <w:tab w:val="clear" w:pos="567"/>
              </w:tabs>
              <w:spacing w:before="0"/>
              <w:rPr>
                <w:b w:val="0"/>
                <w:sz w:val="16"/>
                <w:szCs w:val="16"/>
              </w:rPr>
            </w:pPr>
            <w:r>
              <w:rPr>
                <w:b w:val="0"/>
                <w:sz w:val="16"/>
                <w:szCs w:val="16"/>
              </w:rPr>
              <w:t>N/A</w:t>
            </w:r>
          </w:p>
        </w:tc>
      </w:tr>
      <w:tr w:rsidR="00F402F1" w:rsidTr="002D48EF">
        <w:trPr>
          <w:cantSplit/>
          <w:trHeight w:val="50"/>
        </w:trPr>
        <w:tc>
          <w:tcPr>
            <w:tcW w:w="908" w:type="dxa"/>
          </w:tcPr>
          <w:p w:rsidR="00F402F1" w:rsidRDefault="00F402F1" w:rsidP="007A2DEE">
            <w:pPr>
              <w:pStyle w:val="mhb1"/>
              <w:tabs>
                <w:tab w:val="clear" w:pos="567"/>
              </w:tabs>
              <w:spacing w:before="0"/>
              <w:jc w:val="center"/>
              <w:rPr>
                <w:b w:val="0"/>
                <w:sz w:val="16"/>
              </w:rPr>
            </w:pPr>
          </w:p>
        </w:tc>
        <w:tc>
          <w:tcPr>
            <w:tcW w:w="6520" w:type="dxa"/>
            <w:gridSpan w:val="4"/>
          </w:tcPr>
          <w:p w:rsidR="00F402F1" w:rsidRPr="00F43761" w:rsidRDefault="00F402F1" w:rsidP="007A2DEE">
            <w:pPr>
              <w:pStyle w:val="mhb1"/>
              <w:tabs>
                <w:tab w:val="clear" w:pos="567"/>
              </w:tabs>
              <w:spacing w:before="0"/>
              <w:rPr>
                <w:i/>
                <w:sz w:val="20"/>
              </w:rPr>
            </w:pPr>
            <w:r w:rsidRPr="00F43761">
              <w:rPr>
                <w:i/>
                <w:sz w:val="20"/>
              </w:rPr>
              <w:t>Financial Statements</w:t>
            </w:r>
          </w:p>
        </w:tc>
      </w:tr>
      <w:tr w:rsidR="00F402F1" w:rsidTr="002D48EF">
        <w:trPr>
          <w:cantSplit/>
          <w:trHeight w:val="50"/>
        </w:trPr>
        <w:tc>
          <w:tcPr>
            <w:tcW w:w="908" w:type="dxa"/>
          </w:tcPr>
          <w:p w:rsidR="00F402F1" w:rsidRDefault="00F43761" w:rsidP="007A2DEE">
            <w:pPr>
              <w:pStyle w:val="mhb1"/>
              <w:tabs>
                <w:tab w:val="clear" w:pos="567"/>
              </w:tabs>
              <w:spacing w:before="0"/>
              <w:jc w:val="center"/>
              <w:rPr>
                <w:b w:val="0"/>
                <w:sz w:val="16"/>
              </w:rPr>
            </w:pPr>
            <w:r>
              <w:rPr>
                <w:b w:val="0"/>
                <w:sz w:val="16"/>
              </w:rPr>
              <w:t>17AD(e)</w:t>
            </w:r>
          </w:p>
        </w:tc>
        <w:tc>
          <w:tcPr>
            <w:tcW w:w="760" w:type="dxa"/>
          </w:tcPr>
          <w:p w:rsidR="00F402F1" w:rsidRDefault="00F402F1" w:rsidP="007A2DEE">
            <w:pPr>
              <w:pStyle w:val="mhb1"/>
              <w:tabs>
                <w:tab w:val="clear" w:pos="567"/>
              </w:tabs>
              <w:spacing w:before="0"/>
              <w:rPr>
                <w:b w:val="0"/>
                <w:sz w:val="20"/>
              </w:rPr>
            </w:pPr>
          </w:p>
        </w:tc>
        <w:tc>
          <w:tcPr>
            <w:tcW w:w="3351" w:type="dxa"/>
          </w:tcPr>
          <w:p w:rsidR="00F402F1" w:rsidRPr="00CB1118" w:rsidRDefault="00F43761" w:rsidP="007A2DEE">
            <w:pPr>
              <w:pStyle w:val="mhb1"/>
              <w:tabs>
                <w:tab w:val="clear" w:pos="567"/>
              </w:tabs>
              <w:spacing w:before="0"/>
              <w:rPr>
                <w:b w:val="0"/>
                <w:sz w:val="20"/>
              </w:rPr>
            </w:pPr>
            <w:r>
              <w:rPr>
                <w:b w:val="0"/>
                <w:sz w:val="20"/>
              </w:rPr>
              <w:t xml:space="preserve">Inclusion of the annual financial statements in accordance with subsection 43(4) of the </w:t>
            </w:r>
            <w:r w:rsidR="003B1A26">
              <w:rPr>
                <w:b w:val="0"/>
                <w:sz w:val="20"/>
              </w:rPr>
              <w:t xml:space="preserve">PGPA </w:t>
            </w:r>
            <w:r>
              <w:rPr>
                <w:b w:val="0"/>
                <w:sz w:val="20"/>
              </w:rPr>
              <w:t>Act.</w:t>
            </w:r>
          </w:p>
        </w:tc>
        <w:tc>
          <w:tcPr>
            <w:tcW w:w="1275" w:type="dxa"/>
          </w:tcPr>
          <w:p w:rsidR="00F402F1" w:rsidRPr="00CB1118" w:rsidRDefault="00F402F1" w:rsidP="007A2DEE">
            <w:pPr>
              <w:pStyle w:val="mhb1"/>
              <w:tabs>
                <w:tab w:val="clear" w:pos="567"/>
              </w:tabs>
              <w:spacing w:before="0"/>
              <w:rPr>
                <w:b w:val="0"/>
                <w:sz w:val="20"/>
              </w:rPr>
            </w:pPr>
            <w:r w:rsidRPr="00CB1118">
              <w:rPr>
                <w:b w:val="0"/>
                <w:sz w:val="20"/>
              </w:rPr>
              <w:t>Mandatory</w:t>
            </w:r>
          </w:p>
        </w:tc>
        <w:tc>
          <w:tcPr>
            <w:tcW w:w="1134" w:type="dxa"/>
          </w:tcPr>
          <w:p w:rsidR="00F402F1" w:rsidRPr="00EE0730" w:rsidRDefault="00F402F1" w:rsidP="00A76D1D">
            <w:pPr>
              <w:pStyle w:val="mhb1"/>
              <w:tabs>
                <w:tab w:val="clear" w:pos="567"/>
              </w:tabs>
              <w:spacing w:before="0"/>
              <w:rPr>
                <w:b w:val="0"/>
                <w:sz w:val="16"/>
                <w:szCs w:val="16"/>
              </w:rPr>
            </w:pPr>
            <w:r>
              <w:rPr>
                <w:b w:val="0"/>
                <w:sz w:val="16"/>
                <w:szCs w:val="16"/>
              </w:rPr>
              <w:t>Appendix D</w:t>
            </w:r>
          </w:p>
        </w:tc>
      </w:tr>
      <w:tr w:rsidR="004E0666" w:rsidTr="002D48EF">
        <w:trPr>
          <w:cantSplit/>
          <w:trHeight w:val="50"/>
        </w:trPr>
        <w:tc>
          <w:tcPr>
            <w:tcW w:w="908" w:type="dxa"/>
          </w:tcPr>
          <w:p w:rsidR="004E0666" w:rsidRPr="004E0666" w:rsidRDefault="004E0666" w:rsidP="007A2DEE">
            <w:pPr>
              <w:pStyle w:val="mhb1"/>
              <w:tabs>
                <w:tab w:val="clear" w:pos="567"/>
              </w:tabs>
              <w:spacing w:before="0"/>
              <w:jc w:val="center"/>
              <w:rPr>
                <w:sz w:val="16"/>
              </w:rPr>
            </w:pPr>
            <w:r w:rsidRPr="004E0666">
              <w:rPr>
                <w:sz w:val="16"/>
              </w:rPr>
              <w:t>17AD(f)</w:t>
            </w:r>
          </w:p>
        </w:tc>
        <w:tc>
          <w:tcPr>
            <w:tcW w:w="6520" w:type="dxa"/>
            <w:gridSpan w:val="4"/>
          </w:tcPr>
          <w:p w:rsidR="004E0666" w:rsidRPr="004E0666" w:rsidRDefault="004E0666" w:rsidP="007A2DEE">
            <w:pPr>
              <w:pStyle w:val="mhb1"/>
              <w:tabs>
                <w:tab w:val="clear" w:pos="567"/>
              </w:tabs>
              <w:spacing w:before="0"/>
              <w:rPr>
                <w:sz w:val="20"/>
              </w:rPr>
            </w:pPr>
            <w:r w:rsidRPr="004E0666">
              <w:rPr>
                <w:sz w:val="20"/>
              </w:rPr>
              <w:t>Other Mandatory Information</w:t>
            </w:r>
          </w:p>
        </w:tc>
      </w:tr>
      <w:tr w:rsidR="00CF50ED" w:rsidTr="002D48EF">
        <w:trPr>
          <w:cantSplit/>
          <w:trHeight w:val="50"/>
        </w:trPr>
        <w:tc>
          <w:tcPr>
            <w:tcW w:w="908" w:type="dxa"/>
          </w:tcPr>
          <w:p w:rsidR="00CF50ED" w:rsidRDefault="00CF50ED" w:rsidP="007A2DEE">
            <w:pPr>
              <w:pStyle w:val="mhb1"/>
              <w:tabs>
                <w:tab w:val="clear" w:pos="567"/>
              </w:tabs>
              <w:spacing w:before="0"/>
              <w:jc w:val="center"/>
              <w:rPr>
                <w:b w:val="0"/>
                <w:sz w:val="16"/>
              </w:rPr>
            </w:pPr>
            <w:r>
              <w:rPr>
                <w:b w:val="0"/>
                <w:sz w:val="16"/>
              </w:rPr>
              <w:t>17AH(1)(a)(i)</w:t>
            </w:r>
          </w:p>
        </w:tc>
        <w:tc>
          <w:tcPr>
            <w:tcW w:w="760" w:type="dxa"/>
          </w:tcPr>
          <w:p w:rsidR="00CF50ED" w:rsidRDefault="00CF50ED" w:rsidP="007A2DEE">
            <w:pPr>
              <w:pStyle w:val="mhb1"/>
              <w:tabs>
                <w:tab w:val="clear" w:pos="567"/>
              </w:tabs>
              <w:spacing w:before="0"/>
              <w:jc w:val="center"/>
              <w:rPr>
                <w:b w:val="0"/>
                <w:sz w:val="20"/>
              </w:rPr>
            </w:pPr>
          </w:p>
        </w:tc>
        <w:tc>
          <w:tcPr>
            <w:tcW w:w="3351" w:type="dxa"/>
          </w:tcPr>
          <w:p w:rsidR="00CF50ED" w:rsidRPr="00CB1118" w:rsidRDefault="00CF50ED" w:rsidP="00CF50ED">
            <w:pPr>
              <w:pStyle w:val="mhb1"/>
              <w:tabs>
                <w:tab w:val="clear" w:pos="567"/>
              </w:tabs>
              <w:spacing w:before="0"/>
              <w:rPr>
                <w:b w:val="0"/>
                <w:sz w:val="20"/>
              </w:rPr>
            </w:pPr>
            <w:r>
              <w:rPr>
                <w:b w:val="0"/>
                <w:sz w:val="20"/>
              </w:rPr>
              <w:t xml:space="preserve">If the entity conducted advertising campaigns, a statement that </w:t>
            </w:r>
            <w:r>
              <w:rPr>
                <w:b w:val="0"/>
                <w:i/>
                <w:sz w:val="20"/>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1275" w:type="dxa"/>
          </w:tcPr>
          <w:p w:rsidR="00CF50ED" w:rsidRPr="00CB1118" w:rsidRDefault="00CF50ED"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Pr>
          <w:p w:rsidR="00CF50ED" w:rsidRPr="00EE0730" w:rsidRDefault="00CF50ED" w:rsidP="007A2DEE">
            <w:pPr>
              <w:pStyle w:val="mhb1"/>
              <w:tabs>
                <w:tab w:val="clear" w:pos="567"/>
              </w:tabs>
              <w:spacing w:before="0"/>
              <w:rPr>
                <w:b w:val="0"/>
                <w:sz w:val="16"/>
                <w:szCs w:val="16"/>
              </w:rPr>
            </w:pPr>
            <w:r>
              <w:rPr>
                <w:b w:val="0"/>
                <w:sz w:val="16"/>
                <w:szCs w:val="16"/>
              </w:rPr>
              <w:t>N/A</w:t>
            </w:r>
          </w:p>
        </w:tc>
      </w:tr>
      <w:tr w:rsidR="00CF50ED" w:rsidTr="002D48EF">
        <w:trPr>
          <w:cantSplit/>
          <w:trHeight w:val="50"/>
        </w:trPr>
        <w:tc>
          <w:tcPr>
            <w:tcW w:w="908" w:type="dxa"/>
          </w:tcPr>
          <w:p w:rsidR="00CF50ED" w:rsidRDefault="00CF50ED" w:rsidP="008B7F83">
            <w:pPr>
              <w:pStyle w:val="mhb1"/>
              <w:tabs>
                <w:tab w:val="clear" w:pos="567"/>
              </w:tabs>
              <w:spacing w:before="0"/>
              <w:jc w:val="center"/>
              <w:rPr>
                <w:b w:val="0"/>
                <w:sz w:val="16"/>
              </w:rPr>
            </w:pPr>
            <w:r>
              <w:rPr>
                <w:b w:val="0"/>
                <w:sz w:val="16"/>
              </w:rPr>
              <w:t>17AH(1)(a)(ii)</w:t>
            </w:r>
          </w:p>
        </w:tc>
        <w:tc>
          <w:tcPr>
            <w:tcW w:w="760" w:type="dxa"/>
          </w:tcPr>
          <w:p w:rsidR="00CF50ED" w:rsidRDefault="00CF50ED" w:rsidP="007A2DEE">
            <w:pPr>
              <w:pStyle w:val="mhb1"/>
              <w:tabs>
                <w:tab w:val="clear" w:pos="567"/>
              </w:tabs>
              <w:spacing w:before="0"/>
              <w:rPr>
                <w:b w:val="0"/>
                <w:sz w:val="20"/>
              </w:rPr>
            </w:pPr>
          </w:p>
        </w:tc>
        <w:tc>
          <w:tcPr>
            <w:tcW w:w="3351" w:type="dxa"/>
          </w:tcPr>
          <w:p w:rsidR="00CF50ED" w:rsidRPr="00CB1118" w:rsidRDefault="00CF50ED" w:rsidP="007A2DEE">
            <w:pPr>
              <w:pStyle w:val="mhb1"/>
              <w:tabs>
                <w:tab w:val="clear" w:pos="567"/>
              </w:tabs>
              <w:spacing w:before="0"/>
              <w:rPr>
                <w:b w:val="0"/>
                <w:sz w:val="20"/>
              </w:rPr>
            </w:pPr>
            <w:r>
              <w:rPr>
                <w:b w:val="0"/>
                <w:sz w:val="20"/>
              </w:rPr>
              <w:t>If the entity did not conduct advertising campaigns, a statement to that effect.</w:t>
            </w:r>
          </w:p>
        </w:tc>
        <w:tc>
          <w:tcPr>
            <w:tcW w:w="1275" w:type="dxa"/>
          </w:tcPr>
          <w:p w:rsidR="00CF50ED" w:rsidRPr="00CB1118" w:rsidRDefault="00CF50ED"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Pr>
          <w:p w:rsidR="00CF50ED" w:rsidRPr="00EE0730" w:rsidRDefault="00CF50ED" w:rsidP="008B7F83">
            <w:pPr>
              <w:pStyle w:val="mhb1"/>
              <w:tabs>
                <w:tab w:val="clear" w:pos="567"/>
              </w:tabs>
              <w:spacing w:before="0"/>
              <w:rPr>
                <w:b w:val="0"/>
                <w:sz w:val="16"/>
                <w:szCs w:val="16"/>
              </w:rPr>
            </w:pPr>
            <w:r>
              <w:rPr>
                <w:b w:val="0"/>
                <w:sz w:val="16"/>
                <w:szCs w:val="16"/>
              </w:rPr>
              <w:t>Chapter 6</w:t>
            </w:r>
          </w:p>
        </w:tc>
      </w:tr>
      <w:tr w:rsidR="00CF50ED" w:rsidTr="00290F08">
        <w:trPr>
          <w:trHeight w:val="50"/>
        </w:trPr>
        <w:tc>
          <w:tcPr>
            <w:tcW w:w="908" w:type="dxa"/>
          </w:tcPr>
          <w:p w:rsidR="00CF50ED" w:rsidRDefault="00CF50ED" w:rsidP="008B7F83">
            <w:pPr>
              <w:pStyle w:val="mhb1"/>
              <w:tabs>
                <w:tab w:val="clear" w:pos="567"/>
              </w:tabs>
              <w:spacing w:before="0"/>
              <w:jc w:val="center"/>
              <w:rPr>
                <w:b w:val="0"/>
                <w:sz w:val="16"/>
              </w:rPr>
            </w:pPr>
            <w:r>
              <w:rPr>
                <w:b w:val="0"/>
                <w:sz w:val="16"/>
              </w:rPr>
              <w:t>17AH(1)(b)</w:t>
            </w:r>
          </w:p>
        </w:tc>
        <w:tc>
          <w:tcPr>
            <w:tcW w:w="760" w:type="dxa"/>
          </w:tcPr>
          <w:p w:rsidR="00CF50ED" w:rsidRDefault="00CF50ED" w:rsidP="007A2DEE">
            <w:pPr>
              <w:pStyle w:val="mhb1"/>
              <w:tabs>
                <w:tab w:val="clear" w:pos="567"/>
              </w:tabs>
              <w:spacing w:before="0"/>
              <w:rPr>
                <w:b w:val="0"/>
                <w:sz w:val="20"/>
              </w:rPr>
            </w:pPr>
          </w:p>
        </w:tc>
        <w:tc>
          <w:tcPr>
            <w:tcW w:w="3351" w:type="dxa"/>
          </w:tcPr>
          <w:p w:rsidR="00CF50ED" w:rsidRPr="00CB1118" w:rsidRDefault="00CF50ED" w:rsidP="00CF50ED">
            <w:pPr>
              <w:pStyle w:val="mhb1"/>
              <w:tabs>
                <w:tab w:val="clear" w:pos="567"/>
              </w:tabs>
              <w:spacing w:before="0"/>
              <w:rPr>
                <w:b w:val="0"/>
                <w:sz w:val="20"/>
              </w:rPr>
            </w:pPr>
            <w:r>
              <w:rPr>
                <w:b w:val="0"/>
                <w:sz w:val="20"/>
              </w:rPr>
              <w:t xml:space="preserve">A statement that </w:t>
            </w:r>
            <w:r>
              <w:rPr>
                <w:b w:val="0"/>
                <w:i/>
                <w:sz w:val="20"/>
              </w:rPr>
              <w:t>“Information on grants awarded to [name of entity] during [reporting period] is available at [address of entity’s website].”</w:t>
            </w:r>
          </w:p>
        </w:tc>
        <w:tc>
          <w:tcPr>
            <w:tcW w:w="1275" w:type="dxa"/>
          </w:tcPr>
          <w:p w:rsidR="00CF50ED" w:rsidRPr="00CB1118" w:rsidRDefault="00CF50ED"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Pr>
          <w:p w:rsidR="00CF50ED" w:rsidRPr="00EE0730" w:rsidRDefault="00CF50ED" w:rsidP="007A2DEE">
            <w:pPr>
              <w:pStyle w:val="mhb1"/>
              <w:tabs>
                <w:tab w:val="clear" w:pos="567"/>
              </w:tabs>
              <w:spacing w:before="0"/>
              <w:rPr>
                <w:b w:val="0"/>
                <w:sz w:val="16"/>
                <w:szCs w:val="16"/>
              </w:rPr>
            </w:pPr>
            <w:r>
              <w:rPr>
                <w:b w:val="0"/>
                <w:sz w:val="16"/>
                <w:szCs w:val="16"/>
              </w:rPr>
              <w:t>N/A</w:t>
            </w:r>
          </w:p>
        </w:tc>
      </w:tr>
      <w:tr w:rsidR="00CF50ED" w:rsidTr="002D48EF">
        <w:trPr>
          <w:cantSplit/>
          <w:trHeight w:val="50"/>
        </w:trPr>
        <w:tc>
          <w:tcPr>
            <w:tcW w:w="908" w:type="dxa"/>
          </w:tcPr>
          <w:p w:rsidR="00CF50ED" w:rsidRDefault="00CF50ED" w:rsidP="008B7F83">
            <w:pPr>
              <w:pStyle w:val="mhb1"/>
              <w:tabs>
                <w:tab w:val="clear" w:pos="567"/>
              </w:tabs>
              <w:spacing w:before="0"/>
              <w:jc w:val="center"/>
              <w:rPr>
                <w:b w:val="0"/>
                <w:sz w:val="16"/>
              </w:rPr>
            </w:pPr>
            <w:r>
              <w:rPr>
                <w:b w:val="0"/>
                <w:sz w:val="16"/>
              </w:rPr>
              <w:t>17AH(1)(c)</w:t>
            </w:r>
          </w:p>
        </w:tc>
        <w:tc>
          <w:tcPr>
            <w:tcW w:w="760" w:type="dxa"/>
          </w:tcPr>
          <w:p w:rsidR="00CF50ED" w:rsidRDefault="00CF50ED" w:rsidP="007A2DEE">
            <w:pPr>
              <w:pStyle w:val="mhb1"/>
              <w:tabs>
                <w:tab w:val="clear" w:pos="567"/>
              </w:tabs>
              <w:spacing w:before="0"/>
              <w:jc w:val="center"/>
              <w:rPr>
                <w:b w:val="0"/>
                <w:sz w:val="20"/>
              </w:rPr>
            </w:pPr>
          </w:p>
        </w:tc>
        <w:tc>
          <w:tcPr>
            <w:tcW w:w="3351" w:type="dxa"/>
          </w:tcPr>
          <w:p w:rsidR="00CF50ED" w:rsidRPr="00CB1118" w:rsidRDefault="00CF50ED" w:rsidP="00CF50ED">
            <w:pPr>
              <w:pStyle w:val="mhb1"/>
              <w:tabs>
                <w:tab w:val="clear" w:pos="567"/>
              </w:tabs>
              <w:spacing w:before="0"/>
              <w:rPr>
                <w:b w:val="0"/>
                <w:sz w:val="20"/>
              </w:rPr>
            </w:pPr>
            <w:r>
              <w:rPr>
                <w:b w:val="0"/>
                <w:sz w:val="20"/>
              </w:rPr>
              <w:t>Outline of mechanisms of d</w:t>
            </w:r>
            <w:r w:rsidRPr="00CB1118">
              <w:rPr>
                <w:b w:val="0"/>
                <w:sz w:val="20"/>
              </w:rPr>
              <w:t>isability reporting</w:t>
            </w:r>
            <w:r>
              <w:rPr>
                <w:b w:val="0"/>
                <w:sz w:val="20"/>
              </w:rPr>
              <w:t>, including reference to website for further information.</w:t>
            </w:r>
          </w:p>
        </w:tc>
        <w:tc>
          <w:tcPr>
            <w:tcW w:w="1275" w:type="dxa"/>
          </w:tcPr>
          <w:p w:rsidR="00CF50ED" w:rsidRPr="00CB1118" w:rsidRDefault="00CF50ED" w:rsidP="007A2DEE">
            <w:pPr>
              <w:pStyle w:val="mhb1"/>
              <w:tabs>
                <w:tab w:val="clear" w:pos="567"/>
              </w:tabs>
              <w:spacing w:before="0"/>
              <w:rPr>
                <w:b w:val="0"/>
                <w:sz w:val="20"/>
              </w:rPr>
            </w:pPr>
            <w:r w:rsidRPr="00CB1118">
              <w:rPr>
                <w:b w:val="0"/>
                <w:sz w:val="20"/>
              </w:rPr>
              <w:t>Mandatory</w:t>
            </w:r>
          </w:p>
        </w:tc>
        <w:tc>
          <w:tcPr>
            <w:tcW w:w="1134" w:type="dxa"/>
          </w:tcPr>
          <w:p w:rsidR="00CF50ED" w:rsidRPr="00EE0730" w:rsidRDefault="00CF50ED" w:rsidP="007A2DEE">
            <w:pPr>
              <w:pStyle w:val="mhb1"/>
              <w:tabs>
                <w:tab w:val="clear" w:pos="567"/>
              </w:tabs>
              <w:spacing w:before="0"/>
              <w:rPr>
                <w:b w:val="0"/>
                <w:sz w:val="16"/>
                <w:szCs w:val="16"/>
              </w:rPr>
            </w:pPr>
            <w:r>
              <w:rPr>
                <w:b w:val="0"/>
                <w:sz w:val="16"/>
                <w:szCs w:val="16"/>
              </w:rPr>
              <w:t>Chapter 4</w:t>
            </w:r>
          </w:p>
        </w:tc>
      </w:tr>
      <w:tr w:rsidR="004E0666" w:rsidTr="002D48EF">
        <w:trPr>
          <w:cantSplit/>
          <w:trHeight w:val="50"/>
        </w:trPr>
        <w:tc>
          <w:tcPr>
            <w:tcW w:w="908" w:type="dxa"/>
          </w:tcPr>
          <w:p w:rsidR="004E0666" w:rsidRDefault="004E0666" w:rsidP="008B7F83">
            <w:pPr>
              <w:pStyle w:val="mhb1"/>
              <w:tabs>
                <w:tab w:val="clear" w:pos="567"/>
              </w:tabs>
              <w:spacing w:before="0"/>
              <w:jc w:val="center"/>
              <w:rPr>
                <w:b w:val="0"/>
                <w:sz w:val="16"/>
              </w:rPr>
            </w:pPr>
            <w:r>
              <w:rPr>
                <w:b w:val="0"/>
                <w:sz w:val="16"/>
              </w:rPr>
              <w:t>17AH(1)(d)</w:t>
            </w:r>
          </w:p>
        </w:tc>
        <w:tc>
          <w:tcPr>
            <w:tcW w:w="760" w:type="dxa"/>
          </w:tcPr>
          <w:p w:rsidR="004E0666" w:rsidRDefault="004E0666" w:rsidP="007A2DEE">
            <w:pPr>
              <w:pStyle w:val="mhb1"/>
              <w:tabs>
                <w:tab w:val="clear" w:pos="567"/>
              </w:tabs>
              <w:spacing w:before="0"/>
              <w:jc w:val="center"/>
              <w:rPr>
                <w:b w:val="0"/>
                <w:sz w:val="20"/>
              </w:rPr>
            </w:pPr>
          </w:p>
        </w:tc>
        <w:tc>
          <w:tcPr>
            <w:tcW w:w="3351" w:type="dxa"/>
          </w:tcPr>
          <w:p w:rsidR="004E0666" w:rsidRPr="00CB1118" w:rsidRDefault="004E0666" w:rsidP="004E0666">
            <w:pPr>
              <w:pStyle w:val="mhb1"/>
              <w:tabs>
                <w:tab w:val="clear" w:pos="567"/>
              </w:tabs>
              <w:spacing w:before="0"/>
              <w:rPr>
                <w:b w:val="0"/>
                <w:sz w:val="20"/>
              </w:rPr>
            </w:pPr>
            <w:r>
              <w:rPr>
                <w:b w:val="0"/>
                <w:sz w:val="20"/>
              </w:rPr>
              <w:t>Website reference to where the entity’s Information Publication Scheme statement pursuant to Part II of FOI Act can be found.</w:t>
            </w:r>
          </w:p>
        </w:tc>
        <w:tc>
          <w:tcPr>
            <w:tcW w:w="1275" w:type="dxa"/>
          </w:tcPr>
          <w:p w:rsidR="004E0666" w:rsidRPr="00CB1118" w:rsidRDefault="004E0666" w:rsidP="00F546F3">
            <w:pPr>
              <w:pStyle w:val="mhb1"/>
              <w:tabs>
                <w:tab w:val="clear" w:pos="567"/>
              </w:tabs>
              <w:spacing w:before="0"/>
              <w:rPr>
                <w:b w:val="0"/>
                <w:sz w:val="20"/>
              </w:rPr>
            </w:pPr>
            <w:r w:rsidRPr="00CB1118">
              <w:rPr>
                <w:b w:val="0"/>
                <w:sz w:val="20"/>
              </w:rPr>
              <w:t>Mandatory</w:t>
            </w:r>
          </w:p>
        </w:tc>
        <w:tc>
          <w:tcPr>
            <w:tcW w:w="1134" w:type="dxa"/>
          </w:tcPr>
          <w:p w:rsidR="004E0666" w:rsidRPr="00EE0730" w:rsidRDefault="004E0666" w:rsidP="00F546F3">
            <w:pPr>
              <w:pStyle w:val="mhb1"/>
              <w:tabs>
                <w:tab w:val="clear" w:pos="567"/>
              </w:tabs>
              <w:spacing w:before="0"/>
              <w:rPr>
                <w:b w:val="0"/>
                <w:sz w:val="16"/>
                <w:szCs w:val="16"/>
              </w:rPr>
            </w:pPr>
            <w:r>
              <w:rPr>
                <w:b w:val="0"/>
                <w:sz w:val="16"/>
                <w:szCs w:val="16"/>
              </w:rPr>
              <w:t>Chapter 6</w:t>
            </w:r>
          </w:p>
        </w:tc>
      </w:tr>
      <w:tr w:rsidR="004E0666" w:rsidTr="002D48EF">
        <w:trPr>
          <w:cantSplit/>
          <w:trHeight w:val="50"/>
        </w:trPr>
        <w:tc>
          <w:tcPr>
            <w:tcW w:w="908" w:type="dxa"/>
          </w:tcPr>
          <w:p w:rsidR="004E0666" w:rsidRDefault="004E0666" w:rsidP="008B7F83">
            <w:pPr>
              <w:pStyle w:val="mhb1"/>
              <w:tabs>
                <w:tab w:val="clear" w:pos="567"/>
              </w:tabs>
              <w:spacing w:before="0"/>
              <w:jc w:val="center"/>
              <w:rPr>
                <w:b w:val="0"/>
                <w:sz w:val="16"/>
              </w:rPr>
            </w:pPr>
            <w:r>
              <w:rPr>
                <w:b w:val="0"/>
                <w:sz w:val="16"/>
              </w:rPr>
              <w:t>17AH(1)(d)</w:t>
            </w:r>
          </w:p>
        </w:tc>
        <w:tc>
          <w:tcPr>
            <w:tcW w:w="760" w:type="dxa"/>
          </w:tcPr>
          <w:p w:rsidR="004E0666" w:rsidRDefault="004E0666" w:rsidP="007A2DEE">
            <w:pPr>
              <w:pStyle w:val="mhb1"/>
              <w:tabs>
                <w:tab w:val="clear" w:pos="567"/>
              </w:tabs>
              <w:spacing w:before="0"/>
              <w:jc w:val="center"/>
              <w:rPr>
                <w:b w:val="0"/>
                <w:sz w:val="20"/>
              </w:rPr>
            </w:pPr>
          </w:p>
        </w:tc>
        <w:tc>
          <w:tcPr>
            <w:tcW w:w="3351" w:type="dxa"/>
          </w:tcPr>
          <w:p w:rsidR="004E0666" w:rsidRPr="00CB1118" w:rsidRDefault="004E0666" w:rsidP="007A2DEE">
            <w:pPr>
              <w:pStyle w:val="mhb1"/>
              <w:tabs>
                <w:tab w:val="clear" w:pos="567"/>
              </w:tabs>
              <w:spacing w:before="0"/>
              <w:rPr>
                <w:b w:val="0"/>
                <w:sz w:val="20"/>
              </w:rPr>
            </w:pPr>
            <w:r w:rsidRPr="00CB1118">
              <w:rPr>
                <w:b w:val="0"/>
                <w:sz w:val="20"/>
              </w:rPr>
              <w:t>Correction of material errors in previous annual report</w:t>
            </w:r>
          </w:p>
        </w:tc>
        <w:tc>
          <w:tcPr>
            <w:tcW w:w="1275" w:type="dxa"/>
          </w:tcPr>
          <w:p w:rsidR="004E0666" w:rsidRPr="00CB1118" w:rsidRDefault="004E0666" w:rsidP="007A2DEE">
            <w:pPr>
              <w:pStyle w:val="mhb1"/>
              <w:tabs>
                <w:tab w:val="clear" w:pos="567"/>
              </w:tabs>
              <w:spacing w:before="0"/>
              <w:rPr>
                <w:b w:val="0"/>
                <w:sz w:val="20"/>
              </w:rPr>
            </w:pPr>
            <w:r w:rsidRPr="00CB1118">
              <w:rPr>
                <w:b w:val="0"/>
                <w:sz w:val="20"/>
              </w:rPr>
              <w:t>If applicable, mandatory</w:t>
            </w:r>
          </w:p>
        </w:tc>
        <w:tc>
          <w:tcPr>
            <w:tcW w:w="1134" w:type="dxa"/>
          </w:tcPr>
          <w:p w:rsidR="004E0666" w:rsidRPr="00EE0730" w:rsidRDefault="004E0666" w:rsidP="007A2DEE">
            <w:pPr>
              <w:pStyle w:val="mhb1"/>
              <w:tabs>
                <w:tab w:val="clear" w:pos="567"/>
              </w:tabs>
              <w:spacing w:before="0"/>
              <w:rPr>
                <w:b w:val="0"/>
                <w:sz w:val="16"/>
                <w:szCs w:val="16"/>
              </w:rPr>
            </w:pPr>
            <w:r>
              <w:rPr>
                <w:b w:val="0"/>
                <w:sz w:val="16"/>
                <w:szCs w:val="16"/>
              </w:rPr>
              <w:t>N/A</w:t>
            </w:r>
          </w:p>
        </w:tc>
      </w:tr>
      <w:tr w:rsidR="004E0666" w:rsidTr="002D48EF">
        <w:trPr>
          <w:cantSplit/>
          <w:trHeight w:val="50"/>
        </w:trPr>
        <w:tc>
          <w:tcPr>
            <w:tcW w:w="908" w:type="dxa"/>
          </w:tcPr>
          <w:p w:rsidR="004E0666" w:rsidRPr="00D65937" w:rsidRDefault="004E0666" w:rsidP="004E0666">
            <w:pPr>
              <w:pStyle w:val="mhb1"/>
              <w:tabs>
                <w:tab w:val="clear" w:pos="567"/>
              </w:tabs>
              <w:spacing w:before="0"/>
              <w:jc w:val="center"/>
              <w:rPr>
                <w:i/>
                <w:sz w:val="16"/>
              </w:rPr>
            </w:pPr>
            <w:r>
              <w:rPr>
                <w:i/>
                <w:sz w:val="16"/>
              </w:rPr>
              <w:t>17AH</w:t>
            </w:r>
            <w:r w:rsidRPr="00D65937">
              <w:rPr>
                <w:i/>
                <w:sz w:val="16"/>
              </w:rPr>
              <w:t>(</w:t>
            </w:r>
            <w:r>
              <w:rPr>
                <w:i/>
                <w:sz w:val="16"/>
              </w:rPr>
              <w:t>2</w:t>
            </w:r>
            <w:r w:rsidRPr="00D65937">
              <w:rPr>
                <w:i/>
                <w:sz w:val="16"/>
              </w:rPr>
              <w:t>)</w:t>
            </w:r>
          </w:p>
        </w:tc>
        <w:tc>
          <w:tcPr>
            <w:tcW w:w="6520" w:type="dxa"/>
            <w:gridSpan w:val="4"/>
          </w:tcPr>
          <w:p w:rsidR="004E0666" w:rsidRPr="00F43761" w:rsidRDefault="004E0666" w:rsidP="008B7F83">
            <w:pPr>
              <w:pStyle w:val="mhb1"/>
              <w:tabs>
                <w:tab w:val="clear" w:pos="567"/>
              </w:tabs>
              <w:spacing w:before="0"/>
              <w:rPr>
                <w:i/>
                <w:sz w:val="20"/>
              </w:rPr>
            </w:pPr>
            <w:r>
              <w:rPr>
                <w:i/>
                <w:sz w:val="20"/>
              </w:rPr>
              <w:t>Information required by other legislation</w:t>
            </w:r>
          </w:p>
        </w:tc>
      </w:tr>
      <w:tr w:rsidR="00CF50ED" w:rsidTr="002D48EF">
        <w:trPr>
          <w:cantSplit/>
          <w:trHeight w:val="50"/>
        </w:trPr>
        <w:tc>
          <w:tcPr>
            <w:tcW w:w="908" w:type="dxa"/>
          </w:tcPr>
          <w:p w:rsidR="00CF50ED" w:rsidRDefault="00CF50ED" w:rsidP="008B7F83">
            <w:pPr>
              <w:pStyle w:val="mhb1"/>
              <w:tabs>
                <w:tab w:val="clear" w:pos="567"/>
              </w:tabs>
              <w:spacing w:before="0"/>
              <w:jc w:val="center"/>
              <w:rPr>
                <w:b w:val="0"/>
                <w:sz w:val="16"/>
              </w:rPr>
            </w:pPr>
          </w:p>
        </w:tc>
        <w:tc>
          <w:tcPr>
            <w:tcW w:w="760" w:type="dxa"/>
          </w:tcPr>
          <w:p w:rsidR="00CF50ED" w:rsidRDefault="00CF50ED" w:rsidP="008B7F83">
            <w:pPr>
              <w:pStyle w:val="mhb1"/>
              <w:tabs>
                <w:tab w:val="clear" w:pos="567"/>
              </w:tabs>
              <w:spacing w:before="0"/>
              <w:rPr>
                <w:b w:val="0"/>
                <w:i/>
                <w:sz w:val="20"/>
              </w:rPr>
            </w:pPr>
          </w:p>
        </w:tc>
        <w:tc>
          <w:tcPr>
            <w:tcW w:w="3351" w:type="dxa"/>
          </w:tcPr>
          <w:p w:rsidR="00CF50ED" w:rsidRPr="00CB1118" w:rsidRDefault="00CF50ED" w:rsidP="008B7F83">
            <w:pPr>
              <w:pStyle w:val="mhb1"/>
              <w:tabs>
                <w:tab w:val="clear" w:pos="567"/>
              </w:tabs>
              <w:spacing w:before="0"/>
              <w:rPr>
                <w:b w:val="0"/>
                <w:sz w:val="20"/>
              </w:rPr>
            </w:pPr>
            <w:r>
              <w:rPr>
                <w:b w:val="0"/>
                <w:sz w:val="20"/>
              </w:rPr>
              <w:t>Work</w:t>
            </w:r>
            <w:r w:rsidRPr="00CB1118">
              <w:rPr>
                <w:b w:val="0"/>
                <w:sz w:val="20"/>
              </w:rPr>
              <w:t xml:space="preserve"> health and safety (</w:t>
            </w:r>
            <w:r>
              <w:rPr>
                <w:b w:val="0"/>
                <w:sz w:val="20"/>
              </w:rPr>
              <w:t>Schedule 2, Part 4</w:t>
            </w:r>
            <w:r w:rsidRPr="00CB1118">
              <w:rPr>
                <w:b w:val="0"/>
                <w:sz w:val="20"/>
              </w:rPr>
              <w:t xml:space="preserve"> of the </w:t>
            </w:r>
            <w:r>
              <w:rPr>
                <w:b w:val="0"/>
                <w:i/>
                <w:sz w:val="20"/>
              </w:rPr>
              <w:t>Work</w:t>
            </w:r>
            <w:r w:rsidRPr="00CB1118">
              <w:rPr>
                <w:b w:val="0"/>
                <w:i/>
                <w:sz w:val="20"/>
              </w:rPr>
              <w:t xml:space="preserve"> Health and</w:t>
            </w:r>
            <w:r>
              <w:rPr>
                <w:b w:val="0"/>
                <w:i/>
                <w:sz w:val="20"/>
              </w:rPr>
              <w:t xml:space="preserve"> Safety</w:t>
            </w:r>
            <w:r w:rsidRPr="00CB1118">
              <w:rPr>
                <w:b w:val="0"/>
                <w:i/>
                <w:sz w:val="20"/>
              </w:rPr>
              <w:t xml:space="preserve"> Act </w:t>
            </w:r>
            <w:r>
              <w:rPr>
                <w:b w:val="0"/>
                <w:i/>
                <w:sz w:val="20"/>
              </w:rPr>
              <w:t>2011</w:t>
            </w:r>
            <w:r w:rsidRPr="002F4DFE">
              <w:rPr>
                <w:b w:val="0"/>
                <w:sz w:val="20"/>
              </w:rPr>
              <w:t>)</w:t>
            </w:r>
          </w:p>
        </w:tc>
        <w:tc>
          <w:tcPr>
            <w:tcW w:w="1275" w:type="dxa"/>
          </w:tcPr>
          <w:p w:rsidR="00CF50ED" w:rsidRPr="00CB1118" w:rsidRDefault="00CF50ED" w:rsidP="008B7F83">
            <w:pPr>
              <w:pStyle w:val="mhb1"/>
              <w:tabs>
                <w:tab w:val="clear" w:pos="567"/>
              </w:tabs>
              <w:spacing w:before="0"/>
              <w:rPr>
                <w:b w:val="0"/>
                <w:sz w:val="20"/>
              </w:rPr>
            </w:pPr>
            <w:r w:rsidRPr="00CB1118">
              <w:rPr>
                <w:b w:val="0"/>
                <w:sz w:val="20"/>
              </w:rPr>
              <w:t>Mandatory</w:t>
            </w:r>
          </w:p>
        </w:tc>
        <w:tc>
          <w:tcPr>
            <w:tcW w:w="1134" w:type="dxa"/>
          </w:tcPr>
          <w:p w:rsidR="00CF50ED" w:rsidRPr="00EE0730" w:rsidRDefault="00CF50ED" w:rsidP="008B7F83">
            <w:pPr>
              <w:pStyle w:val="mhb1"/>
              <w:tabs>
                <w:tab w:val="clear" w:pos="567"/>
              </w:tabs>
              <w:spacing w:before="0"/>
              <w:rPr>
                <w:b w:val="0"/>
                <w:sz w:val="16"/>
                <w:szCs w:val="16"/>
              </w:rPr>
            </w:pPr>
            <w:r>
              <w:rPr>
                <w:b w:val="0"/>
                <w:sz w:val="16"/>
                <w:szCs w:val="16"/>
              </w:rPr>
              <w:t>Chapter 4</w:t>
            </w:r>
          </w:p>
        </w:tc>
      </w:tr>
      <w:tr w:rsidR="00CF50ED" w:rsidTr="002D48EF">
        <w:trPr>
          <w:cantSplit/>
          <w:trHeight w:val="50"/>
        </w:trPr>
        <w:tc>
          <w:tcPr>
            <w:tcW w:w="908" w:type="dxa"/>
          </w:tcPr>
          <w:p w:rsidR="00CF50ED" w:rsidRDefault="00CF50ED" w:rsidP="008B7F83">
            <w:pPr>
              <w:pStyle w:val="mhb1"/>
              <w:tabs>
                <w:tab w:val="clear" w:pos="567"/>
              </w:tabs>
              <w:spacing w:before="0"/>
              <w:jc w:val="center"/>
              <w:rPr>
                <w:b w:val="0"/>
                <w:sz w:val="16"/>
              </w:rPr>
            </w:pPr>
          </w:p>
        </w:tc>
        <w:tc>
          <w:tcPr>
            <w:tcW w:w="760" w:type="dxa"/>
          </w:tcPr>
          <w:p w:rsidR="00CF50ED" w:rsidRDefault="00CF50ED" w:rsidP="008B7F83">
            <w:pPr>
              <w:pStyle w:val="mhb1"/>
              <w:tabs>
                <w:tab w:val="clear" w:pos="567"/>
              </w:tabs>
              <w:spacing w:before="0"/>
              <w:jc w:val="center"/>
              <w:rPr>
                <w:b w:val="0"/>
                <w:sz w:val="20"/>
              </w:rPr>
            </w:pPr>
          </w:p>
        </w:tc>
        <w:tc>
          <w:tcPr>
            <w:tcW w:w="3351" w:type="dxa"/>
          </w:tcPr>
          <w:p w:rsidR="00CF50ED" w:rsidRPr="00CB1118" w:rsidRDefault="00CF50ED" w:rsidP="008B7F83">
            <w:pPr>
              <w:pStyle w:val="mhb1"/>
              <w:tabs>
                <w:tab w:val="clear" w:pos="567"/>
              </w:tabs>
              <w:spacing w:before="0"/>
              <w:rPr>
                <w:b w:val="0"/>
                <w:sz w:val="20"/>
              </w:rPr>
            </w:pPr>
            <w:r w:rsidRPr="00CB1118">
              <w:rPr>
                <w:b w:val="0"/>
                <w:sz w:val="20"/>
              </w:rPr>
              <w:t>Ecologically sustainable development and environmental performance (</w:t>
            </w:r>
            <w:r>
              <w:rPr>
                <w:b w:val="0"/>
                <w:sz w:val="20"/>
              </w:rPr>
              <w:t>s</w:t>
            </w:r>
            <w:r w:rsidRPr="00CB1118">
              <w:rPr>
                <w:b w:val="0"/>
                <w:sz w:val="20"/>
              </w:rPr>
              <w:t xml:space="preserve">ection 516A of the </w:t>
            </w:r>
            <w:r w:rsidRPr="00CB1118">
              <w:rPr>
                <w:b w:val="0"/>
                <w:i/>
                <w:sz w:val="20"/>
              </w:rPr>
              <w:t>Environment Protection and Biodiversity Conservation Act 1999</w:t>
            </w:r>
            <w:r w:rsidRPr="00CB1118">
              <w:rPr>
                <w:b w:val="0"/>
                <w:sz w:val="20"/>
              </w:rPr>
              <w:t>)</w:t>
            </w:r>
          </w:p>
        </w:tc>
        <w:tc>
          <w:tcPr>
            <w:tcW w:w="1275" w:type="dxa"/>
          </w:tcPr>
          <w:p w:rsidR="00CF50ED" w:rsidRPr="00CB1118" w:rsidRDefault="00CF50ED" w:rsidP="008B7F83">
            <w:pPr>
              <w:pStyle w:val="mhb1"/>
              <w:tabs>
                <w:tab w:val="clear" w:pos="567"/>
              </w:tabs>
              <w:spacing w:before="0"/>
              <w:rPr>
                <w:b w:val="0"/>
                <w:sz w:val="20"/>
              </w:rPr>
            </w:pPr>
            <w:r w:rsidRPr="00CB1118">
              <w:rPr>
                <w:b w:val="0"/>
                <w:sz w:val="20"/>
              </w:rPr>
              <w:t>Mandatory</w:t>
            </w:r>
          </w:p>
        </w:tc>
        <w:tc>
          <w:tcPr>
            <w:tcW w:w="1134" w:type="dxa"/>
          </w:tcPr>
          <w:p w:rsidR="00CF50ED" w:rsidRPr="00EE0730" w:rsidRDefault="00CF50ED" w:rsidP="008B7F83">
            <w:pPr>
              <w:pStyle w:val="mhb1"/>
              <w:tabs>
                <w:tab w:val="clear" w:pos="567"/>
              </w:tabs>
              <w:spacing w:before="0"/>
              <w:rPr>
                <w:b w:val="0"/>
                <w:sz w:val="16"/>
                <w:szCs w:val="16"/>
              </w:rPr>
            </w:pPr>
            <w:r>
              <w:rPr>
                <w:b w:val="0"/>
                <w:sz w:val="16"/>
                <w:szCs w:val="16"/>
              </w:rPr>
              <w:t>Chapter 6 and Appendix C</w:t>
            </w:r>
          </w:p>
        </w:tc>
      </w:tr>
    </w:tbl>
    <w:p w:rsidR="00444B88" w:rsidRDefault="00444B88" w:rsidP="00DC7B00">
      <w:pPr>
        <w:spacing w:before="120"/>
        <w:rPr>
          <w:rFonts w:ascii="Arial" w:hAnsi="Arial" w:cs="Arial"/>
          <w:sz w:val="16"/>
          <w:szCs w:val="16"/>
        </w:rPr>
        <w:sectPr w:rsidR="00444B88" w:rsidSect="00D56569">
          <w:headerReference w:type="even" r:id="rId139"/>
          <w:headerReference w:type="default" r:id="rId140"/>
          <w:pgSz w:w="11907" w:h="16839" w:code="9"/>
          <w:pgMar w:top="1134" w:right="2410" w:bottom="4253" w:left="2410" w:header="510" w:footer="3402" w:gutter="0"/>
          <w:cols w:space="709"/>
          <w:docGrid w:linePitch="326"/>
        </w:sectPr>
      </w:pPr>
    </w:p>
    <w:p w:rsidR="000352B8" w:rsidRDefault="000352B8" w:rsidP="000352B8">
      <w:pPr>
        <w:pStyle w:val="Head2"/>
      </w:pPr>
      <w:bookmarkStart w:id="133" w:name="_Toc463613765"/>
      <w:r>
        <w:t>Glossary</w:t>
      </w:r>
      <w:bookmarkEnd w:id="133"/>
    </w:p>
    <w:tbl>
      <w:tblPr>
        <w:tblW w:w="0" w:type="auto"/>
        <w:tblLook w:val="0000" w:firstRow="0" w:lastRow="0" w:firstColumn="0" w:lastColumn="0" w:noHBand="0" w:noVBand="0"/>
      </w:tblPr>
      <w:tblGrid>
        <w:gridCol w:w="1809"/>
        <w:gridCol w:w="5494"/>
      </w:tblGrid>
      <w:tr w:rsidR="000352B8" w:rsidTr="00EC53A6">
        <w:trPr>
          <w:trHeight w:hRule="exact" w:val="454"/>
        </w:trPr>
        <w:tc>
          <w:tcPr>
            <w:tcW w:w="1809" w:type="dxa"/>
          </w:tcPr>
          <w:p w:rsidR="000352B8" w:rsidRDefault="000352B8" w:rsidP="00082D5A">
            <w:pPr>
              <w:pStyle w:val="Body"/>
              <w:spacing w:before="180"/>
              <w:rPr>
                <w:b/>
                <w:i/>
              </w:rPr>
            </w:pPr>
            <w:r>
              <w:rPr>
                <w:b/>
                <w:i/>
              </w:rPr>
              <w:t>AASB</w:t>
            </w:r>
          </w:p>
        </w:tc>
        <w:tc>
          <w:tcPr>
            <w:tcW w:w="5494" w:type="dxa"/>
          </w:tcPr>
          <w:p w:rsidR="000352B8" w:rsidRDefault="000352B8" w:rsidP="00082D5A">
            <w:pPr>
              <w:pStyle w:val="Body"/>
              <w:spacing w:before="180"/>
            </w:pPr>
            <w:r>
              <w:t>Australian Accounting Standards Board</w:t>
            </w:r>
          </w:p>
        </w:tc>
      </w:tr>
      <w:tr w:rsidR="000352B8" w:rsidTr="00EC53A6">
        <w:trPr>
          <w:trHeight w:hRule="exact" w:val="454"/>
        </w:trPr>
        <w:tc>
          <w:tcPr>
            <w:tcW w:w="1809" w:type="dxa"/>
          </w:tcPr>
          <w:p w:rsidR="000352B8" w:rsidRDefault="000352B8" w:rsidP="00082D5A">
            <w:pPr>
              <w:pStyle w:val="Body"/>
              <w:spacing w:before="180"/>
              <w:rPr>
                <w:b/>
                <w:i/>
              </w:rPr>
            </w:pPr>
            <w:r>
              <w:rPr>
                <w:b/>
                <w:i/>
              </w:rPr>
              <w:t>ACT</w:t>
            </w:r>
          </w:p>
        </w:tc>
        <w:tc>
          <w:tcPr>
            <w:tcW w:w="5494" w:type="dxa"/>
          </w:tcPr>
          <w:p w:rsidR="000352B8" w:rsidRDefault="000352B8" w:rsidP="00082D5A">
            <w:pPr>
              <w:pStyle w:val="Body"/>
              <w:spacing w:before="180"/>
            </w:pPr>
            <w:r>
              <w:t>Australian Capital Territory</w:t>
            </w:r>
          </w:p>
        </w:tc>
      </w:tr>
      <w:tr w:rsidR="003B0CF6" w:rsidTr="00EC53A6">
        <w:trPr>
          <w:trHeight w:hRule="exact" w:val="454"/>
        </w:trPr>
        <w:tc>
          <w:tcPr>
            <w:tcW w:w="1809" w:type="dxa"/>
          </w:tcPr>
          <w:p w:rsidR="003B0CF6" w:rsidRDefault="003B0CF6" w:rsidP="00082D5A">
            <w:pPr>
              <w:pStyle w:val="Body"/>
              <w:spacing w:before="180"/>
              <w:rPr>
                <w:b/>
                <w:i/>
              </w:rPr>
            </w:pPr>
            <w:r>
              <w:rPr>
                <w:b/>
                <w:i/>
              </w:rPr>
              <w:t>AGD</w:t>
            </w:r>
          </w:p>
        </w:tc>
        <w:tc>
          <w:tcPr>
            <w:tcW w:w="5494" w:type="dxa"/>
          </w:tcPr>
          <w:p w:rsidR="003B0CF6" w:rsidRDefault="003B0CF6" w:rsidP="00082D5A">
            <w:pPr>
              <w:pStyle w:val="Body"/>
              <w:spacing w:before="180"/>
            </w:pPr>
            <w:r>
              <w:t>Attorney-General’s Department</w:t>
            </w:r>
          </w:p>
        </w:tc>
      </w:tr>
      <w:tr w:rsidR="000352B8" w:rsidTr="00EC53A6">
        <w:trPr>
          <w:trHeight w:hRule="exact" w:val="454"/>
        </w:trPr>
        <w:tc>
          <w:tcPr>
            <w:tcW w:w="1809" w:type="dxa"/>
          </w:tcPr>
          <w:p w:rsidR="000352B8" w:rsidRDefault="000352B8" w:rsidP="00082D5A">
            <w:pPr>
              <w:pStyle w:val="Body"/>
              <w:spacing w:before="180"/>
              <w:rPr>
                <w:b/>
                <w:i/>
              </w:rPr>
            </w:pPr>
            <w:r>
              <w:rPr>
                <w:b/>
                <w:i/>
              </w:rPr>
              <w:t>ANAO</w:t>
            </w:r>
          </w:p>
        </w:tc>
        <w:tc>
          <w:tcPr>
            <w:tcW w:w="5494" w:type="dxa"/>
          </w:tcPr>
          <w:p w:rsidR="000352B8" w:rsidRDefault="000352B8" w:rsidP="00082D5A">
            <w:pPr>
              <w:pStyle w:val="Body"/>
              <w:spacing w:before="180"/>
            </w:pPr>
            <w:r>
              <w:t>Australian National Audit Office</w:t>
            </w:r>
          </w:p>
        </w:tc>
      </w:tr>
      <w:tr w:rsidR="004C0F06" w:rsidTr="00EC53A6">
        <w:trPr>
          <w:trHeight w:hRule="exact" w:val="765"/>
        </w:trPr>
        <w:tc>
          <w:tcPr>
            <w:tcW w:w="1809" w:type="dxa"/>
          </w:tcPr>
          <w:p w:rsidR="004C0F06" w:rsidRDefault="004C0F06" w:rsidP="004C0F06">
            <w:pPr>
              <w:pStyle w:val="Body"/>
              <w:spacing w:before="180"/>
              <w:rPr>
                <w:b/>
                <w:i/>
              </w:rPr>
            </w:pPr>
            <w:r>
              <w:rPr>
                <w:b/>
                <w:i/>
              </w:rPr>
              <w:t>APS</w:t>
            </w:r>
          </w:p>
        </w:tc>
        <w:tc>
          <w:tcPr>
            <w:tcW w:w="5494" w:type="dxa"/>
          </w:tcPr>
          <w:p w:rsidR="004C0F06" w:rsidRDefault="004C0F06" w:rsidP="00AF3F7F">
            <w:pPr>
              <w:pStyle w:val="Body"/>
              <w:spacing w:before="180"/>
            </w:pPr>
            <w:r>
              <w:t>Australian Public Service (OPC staff below Executive Level are classified as APS 1 to 6)</w:t>
            </w:r>
          </w:p>
        </w:tc>
      </w:tr>
      <w:tr w:rsidR="00C36B60" w:rsidTr="00AF3F7F">
        <w:trPr>
          <w:trHeight w:hRule="exact" w:val="454"/>
        </w:trPr>
        <w:tc>
          <w:tcPr>
            <w:tcW w:w="1809" w:type="dxa"/>
          </w:tcPr>
          <w:p w:rsidR="00C36B60" w:rsidRDefault="00C36B60" w:rsidP="004C0F06">
            <w:pPr>
              <w:pStyle w:val="Body"/>
              <w:spacing w:before="180"/>
              <w:rPr>
                <w:b/>
                <w:i/>
              </w:rPr>
            </w:pPr>
            <w:r>
              <w:rPr>
                <w:b/>
                <w:i/>
              </w:rPr>
              <w:t>APSC</w:t>
            </w:r>
          </w:p>
        </w:tc>
        <w:tc>
          <w:tcPr>
            <w:tcW w:w="5494" w:type="dxa"/>
          </w:tcPr>
          <w:p w:rsidR="00C36B60" w:rsidRDefault="00C36B60" w:rsidP="004C0F06">
            <w:pPr>
              <w:pStyle w:val="Body"/>
              <w:spacing w:before="180"/>
            </w:pPr>
            <w:r>
              <w:t>Australian Public Service Commission</w:t>
            </w:r>
          </w:p>
        </w:tc>
      </w:tr>
      <w:tr w:rsidR="004C0F06" w:rsidTr="00EC53A6">
        <w:trPr>
          <w:trHeight w:hRule="exact" w:val="454"/>
        </w:trPr>
        <w:tc>
          <w:tcPr>
            <w:tcW w:w="1809" w:type="dxa"/>
          </w:tcPr>
          <w:p w:rsidR="004C0F06" w:rsidRDefault="004C0F06" w:rsidP="00082D5A">
            <w:pPr>
              <w:pStyle w:val="Body"/>
              <w:spacing w:before="180"/>
              <w:rPr>
                <w:b/>
                <w:i/>
              </w:rPr>
            </w:pPr>
            <w:r>
              <w:rPr>
                <w:b/>
                <w:i/>
              </w:rPr>
              <w:t>assistant drafter</w:t>
            </w:r>
          </w:p>
        </w:tc>
        <w:tc>
          <w:tcPr>
            <w:tcW w:w="5494" w:type="dxa"/>
          </w:tcPr>
          <w:p w:rsidR="004C0F06" w:rsidRDefault="004C0F06" w:rsidP="00082D5A">
            <w:pPr>
              <w:pStyle w:val="Body"/>
              <w:spacing w:before="180"/>
            </w:pPr>
            <w:r>
              <w:t>a drafter other than a senior drafter</w:t>
            </w:r>
          </w:p>
        </w:tc>
      </w:tr>
      <w:tr w:rsidR="00DE3137" w:rsidTr="00EC53A6">
        <w:trPr>
          <w:trHeight w:hRule="exact" w:val="454"/>
        </w:trPr>
        <w:tc>
          <w:tcPr>
            <w:tcW w:w="1809" w:type="dxa"/>
          </w:tcPr>
          <w:p w:rsidR="00DE3137" w:rsidRDefault="00051B62" w:rsidP="00082D5A">
            <w:pPr>
              <w:pStyle w:val="Body"/>
              <w:spacing w:before="180"/>
              <w:rPr>
                <w:b/>
                <w:i/>
              </w:rPr>
            </w:pPr>
            <w:r>
              <w:rPr>
                <w:b/>
                <w:i/>
              </w:rPr>
              <w:t>ExCo</w:t>
            </w:r>
          </w:p>
        </w:tc>
        <w:tc>
          <w:tcPr>
            <w:tcW w:w="5494" w:type="dxa"/>
          </w:tcPr>
          <w:p w:rsidR="00DE3137" w:rsidRDefault="00051B62" w:rsidP="00082D5A">
            <w:pPr>
              <w:pStyle w:val="Body"/>
              <w:spacing w:before="180"/>
            </w:pPr>
            <w:r>
              <w:t>Federal Executive Council</w:t>
            </w:r>
          </w:p>
        </w:tc>
      </w:tr>
      <w:tr w:rsidR="00AF4A39" w:rsidTr="00EC53A6">
        <w:trPr>
          <w:trHeight w:hRule="exact" w:val="454"/>
        </w:trPr>
        <w:tc>
          <w:tcPr>
            <w:tcW w:w="1809" w:type="dxa"/>
          </w:tcPr>
          <w:p w:rsidR="00AF4A39" w:rsidRDefault="00AF4A39" w:rsidP="00082D5A">
            <w:pPr>
              <w:pStyle w:val="Body"/>
              <w:spacing w:before="180"/>
              <w:rPr>
                <w:b/>
                <w:i/>
              </w:rPr>
            </w:pPr>
            <w:r>
              <w:rPr>
                <w:b/>
                <w:i/>
              </w:rPr>
              <w:t>FOI Act</w:t>
            </w:r>
          </w:p>
        </w:tc>
        <w:tc>
          <w:tcPr>
            <w:tcW w:w="5494" w:type="dxa"/>
          </w:tcPr>
          <w:p w:rsidR="00AF4A39" w:rsidRPr="00AF4A39" w:rsidRDefault="00AF4A39" w:rsidP="00082D5A">
            <w:pPr>
              <w:pStyle w:val="Body"/>
              <w:spacing w:before="180"/>
              <w:rPr>
                <w:i/>
              </w:rPr>
            </w:pPr>
            <w:r w:rsidRPr="00AF4A39">
              <w:rPr>
                <w:i/>
              </w:rPr>
              <w:t>Freedom of Information Act 1982</w:t>
            </w:r>
          </w:p>
        </w:tc>
      </w:tr>
      <w:tr w:rsidR="004C0F06" w:rsidTr="00EC53A6">
        <w:trPr>
          <w:trHeight w:hRule="exact" w:val="454"/>
        </w:trPr>
        <w:tc>
          <w:tcPr>
            <w:tcW w:w="1809" w:type="dxa"/>
          </w:tcPr>
          <w:p w:rsidR="004C0F06" w:rsidRDefault="004C0F06" w:rsidP="00082D5A">
            <w:pPr>
              <w:pStyle w:val="Body"/>
              <w:spacing w:before="180"/>
              <w:rPr>
                <w:b/>
                <w:i/>
              </w:rPr>
            </w:pPr>
            <w:r>
              <w:rPr>
                <w:b/>
                <w:i/>
              </w:rPr>
              <w:t>FPC</w:t>
            </w:r>
          </w:p>
        </w:tc>
        <w:tc>
          <w:tcPr>
            <w:tcW w:w="5494" w:type="dxa"/>
          </w:tcPr>
          <w:p w:rsidR="004C0F06" w:rsidRDefault="004C0F06" w:rsidP="00082D5A">
            <w:pPr>
              <w:pStyle w:val="Body"/>
              <w:spacing w:before="180"/>
            </w:pPr>
            <w:r>
              <w:t>First Parliamentary Counsel</w:t>
            </w:r>
          </w:p>
        </w:tc>
      </w:tr>
      <w:tr w:rsidR="00AF4A39" w:rsidTr="00EC53A6">
        <w:trPr>
          <w:trHeight w:hRule="exact" w:val="454"/>
        </w:trPr>
        <w:tc>
          <w:tcPr>
            <w:tcW w:w="1809" w:type="dxa"/>
          </w:tcPr>
          <w:p w:rsidR="00AF4A39" w:rsidRDefault="00AF4A39" w:rsidP="00082D5A">
            <w:pPr>
              <w:pStyle w:val="Body"/>
              <w:spacing w:before="180"/>
              <w:rPr>
                <w:b/>
                <w:i/>
              </w:rPr>
            </w:pPr>
            <w:r>
              <w:rPr>
                <w:b/>
                <w:i/>
              </w:rPr>
              <w:t>IPS</w:t>
            </w:r>
          </w:p>
        </w:tc>
        <w:tc>
          <w:tcPr>
            <w:tcW w:w="5494" w:type="dxa"/>
          </w:tcPr>
          <w:p w:rsidR="00AF4A39" w:rsidRDefault="00AF4A39" w:rsidP="00082D5A">
            <w:pPr>
              <w:pStyle w:val="Body"/>
              <w:spacing w:before="180"/>
            </w:pPr>
            <w:r>
              <w:t>Information Publication Scheme</w:t>
            </w:r>
          </w:p>
        </w:tc>
      </w:tr>
      <w:tr w:rsidR="004C0F06" w:rsidTr="00EC53A6">
        <w:trPr>
          <w:trHeight w:hRule="exact" w:val="454"/>
        </w:trPr>
        <w:tc>
          <w:tcPr>
            <w:tcW w:w="1809" w:type="dxa"/>
          </w:tcPr>
          <w:p w:rsidR="004C0F06" w:rsidRDefault="004C0F06" w:rsidP="00082D5A">
            <w:pPr>
              <w:pStyle w:val="Body"/>
              <w:spacing w:before="180"/>
              <w:rPr>
                <w:b/>
                <w:i/>
              </w:rPr>
            </w:pPr>
            <w:r>
              <w:rPr>
                <w:b/>
                <w:i/>
              </w:rPr>
              <w:t>IT</w:t>
            </w:r>
          </w:p>
        </w:tc>
        <w:tc>
          <w:tcPr>
            <w:tcW w:w="5494" w:type="dxa"/>
          </w:tcPr>
          <w:p w:rsidR="004C0F06" w:rsidRDefault="004C0F06" w:rsidP="00082D5A">
            <w:pPr>
              <w:pStyle w:val="Body"/>
              <w:spacing w:before="180"/>
            </w:pPr>
            <w:r>
              <w:t>information technology</w:t>
            </w:r>
          </w:p>
        </w:tc>
      </w:tr>
      <w:tr w:rsidR="00AF4A39" w:rsidTr="00984C60">
        <w:trPr>
          <w:trHeight w:hRule="exact" w:val="473"/>
        </w:trPr>
        <w:tc>
          <w:tcPr>
            <w:tcW w:w="1809" w:type="dxa"/>
          </w:tcPr>
          <w:p w:rsidR="00AF4A39" w:rsidRDefault="00984C60" w:rsidP="00082D5A">
            <w:pPr>
              <w:pStyle w:val="Body"/>
              <w:spacing w:before="180"/>
              <w:rPr>
                <w:b/>
                <w:i/>
              </w:rPr>
            </w:pPr>
            <w:r>
              <w:rPr>
                <w:b/>
                <w:i/>
              </w:rPr>
              <w:t>Legislation Act</w:t>
            </w:r>
          </w:p>
        </w:tc>
        <w:tc>
          <w:tcPr>
            <w:tcW w:w="5494" w:type="dxa"/>
          </w:tcPr>
          <w:p w:rsidR="00AF4A39" w:rsidRPr="00984C60" w:rsidRDefault="00984C60" w:rsidP="00D433ED">
            <w:pPr>
              <w:pStyle w:val="Body"/>
              <w:spacing w:before="180"/>
              <w:rPr>
                <w:i/>
              </w:rPr>
            </w:pPr>
            <w:r w:rsidRPr="00984C60">
              <w:rPr>
                <w:i/>
              </w:rPr>
              <w:t>Legislation Act 2003</w:t>
            </w:r>
          </w:p>
        </w:tc>
      </w:tr>
      <w:tr w:rsidR="00984C60" w:rsidTr="00984C60">
        <w:trPr>
          <w:trHeight w:hRule="exact" w:val="849"/>
        </w:trPr>
        <w:tc>
          <w:tcPr>
            <w:tcW w:w="1809" w:type="dxa"/>
          </w:tcPr>
          <w:p w:rsidR="00984C60" w:rsidRDefault="00984C60" w:rsidP="00082D5A">
            <w:pPr>
              <w:pStyle w:val="Body"/>
              <w:spacing w:before="180"/>
              <w:rPr>
                <w:b/>
                <w:i/>
              </w:rPr>
            </w:pPr>
            <w:r>
              <w:rPr>
                <w:b/>
                <w:i/>
              </w:rPr>
              <w:t>Legislation Register</w:t>
            </w:r>
          </w:p>
        </w:tc>
        <w:tc>
          <w:tcPr>
            <w:tcW w:w="5494" w:type="dxa"/>
          </w:tcPr>
          <w:p w:rsidR="00984C60" w:rsidRPr="00984C60" w:rsidRDefault="00984C60" w:rsidP="00D433ED">
            <w:pPr>
              <w:pStyle w:val="Body"/>
              <w:spacing w:before="180"/>
            </w:pPr>
            <w:r>
              <w:t>Federal Register of Legislation</w:t>
            </w:r>
          </w:p>
        </w:tc>
      </w:tr>
      <w:tr w:rsidR="007B1B58" w:rsidTr="00984C60">
        <w:trPr>
          <w:trHeight w:hRule="exact" w:val="563"/>
        </w:trPr>
        <w:tc>
          <w:tcPr>
            <w:tcW w:w="1809" w:type="dxa"/>
          </w:tcPr>
          <w:p w:rsidR="007B1B58" w:rsidRDefault="007B1B58" w:rsidP="00082D5A">
            <w:pPr>
              <w:pStyle w:val="Body"/>
              <w:spacing w:before="180"/>
              <w:rPr>
                <w:b/>
                <w:i/>
              </w:rPr>
            </w:pPr>
            <w:r>
              <w:rPr>
                <w:b/>
                <w:i/>
              </w:rPr>
              <w:t>LIA</w:t>
            </w:r>
          </w:p>
        </w:tc>
        <w:tc>
          <w:tcPr>
            <w:tcW w:w="5494" w:type="dxa"/>
          </w:tcPr>
          <w:p w:rsidR="007B1B58" w:rsidRPr="007B1B58" w:rsidRDefault="007B1B58" w:rsidP="00082D5A">
            <w:pPr>
              <w:pStyle w:val="Body"/>
              <w:spacing w:before="180"/>
              <w:rPr>
                <w:i/>
              </w:rPr>
            </w:pPr>
            <w:r>
              <w:rPr>
                <w:i/>
              </w:rPr>
              <w:t>Legislative Instruments Act 2003</w:t>
            </w:r>
          </w:p>
        </w:tc>
      </w:tr>
      <w:tr w:rsidR="004C0F06" w:rsidTr="00EC53A6">
        <w:trPr>
          <w:trHeight w:hRule="exact" w:val="454"/>
        </w:trPr>
        <w:tc>
          <w:tcPr>
            <w:tcW w:w="1809" w:type="dxa"/>
          </w:tcPr>
          <w:p w:rsidR="004C0F06" w:rsidRDefault="004C0F06" w:rsidP="00082D5A">
            <w:pPr>
              <w:pStyle w:val="Body"/>
              <w:spacing w:before="180"/>
              <w:rPr>
                <w:b/>
                <w:i/>
              </w:rPr>
            </w:pPr>
            <w:r>
              <w:rPr>
                <w:b/>
                <w:i/>
              </w:rPr>
              <w:t>OPC</w:t>
            </w:r>
          </w:p>
        </w:tc>
        <w:tc>
          <w:tcPr>
            <w:tcW w:w="5494" w:type="dxa"/>
          </w:tcPr>
          <w:p w:rsidR="004C0F06" w:rsidRDefault="004C0F06" w:rsidP="00082D5A">
            <w:pPr>
              <w:pStyle w:val="Body"/>
              <w:spacing w:before="180"/>
            </w:pPr>
            <w:r>
              <w:t>Office of Parliamentary Counsel</w:t>
            </w:r>
          </w:p>
        </w:tc>
      </w:tr>
      <w:tr w:rsidR="004C0F06" w:rsidTr="00AF4A39">
        <w:trPr>
          <w:trHeight w:hRule="exact" w:val="794"/>
        </w:trPr>
        <w:tc>
          <w:tcPr>
            <w:tcW w:w="1809" w:type="dxa"/>
          </w:tcPr>
          <w:p w:rsidR="004C0F06" w:rsidRDefault="004C0F06" w:rsidP="00082D5A">
            <w:pPr>
              <w:pStyle w:val="Body"/>
              <w:spacing w:before="180"/>
              <w:rPr>
                <w:b/>
                <w:i/>
              </w:rPr>
            </w:pPr>
            <w:r>
              <w:rPr>
                <w:b/>
                <w:i/>
              </w:rPr>
              <w:t>PBC</w:t>
            </w:r>
          </w:p>
        </w:tc>
        <w:tc>
          <w:tcPr>
            <w:tcW w:w="5494" w:type="dxa"/>
          </w:tcPr>
          <w:p w:rsidR="004C0F06" w:rsidRDefault="004C0F06" w:rsidP="00082D5A">
            <w:pPr>
              <w:pStyle w:val="Body"/>
              <w:spacing w:before="180"/>
            </w:pPr>
            <w:r>
              <w:t>Parliamentary Business Committee (a committee of the Cabinet)</w:t>
            </w:r>
          </w:p>
        </w:tc>
      </w:tr>
      <w:tr w:rsidR="004C0F06" w:rsidTr="007B1B58">
        <w:trPr>
          <w:trHeight w:hRule="exact" w:val="487"/>
        </w:trPr>
        <w:tc>
          <w:tcPr>
            <w:tcW w:w="1809" w:type="dxa"/>
          </w:tcPr>
          <w:p w:rsidR="004C0F06" w:rsidRDefault="004C0F06" w:rsidP="00082D5A">
            <w:pPr>
              <w:pStyle w:val="Body"/>
              <w:spacing w:before="180"/>
              <w:rPr>
                <w:b/>
                <w:i/>
              </w:rPr>
            </w:pPr>
            <w:r>
              <w:rPr>
                <w:b/>
                <w:i/>
              </w:rPr>
              <w:t>PBS</w:t>
            </w:r>
          </w:p>
        </w:tc>
        <w:tc>
          <w:tcPr>
            <w:tcW w:w="5494" w:type="dxa"/>
          </w:tcPr>
          <w:p w:rsidR="004C0F06" w:rsidRDefault="004C0F06" w:rsidP="00082D5A">
            <w:pPr>
              <w:pStyle w:val="Body"/>
              <w:spacing w:before="180"/>
            </w:pPr>
            <w:r>
              <w:t>Portfolio Budget Statement</w:t>
            </w:r>
          </w:p>
        </w:tc>
      </w:tr>
      <w:tr w:rsidR="00090B37" w:rsidTr="00090B37">
        <w:trPr>
          <w:trHeight w:hRule="exact" w:val="815"/>
        </w:trPr>
        <w:tc>
          <w:tcPr>
            <w:tcW w:w="1809" w:type="dxa"/>
          </w:tcPr>
          <w:p w:rsidR="00090B37" w:rsidRDefault="00090B37" w:rsidP="00082D5A">
            <w:pPr>
              <w:pStyle w:val="Body"/>
              <w:spacing w:before="180"/>
              <w:rPr>
                <w:b/>
                <w:i/>
              </w:rPr>
            </w:pPr>
            <w:r>
              <w:rPr>
                <w:b/>
                <w:i/>
              </w:rPr>
              <w:t>PGPA Act</w:t>
            </w:r>
          </w:p>
        </w:tc>
        <w:tc>
          <w:tcPr>
            <w:tcW w:w="5494" w:type="dxa"/>
          </w:tcPr>
          <w:p w:rsidR="00090B37" w:rsidRPr="00090B37" w:rsidRDefault="00090B37" w:rsidP="00082D5A">
            <w:pPr>
              <w:pStyle w:val="Body"/>
              <w:spacing w:before="180"/>
              <w:rPr>
                <w:i/>
              </w:rPr>
            </w:pPr>
            <w:r>
              <w:rPr>
                <w:i/>
              </w:rPr>
              <w:t>Public Governance, Performance and Accountability Act 2013</w:t>
            </w:r>
          </w:p>
        </w:tc>
      </w:tr>
      <w:tr w:rsidR="00090B37" w:rsidTr="008B7F83">
        <w:trPr>
          <w:trHeight w:hRule="exact" w:val="815"/>
        </w:trPr>
        <w:tc>
          <w:tcPr>
            <w:tcW w:w="1809" w:type="dxa"/>
          </w:tcPr>
          <w:p w:rsidR="00090B37" w:rsidRDefault="00090B37" w:rsidP="00090B37">
            <w:pPr>
              <w:pStyle w:val="Body"/>
              <w:spacing w:before="180"/>
              <w:rPr>
                <w:b/>
                <w:i/>
              </w:rPr>
            </w:pPr>
            <w:r>
              <w:rPr>
                <w:b/>
                <w:i/>
              </w:rPr>
              <w:t>PGPA Rule</w:t>
            </w:r>
          </w:p>
        </w:tc>
        <w:tc>
          <w:tcPr>
            <w:tcW w:w="5494" w:type="dxa"/>
          </w:tcPr>
          <w:p w:rsidR="00090B37" w:rsidRPr="00090B37" w:rsidRDefault="00090B37" w:rsidP="00090B37">
            <w:pPr>
              <w:pStyle w:val="Body"/>
              <w:spacing w:before="180"/>
              <w:rPr>
                <w:i/>
              </w:rPr>
            </w:pPr>
            <w:r>
              <w:rPr>
                <w:i/>
              </w:rPr>
              <w:t>Public Governance, Performance and Accountability Rule 2014</w:t>
            </w:r>
          </w:p>
        </w:tc>
      </w:tr>
      <w:tr w:rsidR="00DE3137" w:rsidTr="00EC53A6">
        <w:trPr>
          <w:trHeight w:hRule="exact" w:val="454"/>
        </w:trPr>
        <w:tc>
          <w:tcPr>
            <w:tcW w:w="1809" w:type="dxa"/>
          </w:tcPr>
          <w:p w:rsidR="00DE3137" w:rsidRDefault="00DE3137" w:rsidP="00082D5A">
            <w:pPr>
              <w:pStyle w:val="Body"/>
              <w:spacing w:before="180"/>
              <w:rPr>
                <w:b/>
                <w:i/>
              </w:rPr>
            </w:pPr>
            <w:r>
              <w:rPr>
                <w:b/>
                <w:i/>
              </w:rPr>
              <w:t>RAP</w:t>
            </w:r>
          </w:p>
        </w:tc>
        <w:tc>
          <w:tcPr>
            <w:tcW w:w="5494" w:type="dxa"/>
          </w:tcPr>
          <w:p w:rsidR="00DE3137" w:rsidRDefault="00DE3137" w:rsidP="00082D5A">
            <w:pPr>
              <w:pStyle w:val="Body"/>
              <w:spacing w:before="180"/>
            </w:pPr>
            <w:r>
              <w:t>Reconciliation Action Plan</w:t>
            </w:r>
          </w:p>
        </w:tc>
      </w:tr>
      <w:tr w:rsidR="004C0F06" w:rsidTr="002D48EF">
        <w:trPr>
          <w:trHeight w:hRule="exact" w:val="728"/>
        </w:trPr>
        <w:tc>
          <w:tcPr>
            <w:tcW w:w="1809" w:type="dxa"/>
          </w:tcPr>
          <w:p w:rsidR="004C0F06" w:rsidRDefault="004C0F06" w:rsidP="00082D5A">
            <w:pPr>
              <w:pStyle w:val="Body"/>
              <w:spacing w:before="180"/>
              <w:rPr>
                <w:b/>
                <w:i/>
              </w:rPr>
            </w:pPr>
            <w:r>
              <w:rPr>
                <w:b/>
                <w:i/>
              </w:rPr>
              <w:t>senior drafter</w:t>
            </w:r>
          </w:p>
        </w:tc>
        <w:tc>
          <w:tcPr>
            <w:tcW w:w="5494" w:type="dxa"/>
          </w:tcPr>
          <w:p w:rsidR="004C0F06" w:rsidRDefault="004C0F06" w:rsidP="00762035">
            <w:pPr>
              <w:pStyle w:val="Body"/>
              <w:spacing w:before="180"/>
            </w:pPr>
            <w:r>
              <w:t>First Parliamentary Counsel, a Second Parliamentary Counsel</w:t>
            </w:r>
            <w:r w:rsidR="007B1B58">
              <w:t xml:space="preserve">, </w:t>
            </w:r>
            <w:r>
              <w:t>or a drafter in the SES</w:t>
            </w:r>
          </w:p>
        </w:tc>
      </w:tr>
      <w:tr w:rsidR="004C0F06" w:rsidTr="00EC53A6">
        <w:trPr>
          <w:trHeight w:hRule="exact" w:val="454"/>
        </w:trPr>
        <w:tc>
          <w:tcPr>
            <w:tcW w:w="1809" w:type="dxa"/>
          </w:tcPr>
          <w:p w:rsidR="004C0F06" w:rsidRDefault="004C0F06" w:rsidP="00082D5A">
            <w:pPr>
              <w:pStyle w:val="Body"/>
              <w:spacing w:before="180"/>
              <w:rPr>
                <w:b/>
                <w:i/>
              </w:rPr>
            </w:pPr>
            <w:r>
              <w:rPr>
                <w:b/>
                <w:i/>
              </w:rPr>
              <w:t>SES</w:t>
            </w:r>
          </w:p>
        </w:tc>
        <w:tc>
          <w:tcPr>
            <w:tcW w:w="5494" w:type="dxa"/>
          </w:tcPr>
          <w:p w:rsidR="004C0F06" w:rsidRDefault="004C0F06" w:rsidP="00082D5A">
            <w:pPr>
              <w:pStyle w:val="Body"/>
              <w:spacing w:before="180"/>
            </w:pPr>
            <w:r>
              <w:t>Senior Executive Service</w:t>
            </w:r>
          </w:p>
        </w:tc>
      </w:tr>
      <w:tr w:rsidR="00AA384C" w:rsidTr="007B1B58">
        <w:trPr>
          <w:trHeight w:hRule="exact" w:val="521"/>
        </w:trPr>
        <w:tc>
          <w:tcPr>
            <w:tcW w:w="1809" w:type="dxa"/>
          </w:tcPr>
          <w:p w:rsidR="00AA384C" w:rsidRDefault="00AA384C" w:rsidP="00082D5A">
            <w:pPr>
              <w:pStyle w:val="Body"/>
              <w:spacing w:before="180"/>
              <w:rPr>
                <w:b/>
                <w:i/>
              </w:rPr>
            </w:pPr>
            <w:r>
              <w:rPr>
                <w:b/>
                <w:i/>
              </w:rPr>
              <w:t>SLIs</w:t>
            </w:r>
          </w:p>
        </w:tc>
        <w:tc>
          <w:tcPr>
            <w:tcW w:w="5494" w:type="dxa"/>
          </w:tcPr>
          <w:p w:rsidR="00AA384C" w:rsidRDefault="00AA384C" w:rsidP="00082D5A">
            <w:pPr>
              <w:pStyle w:val="Body"/>
              <w:spacing w:before="180"/>
            </w:pPr>
            <w:r>
              <w:t>Select Legislative Instruments</w:t>
            </w:r>
          </w:p>
        </w:tc>
      </w:tr>
      <w:tr w:rsidR="00AA384C" w:rsidTr="007B1B58">
        <w:trPr>
          <w:trHeight w:hRule="exact" w:val="521"/>
        </w:trPr>
        <w:tc>
          <w:tcPr>
            <w:tcW w:w="1809" w:type="dxa"/>
          </w:tcPr>
          <w:p w:rsidR="00AA384C" w:rsidRDefault="00AA384C" w:rsidP="00082D5A">
            <w:pPr>
              <w:pStyle w:val="Body"/>
              <w:spacing w:before="180"/>
              <w:rPr>
                <w:b/>
                <w:i/>
              </w:rPr>
            </w:pPr>
            <w:r>
              <w:rPr>
                <w:b/>
                <w:i/>
              </w:rPr>
              <w:t>SME</w:t>
            </w:r>
          </w:p>
        </w:tc>
        <w:tc>
          <w:tcPr>
            <w:tcW w:w="5494" w:type="dxa"/>
          </w:tcPr>
          <w:p w:rsidR="00AA384C" w:rsidRDefault="00AA384C" w:rsidP="00082D5A">
            <w:pPr>
              <w:pStyle w:val="Body"/>
              <w:spacing w:before="180"/>
            </w:pPr>
            <w:r>
              <w:t>Small and Medium Enterprises</w:t>
            </w:r>
          </w:p>
        </w:tc>
      </w:tr>
      <w:tr w:rsidR="007B1B58" w:rsidTr="007B1B58">
        <w:trPr>
          <w:trHeight w:hRule="exact" w:val="521"/>
        </w:trPr>
        <w:tc>
          <w:tcPr>
            <w:tcW w:w="1809" w:type="dxa"/>
          </w:tcPr>
          <w:p w:rsidR="007B1B58" w:rsidRDefault="007B1B58" w:rsidP="00082D5A">
            <w:pPr>
              <w:pStyle w:val="Body"/>
              <w:spacing w:before="180"/>
              <w:rPr>
                <w:b/>
                <w:i/>
              </w:rPr>
            </w:pPr>
            <w:r>
              <w:rPr>
                <w:b/>
                <w:i/>
              </w:rPr>
              <w:t>SMT</w:t>
            </w:r>
          </w:p>
        </w:tc>
        <w:tc>
          <w:tcPr>
            <w:tcW w:w="5494" w:type="dxa"/>
          </w:tcPr>
          <w:p w:rsidR="007B1B58" w:rsidRDefault="007B1B58" w:rsidP="00082D5A">
            <w:pPr>
              <w:pStyle w:val="Body"/>
              <w:spacing w:before="180"/>
            </w:pPr>
            <w:r>
              <w:t>Senior Management Team</w:t>
            </w:r>
          </w:p>
        </w:tc>
      </w:tr>
      <w:tr w:rsidR="004C0F06" w:rsidTr="00EC53A6">
        <w:trPr>
          <w:trHeight w:hRule="exact" w:val="454"/>
        </w:trPr>
        <w:tc>
          <w:tcPr>
            <w:tcW w:w="1809" w:type="dxa"/>
          </w:tcPr>
          <w:p w:rsidR="004C0F06" w:rsidRDefault="004C0F06" w:rsidP="00C72590">
            <w:pPr>
              <w:pStyle w:val="Body"/>
              <w:spacing w:before="180"/>
              <w:rPr>
                <w:b/>
                <w:i/>
              </w:rPr>
            </w:pPr>
            <w:r>
              <w:rPr>
                <w:b/>
                <w:i/>
              </w:rPr>
              <w:t>WCC</w:t>
            </w:r>
          </w:p>
        </w:tc>
        <w:tc>
          <w:tcPr>
            <w:tcW w:w="5494" w:type="dxa"/>
          </w:tcPr>
          <w:p w:rsidR="004C0F06" w:rsidRDefault="004C0F06" w:rsidP="00C72590">
            <w:pPr>
              <w:pStyle w:val="Body"/>
              <w:spacing w:before="180"/>
            </w:pPr>
            <w:r>
              <w:t>Workplace Consultative Committee</w:t>
            </w:r>
          </w:p>
        </w:tc>
      </w:tr>
      <w:tr w:rsidR="00C36B60" w:rsidTr="007B1B58">
        <w:trPr>
          <w:trHeight w:hRule="exact" w:val="536"/>
        </w:trPr>
        <w:tc>
          <w:tcPr>
            <w:tcW w:w="1809" w:type="dxa"/>
          </w:tcPr>
          <w:p w:rsidR="00C36B60" w:rsidRDefault="00C36B60" w:rsidP="00C72590">
            <w:pPr>
              <w:pStyle w:val="Body"/>
              <w:spacing w:before="180"/>
              <w:rPr>
                <w:b/>
                <w:i/>
              </w:rPr>
            </w:pPr>
            <w:r>
              <w:rPr>
                <w:b/>
                <w:i/>
              </w:rPr>
              <w:t>WHS Act</w:t>
            </w:r>
          </w:p>
        </w:tc>
        <w:tc>
          <w:tcPr>
            <w:tcW w:w="5494" w:type="dxa"/>
          </w:tcPr>
          <w:p w:rsidR="00C36B60" w:rsidRPr="005B4D31" w:rsidRDefault="00C36B60" w:rsidP="00C72590">
            <w:pPr>
              <w:pStyle w:val="Body"/>
              <w:spacing w:before="180"/>
              <w:rPr>
                <w:i/>
              </w:rPr>
            </w:pPr>
            <w:r w:rsidRPr="005B4D31">
              <w:rPr>
                <w:i/>
              </w:rPr>
              <w:t>Work Health and Safety Act 2011</w:t>
            </w:r>
          </w:p>
        </w:tc>
      </w:tr>
    </w:tbl>
    <w:p w:rsidR="00D81F5D" w:rsidRPr="00290F08" w:rsidRDefault="00D81F5D" w:rsidP="00290F08"/>
    <w:p w:rsidR="00D81F5D" w:rsidRDefault="00D81F5D" w:rsidP="00A80292">
      <w:pPr>
        <w:pStyle w:val="BodyNum"/>
      </w:pPr>
      <w:r>
        <w:br w:type="page"/>
      </w:r>
    </w:p>
    <w:p w:rsidR="000352B8" w:rsidRDefault="000352B8" w:rsidP="000352B8">
      <w:pPr>
        <w:pStyle w:val="Head2"/>
      </w:pPr>
      <w:bookmarkStart w:id="134" w:name="_Toc463613766"/>
      <w:r>
        <w:t>Index</w:t>
      </w:r>
      <w:bookmarkEnd w:id="134"/>
    </w:p>
    <w:tbl>
      <w:tblPr>
        <w:tblW w:w="7479" w:type="dxa"/>
        <w:tblLayout w:type="fixed"/>
        <w:tblCellMar>
          <w:left w:w="107" w:type="dxa"/>
          <w:right w:w="107" w:type="dxa"/>
        </w:tblCellMar>
        <w:tblLook w:val="0000" w:firstRow="0" w:lastRow="0" w:firstColumn="0" w:lastColumn="0" w:noHBand="0" w:noVBand="0"/>
      </w:tblPr>
      <w:tblGrid>
        <w:gridCol w:w="4893"/>
        <w:gridCol w:w="2586"/>
      </w:tblGrid>
      <w:tr w:rsidR="000352B8" w:rsidTr="001127A5">
        <w:trPr>
          <w:cantSplit/>
        </w:trPr>
        <w:tc>
          <w:tcPr>
            <w:tcW w:w="4893" w:type="dxa"/>
          </w:tcPr>
          <w:p w:rsidR="000352B8" w:rsidRDefault="000352B8" w:rsidP="00082D5A">
            <w:pPr>
              <w:pStyle w:val="Body"/>
              <w:spacing w:before="180"/>
            </w:pPr>
            <w:r>
              <w:t>Accountability</w:t>
            </w:r>
          </w:p>
        </w:tc>
        <w:tc>
          <w:tcPr>
            <w:tcW w:w="2586" w:type="dxa"/>
          </w:tcPr>
          <w:p w:rsidR="000352B8" w:rsidRDefault="000352B8" w:rsidP="00AC6992">
            <w:pPr>
              <w:pStyle w:val="Body"/>
              <w:spacing w:before="180"/>
            </w:pPr>
            <w:r>
              <w:t xml:space="preserve">Paragraph </w:t>
            </w:r>
            <w:r w:rsidR="00AC6992">
              <w:t>235</w:t>
            </w:r>
          </w:p>
        </w:tc>
      </w:tr>
      <w:tr w:rsidR="000352B8" w:rsidTr="001127A5">
        <w:trPr>
          <w:cantSplit/>
        </w:trPr>
        <w:tc>
          <w:tcPr>
            <w:tcW w:w="4893" w:type="dxa"/>
          </w:tcPr>
          <w:p w:rsidR="000352B8" w:rsidRDefault="000352B8" w:rsidP="00082D5A">
            <w:pPr>
              <w:pStyle w:val="Body"/>
              <w:spacing w:before="180"/>
            </w:pPr>
            <w:r>
              <w:t>Advertising and market research</w:t>
            </w:r>
          </w:p>
        </w:tc>
        <w:tc>
          <w:tcPr>
            <w:tcW w:w="2586" w:type="dxa"/>
          </w:tcPr>
          <w:p w:rsidR="000352B8" w:rsidRDefault="000352B8" w:rsidP="00AC6992">
            <w:pPr>
              <w:pStyle w:val="Body"/>
              <w:spacing w:before="180"/>
            </w:pPr>
            <w:r>
              <w:t xml:space="preserve">Paragraph </w:t>
            </w:r>
            <w:r w:rsidR="0091025E">
              <w:t>3</w:t>
            </w:r>
            <w:r w:rsidR="00AC6992">
              <w:t>62</w:t>
            </w:r>
          </w:p>
        </w:tc>
      </w:tr>
      <w:tr w:rsidR="00F14D50" w:rsidTr="001127A5">
        <w:trPr>
          <w:cantSplit/>
        </w:trPr>
        <w:tc>
          <w:tcPr>
            <w:tcW w:w="4893" w:type="dxa"/>
          </w:tcPr>
          <w:p w:rsidR="00F14D50" w:rsidRDefault="00AC6992" w:rsidP="0091025E">
            <w:pPr>
              <w:pStyle w:val="Body"/>
              <w:spacing w:before="200"/>
            </w:pPr>
            <w:r>
              <w:t>Annual Performance Statement</w:t>
            </w:r>
          </w:p>
        </w:tc>
        <w:tc>
          <w:tcPr>
            <w:tcW w:w="2586" w:type="dxa"/>
          </w:tcPr>
          <w:p w:rsidR="00F14D50" w:rsidRDefault="00AC6992" w:rsidP="00F14D50">
            <w:pPr>
              <w:pStyle w:val="Body"/>
              <w:spacing w:before="200"/>
            </w:pPr>
            <w:r>
              <w:t>Chapter 2</w:t>
            </w:r>
          </w:p>
        </w:tc>
      </w:tr>
      <w:tr w:rsidR="000352B8" w:rsidTr="001127A5">
        <w:trPr>
          <w:cantSplit/>
        </w:trPr>
        <w:tc>
          <w:tcPr>
            <w:tcW w:w="4893" w:type="dxa"/>
          </w:tcPr>
          <w:p w:rsidR="000352B8" w:rsidRDefault="000352B8" w:rsidP="00082D5A">
            <w:pPr>
              <w:pStyle w:val="Body"/>
              <w:spacing w:before="180"/>
            </w:pPr>
            <w:r>
              <w:t>Audit Committee</w:t>
            </w:r>
          </w:p>
        </w:tc>
        <w:tc>
          <w:tcPr>
            <w:tcW w:w="2586" w:type="dxa"/>
          </w:tcPr>
          <w:p w:rsidR="000352B8" w:rsidRDefault="000352B8" w:rsidP="00AC6992">
            <w:pPr>
              <w:pStyle w:val="Body"/>
              <w:spacing w:before="180"/>
            </w:pPr>
            <w:r>
              <w:t xml:space="preserve">Paragraph </w:t>
            </w:r>
            <w:r w:rsidR="00AC6992">
              <w:t>242</w:t>
            </w:r>
          </w:p>
        </w:tc>
      </w:tr>
      <w:tr w:rsidR="000352B8" w:rsidTr="001127A5">
        <w:trPr>
          <w:cantSplit/>
        </w:trPr>
        <w:tc>
          <w:tcPr>
            <w:tcW w:w="4893" w:type="dxa"/>
          </w:tcPr>
          <w:p w:rsidR="000352B8" w:rsidRDefault="000352B8" w:rsidP="00082D5A">
            <w:pPr>
              <w:pStyle w:val="Body"/>
              <w:spacing w:before="180"/>
            </w:pPr>
            <w:r>
              <w:t>Bills</w:t>
            </w:r>
          </w:p>
        </w:tc>
        <w:tc>
          <w:tcPr>
            <w:tcW w:w="2586" w:type="dxa"/>
          </w:tcPr>
          <w:p w:rsidR="000352B8" w:rsidRDefault="000352B8" w:rsidP="00AC6992">
            <w:pPr>
              <w:pStyle w:val="Body"/>
              <w:spacing w:before="180"/>
            </w:pPr>
            <w:r>
              <w:t xml:space="preserve">Paragraph </w:t>
            </w:r>
            <w:r w:rsidR="00AC6992">
              <w:t>95</w:t>
            </w:r>
          </w:p>
        </w:tc>
      </w:tr>
      <w:tr w:rsidR="000352B8" w:rsidTr="001127A5">
        <w:trPr>
          <w:cantSplit/>
        </w:trPr>
        <w:tc>
          <w:tcPr>
            <w:tcW w:w="4893" w:type="dxa"/>
          </w:tcPr>
          <w:p w:rsidR="000352B8" w:rsidRDefault="00694223" w:rsidP="00082D5A">
            <w:pPr>
              <w:pStyle w:val="Body"/>
              <w:spacing w:before="180"/>
            </w:pPr>
            <w:r>
              <w:t>Breastfeed</w:t>
            </w:r>
            <w:r w:rsidR="008C2295">
              <w:t>ing policy</w:t>
            </w:r>
          </w:p>
        </w:tc>
        <w:tc>
          <w:tcPr>
            <w:tcW w:w="2586" w:type="dxa"/>
          </w:tcPr>
          <w:p w:rsidR="000352B8" w:rsidRDefault="000352B8" w:rsidP="00AC6992">
            <w:pPr>
              <w:pStyle w:val="Body"/>
              <w:spacing w:before="180"/>
            </w:pPr>
            <w:r>
              <w:t xml:space="preserve">Paragraph </w:t>
            </w:r>
            <w:r w:rsidR="00B85581">
              <w:t>3</w:t>
            </w:r>
            <w:r w:rsidR="00AC6992">
              <w:t>26</w:t>
            </w:r>
          </w:p>
        </w:tc>
      </w:tr>
      <w:tr w:rsidR="000352B8" w:rsidTr="001127A5">
        <w:trPr>
          <w:cantSplit/>
        </w:trPr>
        <w:tc>
          <w:tcPr>
            <w:tcW w:w="4893" w:type="dxa"/>
          </w:tcPr>
          <w:p w:rsidR="000352B8" w:rsidRDefault="000352B8" w:rsidP="00082D5A">
            <w:pPr>
              <w:pStyle w:val="Body"/>
              <w:spacing w:before="180"/>
            </w:pPr>
            <w:r>
              <w:t>Consultants</w:t>
            </w:r>
          </w:p>
        </w:tc>
        <w:tc>
          <w:tcPr>
            <w:tcW w:w="2586" w:type="dxa"/>
          </w:tcPr>
          <w:p w:rsidR="000352B8" w:rsidRDefault="000352B8" w:rsidP="00AC6992">
            <w:pPr>
              <w:pStyle w:val="Body"/>
              <w:spacing w:before="180"/>
            </w:pPr>
            <w:r>
              <w:t xml:space="preserve">Paragraph </w:t>
            </w:r>
            <w:r w:rsidR="00B85581">
              <w:t>3</w:t>
            </w:r>
            <w:r w:rsidR="00AC6992">
              <w:t>55</w:t>
            </w:r>
          </w:p>
        </w:tc>
      </w:tr>
      <w:tr w:rsidR="000352B8" w:rsidTr="001127A5">
        <w:trPr>
          <w:cantSplit/>
        </w:trPr>
        <w:tc>
          <w:tcPr>
            <w:tcW w:w="4893" w:type="dxa"/>
          </w:tcPr>
          <w:p w:rsidR="000352B8" w:rsidRDefault="000352B8" w:rsidP="00082D5A">
            <w:pPr>
              <w:pStyle w:val="Body"/>
              <w:spacing w:before="180"/>
            </w:pPr>
            <w:r>
              <w:t>Contact officer for additional information</w:t>
            </w:r>
          </w:p>
        </w:tc>
        <w:tc>
          <w:tcPr>
            <w:tcW w:w="2586" w:type="dxa"/>
          </w:tcPr>
          <w:p w:rsidR="000352B8" w:rsidRDefault="000352B8" w:rsidP="00AC6992">
            <w:pPr>
              <w:pStyle w:val="Body"/>
              <w:spacing w:before="180"/>
            </w:pPr>
            <w:r>
              <w:t xml:space="preserve">Paragraph </w:t>
            </w:r>
            <w:r w:rsidR="003D5FF4">
              <w:t>3</w:t>
            </w:r>
            <w:r w:rsidR="00AC6992">
              <w:t>65</w:t>
            </w:r>
          </w:p>
        </w:tc>
      </w:tr>
      <w:tr w:rsidR="000352B8" w:rsidTr="001127A5">
        <w:trPr>
          <w:cantSplit/>
        </w:trPr>
        <w:tc>
          <w:tcPr>
            <w:tcW w:w="4893" w:type="dxa"/>
          </w:tcPr>
          <w:p w:rsidR="000352B8" w:rsidRDefault="000352B8" w:rsidP="00082D5A">
            <w:pPr>
              <w:pStyle w:val="Body"/>
              <w:spacing w:before="180"/>
            </w:pPr>
            <w:r>
              <w:t>Corporate governance</w:t>
            </w:r>
          </w:p>
        </w:tc>
        <w:tc>
          <w:tcPr>
            <w:tcW w:w="2586" w:type="dxa"/>
          </w:tcPr>
          <w:p w:rsidR="000352B8" w:rsidRDefault="000352B8" w:rsidP="00AC6992">
            <w:pPr>
              <w:pStyle w:val="Body"/>
              <w:spacing w:before="180"/>
            </w:pPr>
            <w:r>
              <w:t xml:space="preserve">Paragraph </w:t>
            </w:r>
            <w:r w:rsidR="003D5FF4">
              <w:t>2</w:t>
            </w:r>
            <w:r w:rsidR="00AC6992">
              <w:t>35</w:t>
            </w:r>
          </w:p>
        </w:tc>
      </w:tr>
      <w:tr w:rsidR="003B75E9" w:rsidTr="001127A5">
        <w:trPr>
          <w:cantSplit/>
        </w:trPr>
        <w:tc>
          <w:tcPr>
            <w:tcW w:w="4893" w:type="dxa"/>
          </w:tcPr>
          <w:p w:rsidR="003B75E9" w:rsidRDefault="003B75E9" w:rsidP="00DF3FA4">
            <w:pPr>
              <w:pStyle w:val="Body"/>
              <w:spacing w:before="180"/>
            </w:pPr>
            <w:r>
              <w:t>Disability reporting</w:t>
            </w:r>
          </w:p>
        </w:tc>
        <w:tc>
          <w:tcPr>
            <w:tcW w:w="2586" w:type="dxa"/>
          </w:tcPr>
          <w:p w:rsidR="003B75E9" w:rsidRDefault="003B75E9" w:rsidP="00AC6992">
            <w:pPr>
              <w:pStyle w:val="Body"/>
              <w:spacing w:before="180"/>
            </w:pPr>
            <w:r>
              <w:t xml:space="preserve">Paragraph </w:t>
            </w:r>
            <w:r w:rsidR="003D5FF4">
              <w:t>3</w:t>
            </w:r>
            <w:r w:rsidR="00AC6992">
              <w:t>29</w:t>
            </w:r>
          </w:p>
        </w:tc>
      </w:tr>
      <w:tr w:rsidR="000352B8" w:rsidTr="001127A5">
        <w:trPr>
          <w:cantSplit/>
        </w:trPr>
        <w:tc>
          <w:tcPr>
            <w:tcW w:w="4893" w:type="dxa"/>
          </w:tcPr>
          <w:p w:rsidR="000352B8" w:rsidRDefault="000352B8" w:rsidP="00082D5A">
            <w:pPr>
              <w:pStyle w:val="Body"/>
              <w:spacing w:before="180"/>
            </w:pPr>
            <w:r>
              <w:t>Drafting resources</w:t>
            </w:r>
          </w:p>
        </w:tc>
        <w:tc>
          <w:tcPr>
            <w:tcW w:w="2586" w:type="dxa"/>
          </w:tcPr>
          <w:p w:rsidR="000352B8" w:rsidRDefault="000352B8" w:rsidP="00AC6992">
            <w:pPr>
              <w:pStyle w:val="Body"/>
              <w:spacing w:before="180"/>
            </w:pPr>
            <w:r>
              <w:t xml:space="preserve">Paragraph </w:t>
            </w:r>
            <w:r w:rsidR="003D5FF4">
              <w:t>2</w:t>
            </w:r>
            <w:r w:rsidR="00AC6992">
              <w:t>54</w:t>
            </w:r>
          </w:p>
        </w:tc>
      </w:tr>
      <w:tr w:rsidR="00AC6992" w:rsidTr="001127A5">
        <w:trPr>
          <w:cantSplit/>
        </w:trPr>
        <w:tc>
          <w:tcPr>
            <w:tcW w:w="4893" w:type="dxa"/>
          </w:tcPr>
          <w:p w:rsidR="00AC6992" w:rsidRDefault="00AC6992" w:rsidP="006B45FC">
            <w:pPr>
              <w:pStyle w:val="Body"/>
              <w:spacing w:before="200"/>
            </w:pPr>
            <w:r>
              <w:t>Entity resource statement and Expenses for outcome</w:t>
            </w:r>
          </w:p>
        </w:tc>
        <w:tc>
          <w:tcPr>
            <w:tcW w:w="2586" w:type="dxa"/>
          </w:tcPr>
          <w:p w:rsidR="00AC6992" w:rsidRDefault="00AC6992" w:rsidP="006B45FC">
            <w:pPr>
              <w:pStyle w:val="Body"/>
              <w:spacing w:before="200"/>
            </w:pPr>
            <w:r>
              <w:t>Appendix A</w:t>
            </w:r>
          </w:p>
        </w:tc>
      </w:tr>
      <w:tr w:rsidR="000352B8" w:rsidTr="001127A5">
        <w:trPr>
          <w:cantSplit/>
        </w:trPr>
        <w:tc>
          <w:tcPr>
            <w:tcW w:w="4893" w:type="dxa"/>
          </w:tcPr>
          <w:p w:rsidR="000352B8" w:rsidRDefault="000352B8" w:rsidP="00082D5A">
            <w:pPr>
              <w:pStyle w:val="Body"/>
              <w:spacing w:before="180"/>
            </w:pPr>
            <w:r>
              <w:t>Environmental reporting</w:t>
            </w:r>
          </w:p>
        </w:tc>
        <w:tc>
          <w:tcPr>
            <w:tcW w:w="2586" w:type="dxa"/>
          </w:tcPr>
          <w:p w:rsidR="000352B8" w:rsidRDefault="000352B8" w:rsidP="001127A5">
            <w:pPr>
              <w:pStyle w:val="Body"/>
              <w:spacing w:before="180"/>
            </w:pPr>
            <w:r>
              <w:t xml:space="preserve">Appendix </w:t>
            </w:r>
            <w:r w:rsidR="001127A5">
              <w:t>C</w:t>
            </w:r>
          </w:p>
        </w:tc>
      </w:tr>
      <w:tr w:rsidR="000352B8" w:rsidTr="001127A5">
        <w:trPr>
          <w:cantSplit/>
        </w:trPr>
        <w:tc>
          <w:tcPr>
            <w:tcW w:w="4893" w:type="dxa"/>
          </w:tcPr>
          <w:p w:rsidR="000352B8" w:rsidRDefault="000352B8" w:rsidP="00082D5A">
            <w:pPr>
              <w:pStyle w:val="Body"/>
              <w:spacing w:before="180"/>
            </w:pPr>
            <w:r>
              <w:t>Ethical standards—maintenance of</w:t>
            </w:r>
          </w:p>
        </w:tc>
        <w:tc>
          <w:tcPr>
            <w:tcW w:w="2586" w:type="dxa"/>
          </w:tcPr>
          <w:p w:rsidR="000352B8" w:rsidRDefault="000352B8" w:rsidP="00AC6992">
            <w:pPr>
              <w:pStyle w:val="Body"/>
              <w:spacing w:before="180"/>
            </w:pPr>
            <w:r>
              <w:t xml:space="preserve">Paragraph </w:t>
            </w:r>
            <w:r w:rsidR="003D5FF4">
              <w:t>2</w:t>
            </w:r>
            <w:r w:rsidR="00AC6992">
              <w:t>63</w:t>
            </w:r>
          </w:p>
        </w:tc>
      </w:tr>
      <w:tr w:rsidR="000352B8" w:rsidTr="001127A5">
        <w:trPr>
          <w:cantSplit/>
        </w:trPr>
        <w:tc>
          <w:tcPr>
            <w:tcW w:w="4893" w:type="dxa"/>
          </w:tcPr>
          <w:p w:rsidR="000352B8" w:rsidRDefault="000352B8" w:rsidP="00082D5A">
            <w:pPr>
              <w:pStyle w:val="Body"/>
              <w:spacing w:before="180"/>
            </w:pPr>
            <w:r>
              <w:t>External scrutiny</w:t>
            </w:r>
          </w:p>
        </w:tc>
        <w:tc>
          <w:tcPr>
            <w:tcW w:w="2586" w:type="dxa"/>
          </w:tcPr>
          <w:p w:rsidR="000352B8" w:rsidRDefault="000352B8" w:rsidP="00AC6992">
            <w:pPr>
              <w:pStyle w:val="Body"/>
              <w:spacing w:before="180"/>
            </w:pPr>
            <w:r>
              <w:t xml:space="preserve">Paragraph </w:t>
            </w:r>
            <w:r w:rsidR="0091025E">
              <w:t>2</w:t>
            </w:r>
            <w:r w:rsidR="00AC6992">
              <w:t>70</w:t>
            </w:r>
          </w:p>
        </w:tc>
      </w:tr>
      <w:tr w:rsidR="000352B8" w:rsidTr="001127A5">
        <w:trPr>
          <w:cantSplit/>
        </w:trPr>
        <w:tc>
          <w:tcPr>
            <w:tcW w:w="4893" w:type="dxa"/>
          </w:tcPr>
          <w:p w:rsidR="000352B8" w:rsidRDefault="000352B8" w:rsidP="00082D5A">
            <w:pPr>
              <w:pStyle w:val="Body"/>
              <w:spacing w:before="180"/>
            </w:pPr>
            <w:r>
              <w:br w:type="page"/>
              <w:t>Financial performance—discussion and analysis</w:t>
            </w:r>
          </w:p>
        </w:tc>
        <w:tc>
          <w:tcPr>
            <w:tcW w:w="2586" w:type="dxa"/>
          </w:tcPr>
          <w:p w:rsidR="000352B8" w:rsidRDefault="000352B8" w:rsidP="00AC6992">
            <w:pPr>
              <w:pStyle w:val="Body"/>
              <w:spacing w:before="180"/>
            </w:pPr>
            <w:r>
              <w:t xml:space="preserve">Paragraph </w:t>
            </w:r>
            <w:r w:rsidR="003D5FF4">
              <w:t>2</w:t>
            </w:r>
            <w:r w:rsidR="00AC6992">
              <w:t>26</w:t>
            </w:r>
          </w:p>
        </w:tc>
      </w:tr>
      <w:tr w:rsidR="000352B8" w:rsidTr="001127A5">
        <w:trPr>
          <w:cantSplit/>
        </w:trPr>
        <w:tc>
          <w:tcPr>
            <w:tcW w:w="4893" w:type="dxa"/>
          </w:tcPr>
          <w:p w:rsidR="000352B8" w:rsidRDefault="000352B8" w:rsidP="00082D5A">
            <w:pPr>
              <w:pStyle w:val="Body"/>
              <w:spacing w:before="180"/>
            </w:pPr>
            <w:r>
              <w:t>Financial Statements</w:t>
            </w:r>
          </w:p>
        </w:tc>
        <w:tc>
          <w:tcPr>
            <w:tcW w:w="2586" w:type="dxa"/>
          </w:tcPr>
          <w:p w:rsidR="000352B8" w:rsidRDefault="000352B8" w:rsidP="001127A5">
            <w:pPr>
              <w:pStyle w:val="Body"/>
              <w:spacing w:before="180"/>
            </w:pPr>
            <w:r>
              <w:t xml:space="preserve">Appendix </w:t>
            </w:r>
            <w:r w:rsidR="001127A5">
              <w:t>D</w:t>
            </w:r>
          </w:p>
        </w:tc>
      </w:tr>
      <w:tr w:rsidR="000352B8" w:rsidTr="001127A5">
        <w:trPr>
          <w:cantSplit/>
        </w:trPr>
        <w:tc>
          <w:tcPr>
            <w:tcW w:w="4893" w:type="dxa"/>
          </w:tcPr>
          <w:p w:rsidR="000352B8" w:rsidRDefault="000352B8" w:rsidP="004751FF">
            <w:pPr>
              <w:pStyle w:val="Body"/>
              <w:spacing w:before="180"/>
            </w:pPr>
            <w:r>
              <w:t>First Parliamentary Counsel</w:t>
            </w:r>
            <w:r w:rsidR="003C39D9">
              <w:t>’</w:t>
            </w:r>
            <w:r>
              <w:t xml:space="preserve">s </w:t>
            </w:r>
            <w:r w:rsidR="004751FF">
              <w:t>R</w:t>
            </w:r>
            <w:r>
              <w:t>eview</w:t>
            </w:r>
          </w:p>
        </w:tc>
        <w:tc>
          <w:tcPr>
            <w:tcW w:w="2586" w:type="dxa"/>
          </w:tcPr>
          <w:p w:rsidR="000352B8" w:rsidRDefault="000352B8" w:rsidP="00082D5A">
            <w:pPr>
              <w:pStyle w:val="Body"/>
              <w:spacing w:before="180"/>
            </w:pPr>
            <w:r>
              <w:t xml:space="preserve">Paragraph </w:t>
            </w:r>
            <w:r w:rsidR="00053ABA">
              <w:t>1</w:t>
            </w:r>
          </w:p>
        </w:tc>
      </w:tr>
      <w:tr w:rsidR="000352B8" w:rsidTr="001127A5">
        <w:trPr>
          <w:cantSplit/>
        </w:trPr>
        <w:tc>
          <w:tcPr>
            <w:tcW w:w="4893" w:type="dxa"/>
          </w:tcPr>
          <w:p w:rsidR="000352B8" w:rsidRDefault="000352B8" w:rsidP="00082D5A">
            <w:pPr>
              <w:pStyle w:val="Body"/>
              <w:spacing w:before="180"/>
            </w:pPr>
            <w:r>
              <w:t>Freedom of information</w:t>
            </w:r>
          </w:p>
        </w:tc>
        <w:tc>
          <w:tcPr>
            <w:tcW w:w="2586" w:type="dxa"/>
          </w:tcPr>
          <w:p w:rsidR="000352B8" w:rsidRDefault="000352B8" w:rsidP="00AC6992">
            <w:pPr>
              <w:pStyle w:val="Body"/>
              <w:spacing w:before="180"/>
            </w:pPr>
            <w:r>
              <w:t xml:space="preserve">Paragraph </w:t>
            </w:r>
            <w:r w:rsidR="0091025E">
              <w:t>3</w:t>
            </w:r>
            <w:r w:rsidR="00AC6992">
              <w:t>61</w:t>
            </w:r>
          </w:p>
        </w:tc>
      </w:tr>
      <w:tr w:rsidR="000352B8" w:rsidTr="001127A5">
        <w:trPr>
          <w:cantSplit/>
        </w:trPr>
        <w:tc>
          <w:tcPr>
            <w:tcW w:w="4893" w:type="dxa"/>
          </w:tcPr>
          <w:p w:rsidR="000352B8" w:rsidRDefault="000352B8" w:rsidP="00082D5A">
            <w:pPr>
              <w:pStyle w:val="Body"/>
              <w:spacing w:before="180"/>
            </w:pPr>
            <w:r>
              <w:t>Full-time and part-time employees</w:t>
            </w:r>
          </w:p>
        </w:tc>
        <w:tc>
          <w:tcPr>
            <w:tcW w:w="2586" w:type="dxa"/>
          </w:tcPr>
          <w:p w:rsidR="000352B8" w:rsidRDefault="000352B8" w:rsidP="00082D5A">
            <w:pPr>
              <w:pStyle w:val="Body"/>
              <w:spacing w:before="180"/>
            </w:pPr>
            <w:r>
              <w:t>Appendix B</w:t>
            </w:r>
          </w:p>
        </w:tc>
      </w:tr>
      <w:tr w:rsidR="000352B8" w:rsidTr="001127A5">
        <w:trPr>
          <w:cantSplit/>
        </w:trPr>
        <w:tc>
          <w:tcPr>
            <w:tcW w:w="4893" w:type="dxa"/>
          </w:tcPr>
          <w:p w:rsidR="000352B8" w:rsidRDefault="000352B8" w:rsidP="00082D5A">
            <w:pPr>
              <w:pStyle w:val="Body"/>
              <w:spacing w:before="180"/>
            </w:pPr>
            <w:r>
              <w:t>Human resources</w:t>
            </w:r>
            <w:r w:rsidR="008C2295">
              <w:t>—management of</w:t>
            </w:r>
          </w:p>
        </w:tc>
        <w:tc>
          <w:tcPr>
            <w:tcW w:w="2586" w:type="dxa"/>
          </w:tcPr>
          <w:p w:rsidR="000352B8" w:rsidRDefault="000352B8" w:rsidP="00082D5A">
            <w:pPr>
              <w:pStyle w:val="Body"/>
              <w:spacing w:before="180"/>
            </w:pPr>
            <w:r>
              <w:t>Chapter 4</w:t>
            </w:r>
          </w:p>
        </w:tc>
      </w:tr>
      <w:tr w:rsidR="000352B8" w:rsidTr="001127A5">
        <w:trPr>
          <w:cantSplit/>
        </w:trPr>
        <w:tc>
          <w:tcPr>
            <w:tcW w:w="4893" w:type="dxa"/>
          </w:tcPr>
          <w:p w:rsidR="000352B8" w:rsidRDefault="000352B8" w:rsidP="00082D5A">
            <w:pPr>
              <w:pStyle w:val="Body"/>
              <w:spacing w:before="180"/>
            </w:pPr>
            <w:r>
              <w:t>Influences on OPC</w:t>
            </w:r>
            <w:r w:rsidR="003C39D9">
              <w:t>’</w:t>
            </w:r>
            <w:r>
              <w:t>s performance</w:t>
            </w:r>
          </w:p>
        </w:tc>
        <w:tc>
          <w:tcPr>
            <w:tcW w:w="2586" w:type="dxa"/>
          </w:tcPr>
          <w:p w:rsidR="000352B8" w:rsidRDefault="000352B8" w:rsidP="00AC6992">
            <w:pPr>
              <w:pStyle w:val="Body"/>
              <w:spacing w:before="180"/>
            </w:pPr>
            <w:r>
              <w:t xml:space="preserve">Paragraph </w:t>
            </w:r>
            <w:r w:rsidR="00AC6992">
              <w:t>207</w:t>
            </w:r>
          </w:p>
        </w:tc>
      </w:tr>
      <w:tr w:rsidR="000352B8" w:rsidTr="001127A5">
        <w:trPr>
          <w:cantSplit/>
        </w:trPr>
        <w:tc>
          <w:tcPr>
            <w:tcW w:w="4893" w:type="dxa"/>
          </w:tcPr>
          <w:p w:rsidR="000352B8" w:rsidRDefault="000352B8" w:rsidP="00082D5A">
            <w:pPr>
              <w:pStyle w:val="Body"/>
              <w:spacing w:before="180"/>
            </w:pPr>
            <w:r>
              <w:t>Information technology systems</w:t>
            </w:r>
          </w:p>
        </w:tc>
        <w:tc>
          <w:tcPr>
            <w:tcW w:w="2586" w:type="dxa"/>
          </w:tcPr>
          <w:p w:rsidR="000352B8" w:rsidRDefault="000352B8" w:rsidP="00AC6992">
            <w:pPr>
              <w:pStyle w:val="Body"/>
              <w:spacing w:before="180"/>
            </w:pPr>
            <w:r>
              <w:t xml:space="preserve">Paragraph </w:t>
            </w:r>
            <w:r w:rsidR="0091025E">
              <w:t>2</w:t>
            </w:r>
            <w:r w:rsidR="00AC6992">
              <w:t>58</w:t>
            </w:r>
          </w:p>
        </w:tc>
      </w:tr>
      <w:tr w:rsidR="0091025E" w:rsidTr="001127A5">
        <w:trPr>
          <w:cantSplit/>
        </w:trPr>
        <w:tc>
          <w:tcPr>
            <w:tcW w:w="4893" w:type="dxa"/>
          </w:tcPr>
          <w:p w:rsidR="0091025E" w:rsidRDefault="0091025E" w:rsidP="00082D5A">
            <w:pPr>
              <w:pStyle w:val="Body"/>
              <w:spacing w:before="180"/>
            </w:pPr>
            <w:r>
              <w:t>Instruments</w:t>
            </w:r>
          </w:p>
        </w:tc>
        <w:tc>
          <w:tcPr>
            <w:tcW w:w="2586" w:type="dxa"/>
          </w:tcPr>
          <w:p w:rsidR="0091025E" w:rsidRDefault="0091025E" w:rsidP="00AC6992">
            <w:pPr>
              <w:pStyle w:val="Body"/>
              <w:spacing w:before="180"/>
            </w:pPr>
            <w:r>
              <w:t xml:space="preserve">Paragraph </w:t>
            </w:r>
            <w:r w:rsidR="00730C9B">
              <w:t>1</w:t>
            </w:r>
            <w:r w:rsidR="00AC6992">
              <w:t>17</w:t>
            </w:r>
          </w:p>
        </w:tc>
      </w:tr>
      <w:tr w:rsidR="000352B8" w:rsidTr="001127A5">
        <w:trPr>
          <w:cantSplit/>
        </w:trPr>
        <w:tc>
          <w:tcPr>
            <w:tcW w:w="4893" w:type="dxa"/>
          </w:tcPr>
          <w:p w:rsidR="000352B8" w:rsidRDefault="000352B8" w:rsidP="00082D5A">
            <w:pPr>
              <w:pStyle w:val="Body"/>
              <w:spacing w:before="180"/>
            </w:pPr>
            <w:r>
              <w:t>Male and female employees</w:t>
            </w:r>
          </w:p>
        </w:tc>
        <w:tc>
          <w:tcPr>
            <w:tcW w:w="2586" w:type="dxa"/>
          </w:tcPr>
          <w:p w:rsidR="000352B8" w:rsidRDefault="000352B8" w:rsidP="00082D5A">
            <w:pPr>
              <w:pStyle w:val="Body"/>
              <w:spacing w:before="180"/>
            </w:pPr>
            <w:r>
              <w:t>Appendix B</w:t>
            </w:r>
          </w:p>
        </w:tc>
      </w:tr>
      <w:tr w:rsidR="000352B8" w:rsidTr="001127A5">
        <w:trPr>
          <w:cantSplit/>
        </w:trPr>
        <w:tc>
          <w:tcPr>
            <w:tcW w:w="4893" w:type="dxa"/>
          </w:tcPr>
          <w:p w:rsidR="000352B8" w:rsidRDefault="000352B8" w:rsidP="00082D5A">
            <w:pPr>
              <w:pStyle w:val="Body"/>
              <w:spacing w:before="180"/>
            </w:pPr>
            <w:r>
              <w:t>Management and accountability</w:t>
            </w:r>
          </w:p>
        </w:tc>
        <w:tc>
          <w:tcPr>
            <w:tcW w:w="2586" w:type="dxa"/>
          </w:tcPr>
          <w:p w:rsidR="000352B8" w:rsidRDefault="000352B8" w:rsidP="00082D5A">
            <w:pPr>
              <w:pStyle w:val="Body"/>
              <w:spacing w:before="180"/>
            </w:pPr>
            <w:r>
              <w:t>Chapter 3</w:t>
            </w:r>
          </w:p>
        </w:tc>
      </w:tr>
      <w:tr w:rsidR="000352B8" w:rsidTr="001127A5">
        <w:trPr>
          <w:cantSplit/>
        </w:trPr>
        <w:tc>
          <w:tcPr>
            <w:tcW w:w="4893" w:type="dxa"/>
          </w:tcPr>
          <w:p w:rsidR="000352B8" w:rsidRDefault="000352B8" w:rsidP="00082D5A">
            <w:pPr>
              <w:pStyle w:val="Body"/>
              <w:spacing w:before="180"/>
            </w:pPr>
            <w:r>
              <w:t>Non</w:t>
            </w:r>
            <w:r>
              <w:noBreakHyphen/>
              <w:t>salary benefits</w:t>
            </w:r>
          </w:p>
        </w:tc>
        <w:tc>
          <w:tcPr>
            <w:tcW w:w="2586" w:type="dxa"/>
          </w:tcPr>
          <w:p w:rsidR="000352B8" w:rsidRDefault="000352B8" w:rsidP="00AC6992">
            <w:pPr>
              <w:pStyle w:val="Body"/>
              <w:spacing w:before="180"/>
            </w:pPr>
            <w:r>
              <w:t xml:space="preserve">Paragraph </w:t>
            </w:r>
            <w:r w:rsidR="00AC6992">
              <w:t>307</w:t>
            </w:r>
          </w:p>
        </w:tc>
      </w:tr>
      <w:tr w:rsidR="000352B8" w:rsidTr="001127A5">
        <w:trPr>
          <w:cantSplit/>
        </w:trPr>
        <w:tc>
          <w:tcPr>
            <w:tcW w:w="4893" w:type="dxa"/>
          </w:tcPr>
          <w:p w:rsidR="000352B8" w:rsidRDefault="000352B8" w:rsidP="00082D5A">
            <w:pPr>
              <w:pStyle w:val="Body"/>
              <w:spacing w:before="180"/>
            </w:pPr>
            <w:r>
              <w:t>Operational risks</w:t>
            </w:r>
          </w:p>
        </w:tc>
        <w:tc>
          <w:tcPr>
            <w:tcW w:w="2586" w:type="dxa"/>
          </w:tcPr>
          <w:p w:rsidR="000352B8" w:rsidRDefault="000352B8" w:rsidP="00AC6992">
            <w:pPr>
              <w:pStyle w:val="Body"/>
              <w:spacing w:before="180"/>
            </w:pPr>
            <w:r>
              <w:t xml:space="preserve">Paragraph </w:t>
            </w:r>
            <w:r w:rsidR="00AC6992">
              <w:t>253</w:t>
            </w:r>
          </w:p>
        </w:tc>
      </w:tr>
      <w:tr w:rsidR="000352B8" w:rsidTr="001127A5">
        <w:trPr>
          <w:cantSplit/>
        </w:trPr>
        <w:tc>
          <w:tcPr>
            <w:tcW w:w="4893" w:type="dxa"/>
          </w:tcPr>
          <w:p w:rsidR="000352B8" w:rsidRDefault="000352B8" w:rsidP="00082D5A">
            <w:pPr>
              <w:pStyle w:val="Body"/>
              <w:spacing w:before="180"/>
            </w:pPr>
            <w:r>
              <w:t>Organisational structure</w:t>
            </w:r>
          </w:p>
        </w:tc>
        <w:tc>
          <w:tcPr>
            <w:tcW w:w="2586" w:type="dxa"/>
          </w:tcPr>
          <w:p w:rsidR="000352B8" w:rsidRDefault="000352B8" w:rsidP="00AC6992">
            <w:pPr>
              <w:pStyle w:val="Body"/>
              <w:spacing w:before="180"/>
            </w:pPr>
            <w:r>
              <w:t xml:space="preserve">Paragraph </w:t>
            </w:r>
            <w:r w:rsidR="00AC6992">
              <w:t>72</w:t>
            </w:r>
          </w:p>
        </w:tc>
      </w:tr>
      <w:tr w:rsidR="000352B8" w:rsidTr="001127A5">
        <w:trPr>
          <w:cantSplit/>
        </w:trPr>
        <w:tc>
          <w:tcPr>
            <w:tcW w:w="4893" w:type="dxa"/>
          </w:tcPr>
          <w:p w:rsidR="000352B8" w:rsidRDefault="008C2295" w:rsidP="00082D5A">
            <w:pPr>
              <w:pStyle w:val="Body"/>
              <w:spacing w:before="180"/>
            </w:pPr>
            <w:r>
              <w:t>Outcome and program structure</w:t>
            </w:r>
          </w:p>
        </w:tc>
        <w:tc>
          <w:tcPr>
            <w:tcW w:w="2586" w:type="dxa"/>
          </w:tcPr>
          <w:p w:rsidR="000352B8" w:rsidRDefault="000352B8" w:rsidP="00AC6992">
            <w:pPr>
              <w:pStyle w:val="Body"/>
              <w:spacing w:before="180"/>
            </w:pPr>
            <w:r>
              <w:t xml:space="preserve">Paragraph </w:t>
            </w:r>
            <w:r w:rsidR="003D5FF4">
              <w:t>7</w:t>
            </w:r>
            <w:r w:rsidR="00AC6992">
              <w:t>8</w:t>
            </w:r>
          </w:p>
        </w:tc>
      </w:tr>
      <w:tr w:rsidR="008C2295" w:rsidTr="001127A5">
        <w:trPr>
          <w:cantSplit/>
        </w:trPr>
        <w:tc>
          <w:tcPr>
            <w:tcW w:w="4893" w:type="dxa"/>
          </w:tcPr>
          <w:p w:rsidR="008C2295" w:rsidRDefault="008C2295" w:rsidP="00082D5A">
            <w:pPr>
              <w:pStyle w:val="Body"/>
              <w:spacing w:before="180"/>
            </w:pPr>
            <w:r>
              <w:t>Overview of OPC</w:t>
            </w:r>
          </w:p>
        </w:tc>
        <w:tc>
          <w:tcPr>
            <w:tcW w:w="2586" w:type="dxa"/>
          </w:tcPr>
          <w:p w:rsidR="008C2295" w:rsidRDefault="008C2295" w:rsidP="00082D5A">
            <w:pPr>
              <w:pStyle w:val="Body"/>
              <w:spacing w:before="180"/>
            </w:pPr>
            <w:r>
              <w:t>Chapter 1</w:t>
            </w:r>
          </w:p>
        </w:tc>
      </w:tr>
      <w:tr w:rsidR="000352B8" w:rsidTr="001127A5">
        <w:trPr>
          <w:cantSplit/>
        </w:trPr>
        <w:tc>
          <w:tcPr>
            <w:tcW w:w="4893" w:type="dxa"/>
          </w:tcPr>
          <w:p w:rsidR="000352B8" w:rsidRDefault="000352B8" w:rsidP="00082D5A">
            <w:pPr>
              <w:pStyle w:val="Body"/>
              <w:spacing w:before="180"/>
            </w:pPr>
            <w:r>
              <w:t>Parliamentary amendments</w:t>
            </w:r>
          </w:p>
        </w:tc>
        <w:tc>
          <w:tcPr>
            <w:tcW w:w="2586" w:type="dxa"/>
          </w:tcPr>
          <w:p w:rsidR="000352B8" w:rsidRDefault="000352B8" w:rsidP="00AC6992">
            <w:pPr>
              <w:pStyle w:val="Body"/>
              <w:spacing w:before="180"/>
            </w:pPr>
            <w:r>
              <w:t xml:space="preserve">Paragraph </w:t>
            </w:r>
            <w:r w:rsidR="003D5FF4">
              <w:t>1</w:t>
            </w:r>
            <w:r w:rsidR="00AC6992">
              <w:t>11</w:t>
            </w:r>
          </w:p>
        </w:tc>
      </w:tr>
      <w:tr w:rsidR="00C979AB" w:rsidTr="001127A5">
        <w:trPr>
          <w:cantSplit/>
        </w:trPr>
        <w:tc>
          <w:tcPr>
            <w:tcW w:w="4893" w:type="dxa"/>
          </w:tcPr>
          <w:p w:rsidR="00C979AB" w:rsidRDefault="00C979AB" w:rsidP="00AC6992">
            <w:pPr>
              <w:pStyle w:val="Body"/>
              <w:spacing w:before="180"/>
            </w:pPr>
            <w:r>
              <w:t>Performance information—analysis of performance</w:t>
            </w:r>
            <w:r w:rsidR="00AC6992">
              <w:t xml:space="preserve"> against Purpose 1: Legislative Drafting</w:t>
            </w:r>
          </w:p>
        </w:tc>
        <w:tc>
          <w:tcPr>
            <w:tcW w:w="2586" w:type="dxa"/>
          </w:tcPr>
          <w:p w:rsidR="00C979AB" w:rsidRDefault="00C979AB" w:rsidP="003D5FF4">
            <w:pPr>
              <w:pStyle w:val="Body"/>
              <w:spacing w:before="180"/>
            </w:pPr>
            <w:r>
              <w:t xml:space="preserve">Paragraph </w:t>
            </w:r>
            <w:r w:rsidR="003D5FF4">
              <w:t>8</w:t>
            </w:r>
            <w:r w:rsidR="00AC6992">
              <w:t>3</w:t>
            </w:r>
          </w:p>
        </w:tc>
      </w:tr>
      <w:tr w:rsidR="000352B8" w:rsidTr="001127A5">
        <w:trPr>
          <w:cantSplit/>
        </w:trPr>
        <w:tc>
          <w:tcPr>
            <w:tcW w:w="4893" w:type="dxa"/>
          </w:tcPr>
          <w:p w:rsidR="000352B8" w:rsidRDefault="000352B8" w:rsidP="00AC6992">
            <w:pPr>
              <w:pStyle w:val="Body"/>
              <w:spacing w:before="180"/>
            </w:pPr>
            <w:r>
              <w:t>Performance information—</w:t>
            </w:r>
            <w:r w:rsidR="00AC6992">
              <w:t>analysis of performance against Purpose 2: Publication</w:t>
            </w:r>
          </w:p>
        </w:tc>
        <w:tc>
          <w:tcPr>
            <w:tcW w:w="2586" w:type="dxa"/>
          </w:tcPr>
          <w:p w:rsidR="000352B8" w:rsidRDefault="000352B8" w:rsidP="00AC6992">
            <w:pPr>
              <w:pStyle w:val="Body"/>
              <w:spacing w:before="180"/>
            </w:pPr>
            <w:r>
              <w:t xml:space="preserve">Paragraph </w:t>
            </w:r>
            <w:r w:rsidR="00AC6992">
              <w:t>187</w:t>
            </w:r>
          </w:p>
        </w:tc>
      </w:tr>
      <w:tr w:rsidR="00E024DF" w:rsidTr="001127A5">
        <w:trPr>
          <w:cantSplit/>
        </w:trPr>
        <w:tc>
          <w:tcPr>
            <w:tcW w:w="4893" w:type="dxa"/>
          </w:tcPr>
          <w:p w:rsidR="00E024DF" w:rsidRDefault="00E024DF" w:rsidP="00082D5A">
            <w:pPr>
              <w:pStyle w:val="Body"/>
              <w:spacing w:before="180"/>
            </w:pPr>
            <w:r>
              <w:t>Performance pay</w:t>
            </w:r>
          </w:p>
        </w:tc>
        <w:tc>
          <w:tcPr>
            <w:tcW w:w="2586" w:type="dxa"/>
          </w:tcPr>
          <w:p w:rsidR="00E024DF" w:rsidRDefault="00E024DF" w:rsidP="00AC6992">
            <w:pPr>
              <w:pStyle w:val="Body"/>
              <w:spacing w:before="180"/>
            </w:pPr>
            <w:r>
              <w:t xml:space="preserve">Paragraph </w:t>
            </w:r>
            <w:r w:rsidR="00AC6992">
              <w:t>311</w:t>
            </w:r>
          </w:p>
        </w:tc>
      </w:tr>
      <w:tr w:rsidR="00E024DF" w:rsidTr="001127A5">
        <w:trPr>
          <w:cantSplit/>
        </w:trPr>
        <w:tc>
          <w:tcPr>
            <w:tcW w:w="4893" w:type="dxa"/>
          </w:tcPr>
          <w:p w:rsidR="00E024DF" w:rsidRDefault="00E024DF" w:rsidP="00082D5A">
            <w:pPr>
              <w:pStyle w:val="Body"/>
              <w:spacing w:before="180"/>
            </w:pPr>
            <w:r>
              <w:t>Productivity gains</w:t>
            </w:r>
          </w:p>
        </w:tc>
        <w:tc>
          <w:tcPr>
            <w:tcW w:w="2586" w:type="dxa"/>
          </w:tcPr>
          <w:p w:rsidR="00E024DF" w:rsidRDefault="00E024DF" w:rsidP="00AC6992">
            <w:pPr>
              <w:pStyle w:val="Body"/>
              <w:spacing w:before="180"/>
            </w:pPr>
            <w:r>
              <w:t xml:space="preserve">Paragraph </w:t>
            </w:r>
            <w:r w:rsidR="00AC6992">
              <w:t>302</w:t>
            </w:r>
          </w:p>
        </w:tc>
      </w:tr>
      <w:tr w:rsidR="00E024DF" w:rsidTr="001127A5">
        <w:trPr>
          <w:cantSplit/>
        </w:trPr>
        <w:tc>
          <w:tcPr>
            <w:tcW w:w="4893" w:type="dxa"/>
          </w:tcPr>
          <w:p w:rsidR="00E024DF" w:rsidRDefault="00E024DF" w:rsidP="00082D5A">
            <w:pPr>
              <w:pStyle w:val="Body"/>
              <w:spacing w:before="200"/>
            </w:pPr>
            <w:r>
              <w:t>Purchasing</w:t>
            </w:r>
          </w:p>
        </w:tc>
        <w:tc>
          <w:tcPr>
            <w:tcW w:w="2586" w:type="dxa"/>
          </w:tcPr>
          <w:p w:rsidR="00E024DF" w:rsidRDefault="00E024DF" w:rsidP="00AC6992">
            <w:pPr>
              <w:pStyle w:val="Body"/>
              <w:spacing w:before="200"/>
            </w:pPr>
            <w:r>
              <w:t xml:space="preserve">Paragraph </w:t>
            </w:r>
            <w:r w:rsidR="003D5FF4">
              <w:t>3</w:t>
            </w:r>
            <w:r w:rsidR="00AC6992">
              <w:t>48</w:t>
            </w:r>
          </w:p>
        </w:tc>
      </w:tr>
      <w:tr w:rsidR="00E024DF" w:rsidTr="001127A5">
        <w:trPr>
          <w:cantSplit/>
        </w:trPr>
        <w:tc>
          <w:tcPr>
            <w:tcW w:w="4893" w:type="dxa"/>
          </w:tcPr>
          <w:p w:rsidR="00E024DF" w:rsidRDefault="00E024DF" w:rsidP="00082D5A">
            <w:pPr>
              <w:pStyle w:val="Body"/>
              <w:spacing w:before="200"/>
            </w:pPr>
            <w:r>
              <w:t>Purchasing and consultants</w:t>
            </w:r>
          </w:p>
        </w:tc>
        <w:tc>
          <w:tcPr>
            <w:tcW w:w="2586" w:type="dxa"/>
          </w:tcPr>
          <w:p w:rsidR="00E024DF" w:rsidRDefault="00E024DF" w:rsidP="0091025E">
            <w:pPr>
              <w:pStyle w:val="Body"/>
              <w:spacing w:before="200"/>
            </w:pPr>
            <w:r>
              <w:t>Chapter 5</w:t>
            </w:r>
          </w:p>
        </w:tc>
      </w:tr>
      <w:tr w:rsidR="00AC6992" w:rsidTr="001127A5">
        <w:trPr>
          <w:cantSplit/>
        </w:trPr>
        <w:tc>
          <w:tcPr>
            <w:tcW w:w="4893" w:type="dxa"/>
          </w:tcPr>
          <w:p w:rsidR="00AC6992" w:rsidRDefault="00AC6992" w:rsidP="00082D5A">
            <w:pPr>
              <w:pStyle w:val="Body"/>
              <w:spacing w:before="200"/>
            </w:pPr>
            <w:r>
              <w:t>Purpose</w:t>
            </w:r>
          </w:p>
        </w:tc>
        <w:tc>
          <w:tcPr>
            <w:tcW w:w="2586" w:type="dxa"/>
          </w:tcPr>
          <w:p w:rsidR="00AC6992" w:rsidRDefault="00AC6992" w:rsidP="00730C9B">
            <w:pPr>
              <w:pStyle w:val="Body"/>
              <w:spacing w:before="200"/>
            </w:pPr>
            <w:r>
              <w:t>Paragraph 80</w:t>
            </w:r>
          </w:p>
        </w:tc>
      </w:tr>
      <w:tr w:rsidR="00AC6992" w:rsidTr="001127A5">
        <w:trPr>
          <w:cantSplit/>
        </w:trPr>
        <w:tc>
          <w:tcPr>
            <w:tcW w:w="4893" w:type="dxa"/>
          </w:tcPr>
          <w:p w:rsidR="00AC6992" w:rsidRDefault="00AC6992" w:rsidP="00082D5A">
            <w:pPr>
              <w:pStyle w:val="Body"/>
              <w:spacing w:before="200"/>
            </w:pPr>
            <w:r>
              <w:t>Purposes and results—Annual Performance Statement</w:t>
            </w:r>
          </w:p>
        </w:tc>
        <w:tc>
          <w:tcPr>
            <w:tcW w:w="2586" w:type="dxa"/>
          </w:tcPr>
          <w:p w:rsidR="00AC6992" w:rsidRDefault="00AC6992" w:rsidP="00730C9B">
            <w:pPr>
              <w:pStyle w:val="Body"/>
              <w:spacing w:before="200"/>
            </w:pPr>
            <w:r>
              <w:t>Chapter 2</w:t>
            </w:r>
          </w:p>
        </w:tc>
      </w:tr>
      <w:tr w:rsidR="00E024DF" w:rsidTr="001127A5">
        <w:trPr>
          <w:cantSplit/>
        </w:trPr>
        <w:tc>
          <w:tcPr>
            <w:tcW w:w="4893" w:type="dxa"/>
          </w:tcPr>
          <w:p w:rsidR="00E024DF" w:rsidRDefault="00E024DF" w:rsidP="00082D5A">
            <w:pPr>
              <w:pStyle w:val="Body"/>
              <w:spacing w:before="200"/>
            </w:pPr>
            <w:r>
              <w:t>Reconciliation Action Plan</w:t>
            </w:r>
          </w:p>
        </w:tc>
        <w:tc>
          <w:tcPr>
            <w:tcW w:w="2586" w:type="dxa"/>
          </w:tcPr>
          <w:p w:rsidR="00E024DF" w:rsidRDefault="00E024DF" w:rsidP="007A44F5">
            <w:pPr>
              <w:pStyle w:val="Body"/>
              <w:spacing w:before="200"/>
            </w:pPr>
            <w:r>
              <w:t xml:space="preserve">Paragraph </w:t>
            </w:r>
            <w:r w:rsidR="007A44F5">
              <w:t>323</w:t>
            </w:r>
          </w:p>
        </w:tc>
      </w:tr>
      <w:tr w:rsidR="00E024DF" w:rsidTr="001127A5">
        <w:trPr>
          <w:cantSplit/>
        </w:trPr>
        <w:tc>
          <w:tcPr>
            <w:tcW w:w="4893" w:type="dxa"/>
          </w:tcPr>
          <w:p w:rsidR="00E024DF" w:rsidRDefault="00E024DF" w:rsidP="00082D5A">
            <w:pPr>
              <w:pStyle w:val="Body"/>
              <w:spacing w:before="200"/>
            </w:pPr>
            <w:r>
              <w:t>Report on performance</w:t>
            </w:r>
          </w:p>
        </w:tc>
        <w:tc>
          <w:tcPr>
            <w:tcW w:w="2586" w:type="dxa"/>
          </w:tcPr>
          <w:p w:rsidR="00E024DF" w:rsidRDefault="00E024DF" w:rsidP="00082D5A">
            <w:pPr>
              <w:pStyle w:val="Body"/>
              <w:spacing w:before="200"/>
            </w:pPr>
            <w:r>
              <w:t>Chapter 2</w:t>
            </w:r>
          </w:p>
        </w:tc>
      </w:tr>
      <w:tr w:rsidR="00E024DF" w:rsidTr="001127A5">
        <w:trPr>
          <w:cantSplit/>
        </w:trPr>
        <w:tc>
          <w:tcPr>
            <w:tcW w:w="4893" w:type="dxa"/>
          </w:tcPr>
          <w:p w:rsidR="00E024DF" w:rsidRDefault="00E024DF" w:rsidP="00082D5A">
            <w:pPr>
              <w:pStyle w:val="Body"/>
              <w:spacing w:before="200"/>
            </w:pPr>
            <w:r>
              <w:t>Requirements</w:t>
            </w:r>
          </w:p>
        </w:tc>
        <w:tc>
          <w:tcPr>
            <w:tcW w:w="2586" w:type="dxa"/>
          </w:tcPr>
          <w:p w:rsidR="00E024DF" w:rsidRDefault="00E024DF" w:rsidP="001127A5">
            <w:pPr>
              <w:pStyle w:val="Body"/>
              <w:spacing w:before="200"/>
            </w:pPr>
            <w:r>
              <w:t>Appendix E</w:t>
            </w:r>
          </w:p>
        </w:tc>
      </w:tr>
      <w:tr w:rsidR="00E024DF" w:rsidTr="001127A5">
        <w:trPr>
          <w:cantSplit/>
        </w:trPr>
        <w:tc>
          <w:tcPr>
            <w:tcW w:w="4893" w:type="dxa"/>
          </w:tcPr>
          <w:p w:rsidR="00E024DF" w:rsidRDefault="00E024DF" w:rsidP="00082D5A">
            <w:pPr>
              <w:pStyle w:val="Body"/>
              <w:spacing w:before="200"/>
            </w:pPr>
            <w:r>
              <w:t>Risk management and fraud control</w:t>
            </w:r>
          </w:p>
        </w:tc>
        <w:tc>
          <w:tcPr>
            <w:tcW w:w="2586" w:type="dxa"/>
          </w:tcPr>
          <w:p w:rsidR="00E024DF" w:rsidRDefault="00E024DF" w:rsidP="007A44F5">
            <w:pPr>
              <w:pStyle w:val="Body"/>
              <w:spacing w:before="200"/>
            </w:pPr>
            <w:r>
              <w:t xml:space="preserve">Paragraph </w:t>
            </w:r>
            <w:r w:rsidR="007A44F5">
              <w:t>248</w:t>
            </w:r>
          </w:p>
        </w:tc>
      </w:tr>
      <w:tr w:rsidR="00E024DF" w:rsidTr="001127A5">
        <w:trPr>
          <w:cantSplit/>
        </w:trPr>
        <w:tc>
          <w:tcPr>
            <w:tcW w:w="4893" w:type="dxa"/>
          </w:tcPr>
          <w:p w:rsidR="00E024DF" w:rsidRDefault="00E024DF" w:rsidP="00082D5A">
            <w:pPr>
              <w:pStyle w:val="Body"/>
              <w:spacing w:before="200"/>
            </w:pPr>
            <w:r>
              <w:t>Role and functions of OPC</w:t>
            </w:r>
          </w:p>
        </w:tc>
        <w:tc>
          <w:tcPr>
            <w:tcW w:w="2586" w:type="dxa"/>
          </w:tcPr>
          <w:p w:rsidR="00E024DF" w:rsidRDefault="00E024DF" w:rsidP="007A44F5">
            <w:pPr>
              <w:pStyle w:val="Body"/>
              <w:spacing w:before="200"/>
            </w:pPr>
            <w:r>
              <w:t xml:space="preserve">Paragraph </w:t>
            </w:r>
            <w:r w:rsidR="007A44F5">
              <w:t>70</w:t>
            </w:r>
          </w:p>
        </w:tc>
      </w:tr>
      <w:tr w:rsidR="00E024DF" w:rsidTr="001127A5">
        <w:trPr>
          <w:cantSplit/>
        </w:trPr>
        <w:tc>
          <w:tcPr>
            <w:tcW w:w="4893" w:type="dxa"/>
          </w:tcPr>
          <w:p w:rsidR="00E024DF" w:rsidRDefault="00E024DF" w:rsidP="00082D5A">
            <w:pPr>
              <w:pStyle w:val="Body"/>
              <w:spacing w:before="200"/>
            </w:pPr>
            <w:r>
              <w:t>Salary ranges</w:t>
            </w:r>
          </w:p>
        </w:tc>
        <w:tc>
          <w:tcPr>
            <w:tcW w:w="2586" w:type="dxa"/>
          </w:tcPr>
          <w:p w:rsidR="00E024DF" w:rsidRDefault="00E024DF" w:rsidP="00082D5A">
            <w:pPr>
              <w:pStyle w:val="Body"/>
              <w:spacing w:before="200"/>
            </w:pPr>
            <w:r>
              <w:t>Appendix B</w:t>
            </w:r>
          </w:p>
        </w:tc>
      </w:tr>
      <w:tr w:rsidR="00E024DF" w:rsidTr="001127A5">
        <w:trPr>
          <w:cantSplit/>
        </w:trPr>
        <w:tc>
          <w:tcPr>
            <w:tcW w:w="4893" w:type="dxa"/>
          </w:tcPr>
          <w:p w:rsidR="00E024DF" w:rsidRDefault="002D48EF" w:rsidP="00082D5A">
            <w:pPr>
              <w:pStyle w:val="Body"/>
              <w:spacing w:before="200"/>
            </w:pPr>
            <w:r>
              <w:t>Senior Management T</w:t>
            </w:r>
            <w:r w:rsidR="00E024DF">
              <w:t>eam</w:t>
            </w:r>
          </w:p>
        </w:tc>
        <w:tc>
          <w:tcPr>
            <w:tcW w:w="2586" w:type="dxa"/>
          </w:tcPr>
          <w:p w:rsidR="00E024DF" w:rsidRDefault="00E024DF" w:rsidP="007A44F5">
            <w:pPr>
              <w:pStyle w:val="Body"/>
              <w:spacing w:before="200"/>
            </w:pPr>
            <w:r>
              <w:t xml:space="preserve">Paragraph </w:t>
            </w:r>
            <w:r w:rsidR="007A44F5">
              <w:t>236</w:t>
            </w:r>
          </w:p>
        </w:tc>
      </w:tr>
      <w:tr w:rsidR="00E024DF" w:rsidTr="001127A5">
        <w:trPr>
          <w:cantSplit/>
        </w:trPr>
        <w:tc>
          <w:tcPr>
            <w:tcW w:w="4893" w:type="dxa"/>
          </w:tcPr>
          <w:p w:rsidR="00E024DF" w:rsidRDefault="00E024DF" w:rsidP="00082D5A">
            <w:pPr>
              <w:pStyle w:val="Body"/>
              <w:spacing w:before="200"/>
            </w:pPr>
            <w:r>
              <w:t>SES remuneration</w:t>
            </w:r>
          </w:p>
        </w:tc>
        <w:tc>
          <w:tcPr>
            <w:tcW w:w="2586" w:type="dxa"/>
          </w:tcPr>
          <w:p w:rsidR="00E024DF" w:rsidRDefault="00E024DF" w:rsidP="007A44F5">
            <w:pPr>
              <w:pStyle w:val="Body"/>
              <w:spacing w:before="200"/>
            </w:pPr>
            <w:r>
              <w:t xml:space="preserve">Paragraph </w:t>
            </w:r>
            <w:r w:rsidR="007A44F5">
              <w:t>268</w:t>
            </w:r>
          </w:p>
        </w:tc>
      </w:tr>
      <w:tr w:rsidR="00B531D6" w:rsidTr="001127A5">
        <w:trPr>
          <w:cantSplit/>
        </w:trPr>
        <w:tc>
          <w:tcPr>
            <w:tcW w:w="4893" w:type="dxa"/>
          </w:tcPr>
          <w:p w:rsidR="00B531D6" w:rsidRDefault="00B531D6" w:rsidP="00B531D6">
            <w:pPr>
              <w:pStyle w:val="Body"/>
              <w:spacing w:before="200"/>
            </w:pPr>
            <w:r>
              <w:t>Staff development arrangements</w:t>
            </w:r>
          </w:p>
        </w:tc>
        <w:tc>
          <w:tcPr>
            <w:tcW w:w="2586" w:type="dxa"/>
          </w:tcPr>
          <w:p w:rsidR="00B531D6" w:rsidRDefault="00B531D6" w:rsidP="007A44F5">
            <w:pPr>
              <w:pStyle w:val="Body"/>
              <w:spacing w:before="200"/>
            </w:pPr>
            <w:r>
              <w:t xml:space="preserve">Paragraph </w:t>
            </w:r>
            <w:r w:rsidR="007A44F5">
              <w:t>290</w:t>
            </w:r>
          </w:p>
        </w:tc>
      </w:tr>
      <w:tr w:rsidR="00E024DF" w:rsidTr="001127A5">
        <w:trPr>
          <w:cantSplit/>
        </w:trPr>
        <w:tc>
          <w:tcPr>
            <w:tcW w:w="4893" w:type="dxa"/>
          </w:tcPr>
          <w:p w:rsidR="00E024DF" w:rsidRDefault="003D5FF4" w:rsidP="00082D5A">
            <w:pPr>
              <w:pStyle w:val="Body"/>
              <w:spacing w:before="200"/>
            </w:pPr>
            <w:r>
              <w:t>Staff</w:t>
            </w:r>
            <w:r w:rsidR="00E024DF">
              <w:t xml:space="preserve"> changes and recruitment</w:t>
            </w:r>
          </w:p>
        </w:tc>
        <w:tc>
          <w:tcPr>
            <w:tcW w:w="2586" w:type="dxa"/>
          </w:tcPr>
          <w:p w:rsidR="00E024DF" w:rsidRDefault="00E024DF" w:rsidP="007A44F5">
            <w:pPr>
              <w:pStyle w:val="Body"/>
              <w:spacing w:before="200"/>
            </w:pPr>
            <w:r>
              <w:t xml:space="preserve">Paragraph </w:t>
            </w:r>
            <w:r w:rsidR="007A44F5">
              <w:t>313</w:t>
            </w:r>
          </w:p>
        </w:tc>
      </w:tr>
      <w:tr w:rsidR="00E024DF" w:rsidTr="001127A5">
        <w:trPr>
          <w:cantSplit/>
        </w:trPr>
        <w:tc>
          <w:tcPr>
            <w:tcW w:w="4893" w:type="dxa"/>
          </w:tcPr>
          <w:p w:rsidR="00E024DF" w:rsidRDefault="003D5FF4" w:rsidP="00082D5A">
            <w:pPr>
              <w:pStyle w:val="Body"/>
              <w:spacing w:before="200"/>
            </w:pPr>
            <w:r>
              <w:t>Staff</w:t>
            </w:r>
            <w:r w:rsidR="00E024DF">
              <w:t xml:space="preserve"> statistics</w:t>
            </w:r>
          </w:p>
        </w:tc>
        <w:tc>
          <w:tcPr>
            <w:tcW w:w="2586" w:type="dxa"/>
          </w:tcPr>
          <w:p w:rsidR="00E024DF" w:rsidRDefault="00B531D6" w:rsidP="00B531D6">
            <w:pPr>
              <w:pStyle w:val="Body"/>
              <w:spacing w:before="200"/>
            </w:pPr>
            <w:r>
              <w:t>Appendix B</w:t>
            </w:r>
          </w:p>
        </w:tc>
      </w:tr>
      <w:tr w:rsidR="00E024DF" w:rsidTr="001127A5">
        <w:trPr>
          <w:cantSplit/>
        </w:trPr>
        <w:tc>
          <w:tcPr>
            <w:tcW w:w="4893" w:type="dxa"/>
          </w:tcPr>
          <w:p w:rsidR="00E024DF" w:rsidRDefault="00E024DF" w:rsidP="00082D5A">
            <w:pPr>
              <w:pStyle w:val="Body"/>
              <w:spacing w:before="200"/>
            </w:pPr>
            <w:r>
              <w:t>Staff meetings</w:t>
            </w:r>
          </w:p>
        </w:tc>
        <w:tc>
          <w:tcPr>
            <w:tcW w:w="2586" w:type="dxa"/>
          </w:tcPr>
          <w:p w:rsidR="00E024DF" w:rsidRDefault="00E024DF" w:rsidP="007A44F5">
            <w:pPr>
              <w:pStyle w:val="Body"/>
              <w:spacing w:before="200"/>
            </w:pPr>
            <w:r>
              <w:t xml:space="preserve">Paragraph </w:t>
            </w:r>
            <w:r w:rsidR="007A44F5">
              <w:t>246</w:t>
            </w:r>
          </w:p>
        </w:tc>
      </w:tr>
      <w:tr w:rsidR="00E024DF" w:rsidTr="001127A5">
        <w:trPr>
          <w:cantSplit/>
        </w:trPr>
        <w:tc>
          <w:tcPr>
            <w:tcW w:w="4893" w:type="dxa"/>
          </w:tcPr>
          <w:p w:rsidR="00E024DF" w:rsidRDefault="00E024DF" w:rsidP="00082D5A">
            <w:pPr>
              <w:pStyle w:val="Body"/>
              <w:spacing w:before="200"/>
            </w:pPr>
            <w:r>
              <w:t>Staff retention</w:t>
            </w:r>
          </w:p>
        </w:tc>
        <w:tc>
          <w:tcPr>
            <w:tcW w:w="2586" w:type="dxa"/>
          </w:tcPr>
          <w:p w:rsidR="00E024DF" w:rsidRDefault="00E024DF" w:rsidP="007A44F5">
            <w:pPr>
              <w:pStyle w:val="Body"/>
              <w:spacing w:before="200"/>
            </w:pPr>
            <w:r>
              <w:t xml:space="preserve">Paragraph </w:t>
            </w:r>
            <w:r w:rsidR="007A44F5">
              <w:t>316</w:t>
            </w:r>
          </w:p>
        </w:tc>
      </w:tr>
      <w:tr w:rsidR="00E024DF" w:rsidTr="001127A5">
        <w:trPr>
          <w:cantSplit/>
        </w:trPr>
        <w:tc>
          <w:tcPr>
            <w:tcW w:w="4893" w:type="dxa"/>
          </w:tcPr>
          <w:p w:rsidR="00E024DF" w:rsidRDefault="00E024DF" w:rsidP="00082D5A">
            <w:pPr>
              <w:pStyle w:val="Body"/>
              <w:spacing w:before="200"/>
            </w:pPr>
            <w:r>
              <w:t>Studies Assistance arrangements</w:t>
            </w:r>
          </w:p>
        </w:tc>
        <w:tc>
          <w:tcPr>
            <w:tcW w:w="2586" w:type="dxa"/>
          </w:tcPr>
          <w:p w:rsidR="00E024DF" w:rsidRDefault="00E024DF" w:rsidP="007A44F5">
            <w:pPr>
              <w:pStyle w:val="Body"/>
              <w:spacing w:before="200"/>
            </w:pPr>
            <w:r>
              <w:t xml:space="preserve">Paragraph </w:t>
            </w:r>
            <w:r w:rsidR="007A44F5">
              <w:t>297</w:t>
            </w:r>
          </w:p>
        </w:tc>
      </w:tr>
      <w:tr w:rsidR="00E024DF" w:rsidTr="001127A5">
        <w:trPr>
          <w:cantSplit/>
        </w:trPr>
        <w:tc>
          <w:tcPr>
            <w:tcW w:w="4893" w:type="dxa"/>
          </w:tcPr>
          <w:p w:rsidR="00E024DF" w:rsidRDefault="00E024DF" w:rsidP="00082D5A">
            <w:pPr>
              <w:pStyle w:val="Body"/>
              <w:spacing w:before="200"/>
            </w:pPr>
            <w:r>
              <w:t>Survey of OPC staff</w:t>
            </w:r>
          </w:p>
        </w:tc>
        <w:tc>
          <w:tcPr>
            <w:tcW w:w="2586" w:type="dxa"/>
          </w:tcPr>
          <w:p w:rsidR="00E024DF" w:rsidRDefault="00E024DF" w:rsidP="007A44F5">
            <w:pPr>
              <w:pStyle w:val="Body"/>
              <w:spacing w:before="200"/>
            </w:pPr>
            <w:r>
              <w:t xml:space="preserve">Paragraph </w:t>
            </w:r>
            <w:r w:rsidR="007A44F5">
              <w:t>272</w:t>
            </w:r>
          </w:p>
        </w:tc>
      </w:tr>
      <w:tr w:rsidR="00E024DF" w:rsidTr="001127A5">
        <w:trPr>
          <w:cantSplit/>
        </w:trPr>
        <w:tc>
          <w:tcPr>
            <w:tcW w:w="4893" w:type="dxa"/>
          </w:tcPr>
          <w:p w:rsidR="00E024DF" w:rsidRDefault="00E024DF" w:rsidP="00082D5A">
            <w:pPr>
              <w:pStyle w:val="Body"/>
              <w:spacing w:before="200"/>
            </w:pPr>
            <w:r>
              <w:t>Training and development</w:t>
            </w:r>
          </w:p>
        </w:tc>
        <w:tc>
          <w:tcPr>
            <w:tcW w:w="2586" w:type="dxa"/>
          </w:tcPr>
          <w:p w:rsidR="00E024DF" w:rsidRDefault="00E024DF" w:rsidP="007A44F5">
            <w:pPr>
              <w:pStyle w:val="Body"/>
              <w:spacing w:before="200"/>
            </w:pPr>
            <w:r>
              <w:t xml:space="preserve">Paragraph </w:t>
            </w:r>
            <w:r w:rsidR="007A44F5">
              <w:t>289</w:t>
            </w:r>
          </w:p>
        </w:tc>
      </w:tr>
      <w:tr w:rsidR="00E024DF" w:rsidTr="001127A5">
        <w:trPr>
          <w:cantSplit/>
        </w:trPr>
        <w:tc>
          <w:tcPr>
            <w:tcW w:w="4893" w:type="dxa"/>
          </w:tcPr>
          <w:p w:rsidR="00E024DF" w:rsidRDefault="00E024DF" w:rsidP="00F546F3">
            <w:pPr>
              <w:pStyle w:val="Body"/>
              <w:spacing w:before="200"/>
            </w:pPr>
            <w:r>
              <w:t>Training—drafters</w:t>
            </w:r>
          </w:p>
        </w:tc>
        <w:tc>
          <w:tcPr>
            <w:tcW w:w="2586" w:type="dxa"/>
          </w:tcPr>
          <w:p w:rsidR="00E024DF" w:rsidRDefault="00E024DF" w:rsidP="007A44F5">
            <w:pPr>
              <w:pStyle w:val="Body"/>
              <w:spacing w:before="200"/>
            </w:pPr>
            <w:r>
              <w:t xml:space="preserve">Paragraph </w:t>
            </w:r>
            <w:r w:rsidR="007A44F5">
              <w:t>292</w:t>
            </w:r>
          </w:p>
        </w:tc>
      </w:tr>
      <w:tr w:rsidR="00E024DF" w:rsidTr="001127A5">
        <w:trPr>
          <w:cantSplit/>
        </w:trPr>
        <w:tc>
          <w:tcPr>
            <w:tcW w:w="4893" w:type="dxa"/>
          </w:tcPr>
          <w:p w:rsidR="00E024DF" w:rsidRDefault="00E024DF" w:rsidP="00082D5A">
            <w:pPr>
              <w:pStyle w:val="Body"/>
              <w:spacing w:before="200"/>
            </w:pPr>
            <w:r>
              <w:t>Training—information technology</w:t>
            </w:r>
          </w:p>
        </w:tc>
        <w:tc>
          <w:tcPr>
            <w:tcW w:w="2586" w:type="dxa"/>
          </w:tcPr>
          <w:p w:rsidR="00E024DF" w:rsidRDefault="00E024DF" w:rsidP="007A44F5">
            <w:pPr>
              <w:pStyle w:val="Body"/>
              <w:spacing w:before="200"/>
            </w:pPr>
            <w:r>
              <w:t xml:space="preserve">Paragraph </w:t>
            </w:r>
            <w:r w:rsidR="007A44F5">
              <w:t>298</w:t>
            </w:r>
          </w:p>
        </w:tc>
      </w:tr>
      <w:tr w:rsidR="00AC6992" w:rsidTr="001127A5">
        <w:trPr>
          <w:cantSplit/>
        </w:trPr>
        <w:tc>
          <w:tcPr>
            <w:tcW w:w="4893" w:type="dxa"/>
          </w:tcPr>
          <w:p w:rsidR="00AC6992" w:rsidRDefault="00AC6992" w:rsidP="006B45FC">
            <w:pPr>
              <w:pStyle w:val="Body"/>
              <w:spacing w:before="180"/>
            </w:pPr>
            <w:r>
              <w:t>Website address</w:t>
            </w:r>
          </w:p>
        </w:tc>
        <w:tc>
          <w:tcPr>
            <w:tcW w:w="2586" w:type="dxa"/>
          </w:tcPr>
          <w:p w:rsidR="00AC6992" w:rsidRDefault="00AC6992" w:rsidP="006B45FC">
            <w:pPr>
              <w:pStyle w:val="Body"/>
              <w:spacing w:before="180"/>
            </w:pPr>
            <w:r>
              <w:t>Paragraph 366</w:t>
            </w:r>
          </w:p>
        </w:tc>
      </w:tr>
      <w:tr w:rsidR="00E024DF" w:rsidTr="001127A5">
        <w:trPr>
          <w:cantSplit/>
        </w:trPr>
        <w:tc>
          <w:tcPr>
            <w:tcW w:w="4893" w:type="dxa"/>
          </w:tcPr>
          <w:p w:rsidR="00E024DF" w:rsidRDefault="00E024DF" w:rsidP="00082D5A">
            <w:pPr>
              <w:pStyle w:val="Body"/>
              <w:spacing w:before="200"/>
            </w:pPr>
            <w:r>
              <w:t>Workforce planning</w:t>
            </w:r>
          </w:p>
        </w:tc>
        <w:tc>
          <w:tcPr>
            <w:tcW w:w="2586" w:type="dxa"/>
          </w:tcPr>
          <w:p w:rsidR="00E024DF" w:rsidRDefault="00E024DF" w:rsidP="007A44F5">
            <w:pPr>
              <w:pStyle w:val="Body"/>
              <w:spacing w:before="200"/>
            </w:pPr>
            <w:r>
              <w:t xml:space="preserve">Paragraph </w:t>
            </w:r>
            <w:r w:rsidR="007A44F5">
              <w:t>314</w:t>
            </w:r>
          </w:p>
        </w:tc>
      </w:tr>
      <w:tr w:rsidR="00E024DF" w:rsidTr="001127A5">
        <w:trPr>
          <w:cantSplit/>
        </w:trPr>
        <w:tc>
          <w:tcPr>
            <w:tcW w:w="4893" w:type="dxa"/>
          </w:tcPr>
          <w:p w:rsidR="00E024DF" w:rsidRDefault="00E024DF" w:rsidP="00082D5A">
            <w:pPr>
              <w:pStyle w:val="Body"/>
              <w:spacing w:before="200"/>
            </w:pPr>
            <w:r>
              <w:t>Work health and safety</w:t>
            </w:r>
          </w:p>
        </w:tc>
        <w:tc>
          <w:tcPr>
            <w:tcW w:w="2586" w:type="dxa"/>
          </w:tcPr>
          <w:p w:rsidR="00E024DF" w:rsidRDefault="00E024DF" w:rsidP="007A44F5">
            <w:pPr>
              <w:pStyle w:val="Body"/>
              <w:spacing w:before="200"/>
            </w:pPr>
            <w:r>
              <w:t xml:space="preserve">Paragraph </w:t>
            </w:r>
            <w:r w:rsidR="007A44F5">
              <w:t>331</w:t>
            </w:r>
          </w:p>
        </w:tc>
      </w:tr>
      <w:tr w:rsidR="00E024DF" w:rsidTr="001127A5">
        <w:trPr>
          <w:cantSplit/>
        </w:trPr>
        <w:tc>
          <w:tcPr>
            <w:tcW w:w="4893" w:type="dxa"/>
          </w:tcPr>
          <w:p w:rsidR="00E024DF" w:rsidRDefault="00E024DF" w:rsidP="00F14D50">
            <w:pPr>
              <w:pStyle w:val="Body"/>
              <w:spacing w:before="180"/>
            </w:pPr>
            <w:r>
              <w:t>Workplace agreements—coverage</w:t>
            </w:r>
          </w:p>
        </w:tc>
        <w:tc>
          <w:tcPr>
            <w:tcW w:w="2586" w:type="dxa"/>
          </w:tcPr>
          <w:p w:rsidR="00E024DF" w:rsidRDefault="00E024DF" w:rsidP="007A44F5">
            <w:pPr>
              <w:pStyle w:val="Body"/>
              <w:spacing w:before="180"/>
            </w:pPr>
            <w:r>
              <w:t xml:space="preserve">Paragraph </w:t>
            </w:r>
            <w:r w:rsidR="007A44F5">
              <w:t>305</w:t>
            </w:r>
          </w:p>
        </w:tc>
      </w:tr>
      <w:tr w:rsidR="00E024DF" w:rsidTr="001127A5">
        <w:trPr>
          <w:cantSplit/>
        </w:trPr>
        <w:tc>
          <w:tcPr>
            <w:tcW w:w="4893" w:type="dxa"/>
          </w:tcPr>
          <w:p w:rsidR="00E024DF" w:rsidRDefault="00E024DF" w:rsidP="00082D5A">
            <w:pPr>
              <w:pStyle w:val="Body"/>
              <w:spacing w:before="200"/>
            </w:pPr>
            <w:r>
              <w:t>Workplace Consultative Committee</w:t>
            </w:r>
          </w:p>
        </w:tc>
        <w:tc>
          <w:tcPr>
            <w:tcW w:w="2586" w:type="dxa"/>
          </w:tcPr>
          <w:p w:rsidR="00E024DF" w:rsidRDefault="00E024DF" w:rsidP="007A44F5">
            <w:pPr>
              <w:pStyle w:val="Body"/>
              <w:spacing w:before="200"/>
            </w:pPr>
            <w:r>
              <w:t xml:space="preserve">Paragraph </w:t>
            </w:r>
            <w:r w:rsidR="007A44F5">
              <w:t>239</w:t>
            </w:r>
          </w:p>
        </w:tc>
      </w:tr>
      <w:tr w:rsidR="00E024DF" w:rsidTr="001127A5">
        <w:trPr>
          <w:cantSplit/>
        </w:trPr>
        <w:tc>
          <w:tcPr>
            <w:tcW w:w="4893" w:type="dxa"/>
          </w:tcPr>
          <w:p w:rsidR="00E024DF" w:rsidRDefault="00E024DF" w:rsidP="00082D5A">
            <w:pPr>
              <w:pStyle w:val="Body"/>
              <w:spacing w:before="200"/>
            </w:pPr>
            <w:r>
              <w:t>Workplace diversity</w:t>
            </w:r>
          </w:p>
        </w:tc>
        <w:tc>
          <w:tcPr>
            <w:tcW w:w="2586" w:type="dxa"/>
          </w:tcPr>
          <w:p w:rsidR="00E024DF" w:rsidRDefault="00E024DF" w:rsidP="007A44F5">
            <w:pPr>
              <w:pStyle w:val="Body"/>
              <w:spacing w:before="200"/>
            </w:pPr>
            <w:r>
              <w:t xml:space="preserve">Paragraph </w:t>
            </w:r>
            <w:r w:rsidR="007A44F5">
              <w:t>317</w:t>
            </w:r>
          </w:p>
        </w:tc>
      </w:tr>
    </w:tbl>
    <w:p w:rsidR="000352B8" w:rsidRPr="00DD4DD8" w:rsidRDefault="000352B8" w:rsidP="00DD4DD8">
      <w:pPr>
        <w:rPr>
          <w:sz w:val="16"/>
          <w:szCs w:val="16"/>
        </w:rPr>
      </w:pPr>
    </w:p>
    <w:sectPr w:rsidR="000352B8" w:rsidRPr="00DD4DD8" w:rsidSect="00D56569">
      <w:headerReference w:type="even" r:id="rId141"/>
      <w:headerReference w:type="default" r:id="rId142"/>
      <w:pgSz w:w="11907" w:h="16839" w:code="9"/>
      <w:pgMar w:top="1134" w:right="2410" w:bottom="4253" w:left="2410" w:header="510" w:footer="3402"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69A" w:rsidRDefault="00FB069A">
      <w:r>
        <w:separator/>
      </w:r>
    </w:p>
  </w:endnote>
  <w:endnote w:type="continuationSeparator" w:id="0">
    <w:p w:rsidR="00FB069A" w:rsidRDefault="00FB0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pPr>
    <w:r>
      <w:rPr>
        <w:rStyle w:val="PageNumber"/>
      </w:rPr>
      <w:fldChar w:fldCharType="begin"/>
    </w:r>
    <w:r>
      <w:rPr>
        <w:rStyle w:val="PageNumber"/>
      </w:rPr>
      <w:instrText xml:space="preserve"> PAGE </w:instrText>
    </w:r>
    <w:r>
      <w:rPr>
        <w:rStyle w:val="PageNumber"/>
      </w:rPr>
      <w:fldChar w:fldCharType="separate"/>
    </w:r>
    <w:r w:rsidR="006C41B7">
      <w:rPr>
        <w:rStyle w:val="PageNumber"/>
        <w:noProof/>
      </w:rPr>
      <w:t>114</w:t>
    </w:r>
    <w:r>
      <w:rPr>
        <w:rStyle w:val="PageNumber"/>
      </w:rPr>
      <w:fldChar w:fldCharType="end"/>
    </w:r>
    <w:r>
      <w:rPr>
        <w:rStyle w:val="PageNumber"/>
      </w:rPr>
      <w:tab/>
    </w:r>
    <w:r>
      <w:rPr>
        <w:rStyle w:val="PageNumber"/>
        <w:color w:val="000000"/>
      </w:rPr>
      <w:t>Office of Parliamentary Counsel  —</w:t>
    </w:r>
    <w:r>
      <w:rPr>
        <w:rStyle w:val="PageNumber"/>
      </w:rPr>
      <w:t xml:space="preserve">  Annual Report 2004/2005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40</w:t>
    </w:r>
    <w:r>
      <w:rPr>
        <w:rStyle w:val="PageNumber"/>
        <w:color w:val="0000F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41</w:t>
    </w:r>
    <w:r>
      <w:rPr>
        <w:rStyle w:val="PageNumber"/>
        <w:color w:val="0000F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42</w:t>
    </w:r>
    <w:r>
      <w:rPr>
        <w:rStyle w:val="PageNumber"/>
        <w:color w:val="0000F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46</w:t>
    </w:r>
    <w:r>
      <w:rPr>
        <w:rStyle w:val="PageNumber"/>
        <w:color w:val="0000F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47</w:t>
    </w:r>
    <w:r>
      <w:rPr>
        <w:rStyle w:val="PageNumber"/>
        <w:color w:val="0000F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48</w:t>
    </w:r>
    <w:r>
      <w:rPr>
        <w:rStyle w:val="PageNumber"/>
        <w:color w:val="0000F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60</w:t>
    </w:r>
    <w:r>
      <w:rPr>
        <w:rStyle w:val="PageNumber"/>
        <w:color w:val="0000F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61</w:t>
    </w:r>
    <w:r>
      <w:rPr>
        <w:rStyle w:val="PageNumber"/>
        <w:color w:val="0000F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62</w:t>
    </w:r>
    <w:r>
      <w:rPr>
        <w:rStyle w:val="PageNumber"/>
        <w:color w:val="0000F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63</w:t>
    </w:r>
    <w:r>
      <w:rPr>
        <w:rStyle w:val="PageNumber"/>
        <w:color w:val="0000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64</w:t>
    </w:r>
    <w:r>
      <w:rPr>
        <w:rStyle w:val="PageNumber"/>
        <w:color w:val="0000F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114</w:t>
    </w:r>
    <w:r>
      <w:rPr>
        <w:rStyle w:val="PageNumber"/>
        <w:color w:val="0000F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66</w:t>
    </w:r>
    <w:r>
      <w:rPr>
        <w:rStyle w:val="PageNumber"/>
        <w:color w:val="0000F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65</w:t>
    </w:r>
    <w:r>
      <w:rPr>
        <w:rStyle w:val="PageNumber"/>
        <w:color w:val="0000F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68</w:t>
    </w:r>
    <w:r>
      <w:rPr>
        <w:rStyle w:val="PageNumber"/>
        <w:color w:val="0000F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69</w:t>
    </w:r>
    <w:r>
      <w:rPr>
        <w:rStyle w:val="PageNumber"/>
        <w:color w:val="0000F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90</w:t>
    </w:r>
    <w:r>
      <w:rPr>
        <w:rStyle w:val="PageNumber"/>
        <w:color w:val="0000F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89</w:t>
    </w:r>
    <w:r>
      <w:rPr>
        <w:rStyle w:val="PageNumber"/>
        <w:color w:val="0000F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Pr="0011534B" w:rsidRDefault="00FB069A">
    <w:pPr>
      <w:pStyle w:val="Footer"/>
      <w:tabs>
        <w:tab w:val="right" w:pos="7088"/>
      </w:tabs>
      <w:ind w:right="-1"/>
      <w:rPr>
        <w:rFonts w:ascii="Arial" w:hAnsi="Arial" w:cs="Arial"/>
        <w:color w:val="0000FF"/>
        <w:sz w:val="22"/>
        <w:szCs w:val="22"/>
      </w:rPr>
    </w:pPr>
    <w:r w:rsidRPr="0011534B">
      <w:rPr>
        <w:rStyle w:val="PageNumber"/>
        <w:rFonts w:ascii="Arial" w:hAnsi="Arial" w:cs="Arial"/>
        <w:color w:val="0000FF"/>
        <w:sz w:val="22"/>
        <w:szCs w:val="22"/>
      </w:rPr>
      <w:fldChar w:fldCharType="begin"/>
    </w:r>
    <w:r w:rsidRPr="0011534B">
      <w:rPr>
        <w:rStyle w:val="PageNumber"/>
        <w:rFonts w:ascii="Arial" w:hAnsi="Arial" w:cs="Arial"/>
        <w:color w:val="0000FF"/>
        <w:sz w:val="22"/>
        <w:szCs w:val="22"/>
      </w:rPr>
      <w:instrText xml:space="preserve"> PAGE </w:instrText>
    </w:r>
    <w:r w:rsidRPr="0011534B">
      <w:rPr>
        <w:rStyle w:val="PageNumber"/>
        <w:rFonts w:ascii="Arial" w:hAnsi="Arial" w:cs="Arial"/>
        <w:color w:val="0000FF"/>
        <w:sz w:val="22"/>
        <w:szCs w:val="22"/>
      </w:rPr>
      <w:fldChar w:fldCharType="separate"/>
    </w:r>
    <w:r w:rsidR="006C41B7">
      <w:rPr>
        <w:rStyle w:val="PageNumber"/>
        <w:rFonts w:ascii="Arial" w:hAnsi="Arial" w:cs="Arial"/>
        <w:noProof/>
        <w:color w:val="0000FF"/>
        <w:sz w:val="22"/>
        <w:szCs w:val="22"/>
      </w:rPr>
      <w:t>116</w:t>
    </w:r>
    <w:r w:rsidRPr="0011534B">
      <w:rPr>
        <w:rStyle w:val="PageNumber"/>
        <w:rFonts w:ascii="Arial" w:hAnsi="Arial" w:cs="Arial"/>
        <w:color w:val="0000FF"/>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7B1069">
      <w:rPr>
        <w:rStyle w:val="PageNumber"/>
        <w:noProof/>
        <w:color w:val="0000FF"/>
      </w:rPr>
      <w:t>ii</w:t>
    </w:r>
    <w:r>
      <w:rPr>
        <w:rStyle w:val="PageNumber"/>
        <w:color w:val="0000F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Pr="0011534B" w:rsidRDefault="00FB069A">
    <w:pPr>
      <w:pStyle w:val="Footer"/>
      <w:tabs>
        <w:tab w:val="right" w:pos="7088"/>
      </w:tabs>
      <w:ind w:right="-1"/>
      <w:jc w:val="right"/>
      <w:rPr>
        <w:rFonts w:ascii="Arial" w:hAnsi="Arial"/>
        <w:color w:val="0000FF"/>
        <w:sz w:val="22"/>
        <w:szCs w:val="22"/>
      </w:rPr>
    </w:pPr>
    <w:r w:rsidRPr="0011534B">
      <w:rPr>
        <w:rStyle w:val="PageNumber"/>
        <w:rFonts w:ascii="Arial" w:hAnsi="Arial"/>
        <w:color w:val="0000FF"/>
        <w:sz w:val="22"/>
        <w:szCs w:val="22"/>
      </w:rPr>
      <w:fldChar w:fldCharType="begin"/>
    </w:r>
    <w:r w:rsidRPr="0011534B">
      <w:rPr>
        <w:rStyle w:val="PageNumber"/>
        <w:rFonts w:ascii="Arial" w:hAnsi="Arial"/>
        <w:color w:val="0000FF"/>
        <w:sz w:val="22"/>
        <w:szCs w:val="22"/>
      </w:rPr>
      <w:instrText xml:space="preserve"> PAGE </w:instrText>
    </w:r>
    <w:r w:rsidRPr="0011534B">
      <w:rPr>
        <w:rStyle w:val="PageNumber"/>
        <w:rFonts w:ascii="Arial" w:hAnsi="Arial"/>
        <w:color w:val="0000FF"/>
        <w:sz w:val="22"/>
        <w:szCs w:val="22"/>
      </w:rPr>
      <w:fldChar w:fldCharType="separate"/>
    </w:r>
    <w:r w:rsidR="006C41B7">
      <w:rPr>
        <w:rStyle w:val="PageNumber"/>
        <w:rFonts w:ascii="Arial" w:hAnsi="Arial"/>
        <w:noProof/>
        <w:color w:val="0000FF"/>
        <w:sz w:val="22"/>
        <w:szCs w:val="22"/>
      </w:rPr>
      <w:t>115</w:t>
    </w:r>
    <w:r w:rsidRPr="0011534B">
      <w:rPr>
        <w:rStyle w:val="PageNumber"/>
        <w:rFonts w:ascii="Arial" w:hAnsi="Arial"/>
        <w:color w:val="0000FF"/>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7B1069">
      <w:rPr>
        <w:rStyle w:val="PageNumber"/>
        <w:noProof/>
        <w:color w:val="0000FF"/>
      </w:rPr>
      <w:t>i</w:t>
    </w:r>
    <w:r>
      <w:rPr>
        <w:rStyle w:val="PageNumber"/>
        <w:color w:val="0000F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7B1069">
      <w:rPr>
        <w:rStyle w:val="PageNumber"/>
        <w:noProof/>
        <w:color w:val="0000FF"/>
      </w:rPr>
      <w:t>4</w:t>
    </w:r>
    <w:r>
      <w:rPr>
        <w:rStyle w:val="PageNumber"/>
        <w:color w:val="0000F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7B1069">
      <w:rPr>
        <w:rStyle w:val="PageNumber"/>
        <w:noProof/>
        <w:color w:val="0000FF"/>
      </w:rPr>
      <w:t>1</w:t>
    </w:r>
    <w:r>
      <w:rPr>
        <w:rStyle w:val="PageNumber"/>
        <w:color w:val="0000F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12</w:t>
    </w:r>
    <w:r>
      <w:rPr>
        <w:rStyle w:val="PageNumber"/>
        <w:color w:val="0000F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Footer"/>
      <w:pBdr>
        <w:top w:val="single" w:sz="4" w:space="1" w:color="0000FF"/>
      </w:pBdr>
      <w:tabs>
        <w:tab w:val="right" w:pos="7088"/>
      </w:tabs>
      <w:ind w:right="-1"/>
      <w:rPr>
        <w:rStyle w:val="PageNumber"/>
      </w:rPr>
    </w:pPr>
  </w:p>
  <w:p w:rsidR="00FB069A" w:rsidRDefault="00FB069A">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C41B7">
      <w:rPr>
        <w:rStyle w:val="PageNumber"/>
        <w:noProof/>
        <w:color w:val="0000FF"/>
      </w:rPr>
      <w:t>11</w:t>
    </w:r>
    <w:r>
      <w:rPr>
        <w:rStyle w:val="PageNumber"/>
        <w:color w:val="0000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69A" w:rsidRDefault="00FB069A">
      <w:r>
        <w:separator/>
      </w:r>
    </w:p>
  </w:footnote>
  <w:footnote w:type="continuationSeparator" w:id="0">
    <w:p w:rsidR="00FB069A" w:rsidRDefault="00FB06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First Parliamentary Counsel’s Review</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p w:rsidR="00FB069A" w:rsidRDefault="00FB069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First Parliamentary Counsel’s Review</w:t>
    </w:r>
    <w:r>
      <w:rPr>
        <w:sz w:val="22"/>
      </w:rPr>
      <w:fldChar w:fldCharType="end"/>
    </w:r>
  </w:p>
  <w:p w:rsidR="00FB069A" w:rsidRDefault="00FB069A">
    <w:pPr>
      <w:pStyle w:val="Header"/>
      <w:pBdr>
        <w:bottom w:val="single" w:sz="4" w:space="1" w:color="0000FF"/>
      </w:pBdr>
      <w:tabs>
        <w:tab w:val="left" w:pos="567"/>
      </w:tabs>
      <w:rPr>
        <w:sz w:val="22"/>
      </w:rPr>
    </w:pPr>
  </w:p>
  <w:p w:rsidR="00FB069A" w:rsidRDefault="00FB069A">
    <w:pPr>
      <w:pStyle w:val="Header"/>
      <w:tabs>
        <w:tab w:val="left" w:pos="567"/>
      </w:tabs>
      <w:rPr>
        <w:b/>
        <w:sz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First Parliamentary Counsel’s Review</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1—Overview of OPC</w:t>
    </w:r>
    <w:r>
      <w:rPr>
        <w:sz w:val="22"/>
      </w:rPr>
      <w:fldChar w:fldCharType="end"/>
    </w:r>
  </w:p>
  <w:p w:rsidR="00FB069A" w:rsidRDefault="00FB069A">
    <w:pPr>
      <w:pStyle w:val="Header"/>
      <w:pBdr>
        <w:bottom w:val="single" w:sz="4" w:space="1" w:color="0000FF"/>
      </w:pBdr>
      <w:tabs>
        <w:tab w:val="left" w:pos="567"/>
      </w:tabs>
      <w:rPr>
        <w:sz w:val="22"/>
      </w:rPr>
    </w:pPr>
  </w:p>
  <w:p w:rsidR="00FB069A" w:rsidRDefault="00FB069A">
    <w:pPr>
      <w:pStyle w:val="Header"/>
      <w:tabs>
        <w:tab w:val="left" w:pos="567"/>
      </w:tabs>
      <w:rPr>
        <w:b/>
        <w:sz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1—Overview of OPC</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1—Overview of OPC</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rsidP="006A72B6">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3—Management and accountability</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2—Annual Performance Statement</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3—Management and accountability</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3—Management and accountability</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3—Management and accountability</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3—Management and accountability</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4—Management of human resources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3—Management and accountability</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4—Management of human resources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4—Management of human resources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4—Management of human resources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t>Contents</w:t>
    </w:r>
  </w:p>
  <w:p w:rsidR="00FB069A" w:rsidRDefault="00FB069A">
    <w:pPr>
      <w:pStyle w:val="Header"/>
      <w:pBdr>
        <w:bottom w:val="single" w:sz="4" w:space="1" w:color="0000FF"/>
      </w:pBdr>
      <w:tabs>
        <w:tab w:val="left" w:pos="567"/>
      </w:tabs>
      <w:rPr>
        <w:sz w:val="22"/>
      </w:rPr>
    </w:pPr>
  </w:p>
  <w:p w:rsidR="00FB069A" w:rsidRDefault="00FB069A">
    <w:pPr>
      <w:pStyle w:val="Header"/>
      <w:tabs>
        <w:tab w:val="left" w:pos="567"/>
      </w:tabs>
      <w:rPr>
        <w:b/>
        <w:sz w:val="2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4—Management of human resources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5—Purchasing and consultants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4—Management of human resources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5—Purchasing and consultants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5—Purchasing and consultants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6—Miscellaneous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5—Purchasing and consultants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Chapter 5—Purchasing and consultants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Appendix A—Entity resource statement and Expenses by outcome</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Appendix A—Entity resource statement and Expenses by outcome</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t>Contents</w:t>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Appendix B—Staffing statistics and salary ranges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Appendix B—Staffing statistics and salary ranges</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Appendix D—Financial Statements 2015-2016</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Appendix D—Financial Statements 2015-2016</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rsidP="001A63DB">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Appendix D—Financial Statements 2015-2016</w:t>
    </w:r>
    <w:r>
      <w:rPr>
        <w:sz w:val="22"/>
      </w:rPr>
      <w:fldChar w:fldCharType="end"/>
    </w:r>
  </w:p>
  <w:p w:rsidR="00FB069A" w:rsidRDefault="00FB069A" w:rsidP="001A63DB">
    <w:pPr>
      <w:pStyle w:val="Header"/>
      <w:pBdr>
        <w:bottom w:val="single" w:sz="4" w:space="1" w:color="0000FF"/>
      </w:pBdr>
      <w:tabs>
        <w:tab w:val="left" w:pos="567"/>
      </w:tabs>
      <w:jc w:val="right"/>
      <w:rPr>
        <w:sz w:val="22"/>
      </w:rPr>
    </w:pPr>
  </w:p>
  <w:p w:rsidR="00FB069A" w:rsidRDefault="00FB069A" w:rsidP="00E42F6F">
    <w:pPr>
      <w:pStyle w:val="Header"/>
    </w:pPr>
  </w:p>
  <w:tbl>
    <w:tblPr>
      <w:tblW w:w="7110" w:type="dxa"/>
      <w:tblLayout w:type="fixed"/>
      <w:tblCellMar>
        <w:left w:w="30" w:type="dxa"/>
        <w:right w:w="30" w:type="dxa"/>
      </w:tblCellMar>
      <w:tblLook w:val="0000" w:firstRow="0" w:lastRow="0" w:firstColumn="0" w:lastColumn="0" w:noHBand="0" w:noVBand="0"/>
    </w:tblPr>
    <w:tblGrid>
      <w:gridCol w:w="7110"/>
    </w:tblGrid>
    <w:tr w:rsidR="00FB069A" w:rsidTr="00E42F6F">
      <w:trPr>
        <w:trHeight w:hRule="exact" w:val="198"/>
      </w:trPr>
      <w:tc>
        <w:tcPr>
          <w:tcW w:w="7110" w:type="dxa"/>
          <w:tcBorders>
            <w:top w:val="nil"/>
            <w:left w:val="nil"/>
            <w:bottom w:val="nil"/>
            <w:right w:val="nil"/>
          </w:tcBorders>
        </w:tcPr>
        <w:p w:rsidR="00FB069A" w:rsidRDefault="00FB069A" w:rsidP="00E42F6F">
          <w:pPr>
            <w:autoSpaceDE w:val="0"/>
            <w:autoSpaceDN w:val="0"/>
            <w:adjustRightInd w:val="0"/>
            <w:rPr>
              <w:rFonts w:ascii="Arial" w:hAnsi="Arial"/>
              <w:b/>
              <w:color w:val="000000"/>
              <w:sz w:val="16"/>
              <w:lang w:val="en-US"/>
            </w:rPr>
          </w:pPr>
          <w:r>
            <w:rPr>
              <w:rFonts w:ascii="Arial" w:hAnsi="Arial"/>
              <w:b/>
              <w:color w:val="000000"/>
              <w:sz w:val="16"/>
              <w:lang w:val="en-US"/>
            </w:rPr>
            <w:t>OFFICE OF PARLIAMENTARY COUNSEL</w:t>
          </w:r>
        </w:p>
      </w:tc>
    </w:tr>
    <w:tr w:rsidR="00FB069A" w:rsidTr="00E42F6F">
      <w:trPr>
        <w:trHeight w:hRule="exact" w:val="198"/>
      </w:trPr>
      <w:tc>
        <w:tcPr>
          <w:tcW w:w="7110" w:type="dxa"/>
          <w:tcBorders>
            <w:top w:val="nil"/>
            <w:left w:val="nil"/>
            <w:bottom w:val="nil"/>
            <w:right w:val="nil"/>
          </w:tcBorders>
        </w:tcPr>
        <w:p w:rsidR="00FB069A" w:rsidRDefault="00FB069A" w:rsidP="00E42F6F">
          <w:pPr>
            <w:autoSpaceDE w:val="0"/>
            <w:autoSpaceDN w:val="0"/>
            <w:adjustRightInd w:val="0"/>
            <w:rPr>
              <w:rFonts w:ascii="Arial" w:hAnsi="Arial"/>
              <w:b/>
              <w:color w:val="000000"/>
              <w:sz w:val="16"/>
              <w:lang w:val="en-US"/>
            </w:rPr>
          </w:pPr>
          <w:r>
            <w:rPr>
              <w:rFonts w:ascii="Arial" w:hAnsi="Arial"/>
              <w:b/>
              <w:color w:val="000000"/>
              <w:sz w:val="16"/>
              <w:lang w:val="en-US"/>
            </w:rPr>
            <w:t xml:space="preserve">NOTES TO AND FORMING PART OF THE FINANCIAL STATEMENTS </w:t>
          </w:r>
        </w:p>
      </w:tc>
    </w:tr>
    <w:tr w:rsidR="00FB069A" w:rsidTr="00E42F6F">
      <w:trPr>
        <w:trHeight w:hRule="exact" w:val="198"/>
      </w:trPr>
      <w:tc>
        <w:tcPr>
          <w:tcW w:w="7110" w:type="dxa"/>
          <w:tcBorders>
            <w:top w:val="nil"/>
            <w:left w:val="nil"/>
            <w:bottom w:val="nil"/>
            <w:right w:val="nil"/>
          </w:tcBorders>
        </w:tcPr>
        <w:p w:rsidR="00FB069A" w:rsidRDefault="00FB069A" w:rsidP="00E42F6F">
          <w:pPr>
            <w:autoSpaceDE w:val="0"/>
            <w:autoSpaceDN w:val="0"/>
            <w:adjustRightInd w:val="0"/>
            <w:rPr>
              <w:rFonts w:ascii="Arial" w:hAnsi="Arial"/>
              <w:b/>
              <w:color w:val="000000"/>
              <w:sz w:val="16"/>
              <w:lang w:val="en-US"/>
            </w:rPr>
          </w:pPr>
          <w:r>
            <w:rPr>
              <w:rFonts w:ascii="Arial" w:hAnsi="Arial"/>
              <w:b/>
              <w:color w:val="000000"/>
              <w:sz w:val="16"/>
              <w:lang w:val="en-US"/>
            </w:rPr>
            <w:t>for the year ended 30 June 2016</w:t>
          </w:r>
        </w:p>
      </w:tc>
    </w:tr>
  </w:tbl>
  <w:p w:rsidR="00FB069A" w:rsidRDefault="00FB069A" w:rsidP="00E42F6F">
    <w:pPr>
      <w:pStyle w:val="Header"/>
      <w:rPr>
        <w:sz w:val="12"/>
        <w:szCs w:val="1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rsidP="001A63DB">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C41B7">
      <w:rPr>
        <w:noProof/>
        <w:sz w:val="22"/>
      </w:rPr>
      <w:t>Appendix D—Financial Statements 2015-2016</w:t>
    </w:r>
    <w:r>
      <w:rPr>
        <w:sz w:val="22"/>
      </w:rPr>
      <w:fldChar w:fldCharType="end"/>
    </w:r>
  </w:p>
  <w:p w:rsidR="00FB069A" w:rsidRDefault="00FB069A" w:rsidP="001A63DB">
    <w:pPr>
      <w:pStyle w:val="Header"/>
      <w:pBdr>
        <w:bottom w:val="single" w:sz="4" w:space="1" w:color="0000FF"/>
      </w:pBdr>
      <w:tabs>
        <w:tab w:val="left" w:pos="567"/>
      </w:tabs>
      <w:jc w:val="right"/>
      <w:rPr>
        <w:sz w:val="22"/>
      </w:rPr>
    </w:pPr>
  </w:p>
  <w:p w:rsidR="00FB069A" w:rsidRDefault="00FB069A" w:rsidP="006A72B6">
    <w:pPr>
      <w:pStyle w:val="Header"/>
    </w:pPr>
  </w:p>
  <w:tbl>
    <w:tblPr>
      <w:tblW w:w="7110" w:type="dxa"/>
      <w:tblLayout w:type="fixed"/>
      <w:tblCellMar>
        <w:left w:w="30" w:type="dxa"/>
        <w:right w:w="30" w:type="dxa"/>
      </w:tblCellMar>
      <w:tblLook w:val="0000" w:firstRow="0" w:lastRow="0" w:firstColumn="0" w:lastColumn="0" w:noHBand="0" w:noVBand="0"/>
    </w:tblPr>
    <w:tblGrid>
      <w:gridCol w:w="7110"/>
    </w:tblGrid>
    <w:tr w:rsidR="00FB069A" w:rsidTr="0048242C">
      <w:trPr>
        <w:trHeight w:hRule="exact" w:val="198"/>
      </w:trPr>
      <w:tc>
        <w:tcPr>
          <w:tcW w:w="7110" w:type="dxa"/>
          <w:tcBorders>
            <w:top w:val="nil"/>
            <w:left w:val="nil"/>
            <w:bottom w:val="nil"/>
            <w:right w:val="nil"/>
          </w:tcBorders>
        </w:tcPr>
        <w:p w:rsidR="00FB069A" w:rsidRDefault="00FB069A" w:rsidP="0048242C">
          <w:pPr>
            <w:autoSpaceDE w:val="0"/>
            <w:autoSpaceDN w:val="0"/>
            <w:adjustRightInd w:val="0"/>
            <w:rPr>
              <w:rFonts w:ascii="Arial" w:hAnsi="Arial"/>
              <w:b/>
              <w:color w:val="000000"/>
              <w:sz w:val="16"/>
              <w:lang w:val="en-US"/>
            </w:rPr>
          </w:pPr>
          <w:r>
            <w:rPr>
              <w:rFonts w:ascii="Arial" w:hAnsi="Arial"/>
              <w:b/>
              <w:color w:val="000000"/>
              <w:sz w:val="16"/>
              <w:lang w:val="en-US"/>
            </w:rPr>
            <w:t>OFFICE OF PARLIAMENTARY COUNSEL</w:t>
          </w:r>
        </w:p>
      </w:tc>
    </w:tr>
    <w:tr w:rsidR="00FB069A" w:rsidTr="0048242C">
      <w:trPr>
        <w:trHeight w:hRule="exact" w:val="198"/>
      </w:trPr>
      <w:tc>
        <w:tcPr>
          <w:tcW w:w="7110" w:type="dxa"/>
          <w:tcBorders>
            <w:top w:val="nil"/>
            <w:left w:val="nil"/>
            <w:bottom w:val="nil"/>
            <w:right w:val="nil"/>
          </w:tcBorders>
        </w:tcPr>
        <w:p w:rsidR="00FB069A" w:rsidRDefault="00FB069A" w:rsidP="0048242C">
          <w:pPr>
            <w:autoSpaceDE w:val="0"/>
            <w:autoSpaceDN w:val="0"/>
            <w:adjustRightInd w:val="0"/>
            <w:rPr>
              <w:rFonts w:ascii="Arial" w:hAnsi="Arial"/>
              <w:b/>
              <w:color w:val="000000"/>
              <w:sz w:val="16"/>
              <w:lang w:val="en-US"/>
            </w:rPr>
          </w:pPr>
          <w:r>
            <w:rPr>
              <w:rFonts w:ascii="Arial" w:hAnsi="Arial"/>
              <w:b/>
              <w:color w:val="000000"/>
              <w:sz w:val="16"/>
              <w:lang w:val="en-US"/>
            </w:rPr>
            <w:t xml:space="preserve">NOTES TO AND FORMING PART OF THE FINANCIAL STATEMENTS </w:t>
          </w:r>
        </w:p>
      </w:tc>
    </w:tr>
    <w:tr w:rsidR="00FB069A" w:rsidTr="0048242C">
      <w:trPr>
        <w:trHeight w:hRule="exact" w:val="198"/>
      </w:trPr>
      <w:tc>
        <w:tcPr>
          <w:tcW w:w="7110" w:type="dxa"/>
          <w:tcBorders>
            <w:top w:val="nil"/>
            <w:left w:val="nil"/>
            <w:bottom w:val="nil"/>
            <w:right w:val="nil"/>
          </w:tcBorders>
        </w:tcPr>
        <w:p w:rsidR="00FB069A" w:rsidRDefault="00FB069A" w:rsidP="0048242C">
          <w:pPr>
            <w:autoSpaceDE w:val="0"/>
            <w:autoSpaceDN w:val="0"/>
            <w:adjustRightInd w:val="0"/>
            <w:rPr>
              <w:rFonts w:ascii="Arial" w:hAnsi="Arial"/>
              <w:b/>
              <w:color w:val="000000"/>
              <w:sz w:val="16"/>
              <w:lang w:val="en-US"/>
            </w:rPr>
          </w:pPr>
          <w:r>
            <w:rPr>
              <w:rFonts w:ascii="Arial" w:hAnsi="Arial"/>
              <w:b/>
              <w:color w:val="000000"/>
              <w:sz w:val="16"/>
              <w:lang w:val="en-US"/>
            </w:rPr>
            <w:t>for the year ended 30 June 2016</w:t>
          </w:r>
        </w:p>
      </w:tc>
    </w:tr>
  </w:tbl>
  <w:p w:rsidR="00FB069A" w:rsidRDefault="00FB069A" w:rsidP="00E42F6F">
    <w:pPr>
      <w:pStyle w:val="Header"/>
      <w:rPr>
        <w:sz w:val="12"/>
        <w:szCs w:val="1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Pr="00DC7B00" w:rsidRDefault="00FB069A" w:rsidP="00E61F4C">
    <w:pPr>
      <w:pStyle w:val="Header"/>
      <w:tabs>
        <w:tab w:val="left" w:pos="567"/>
      </w:tabs>
      <w:rPr>
        <w:sz w:val="22"/>
      </w:rPr>
    </w:pPr>
    <w:r w:rsidRPr="00DC7B00">
      <w:rPr>
        <w:sz w:val="22"/>
      </w:rPr>
      <w:fldChar w:fldCharType="begin"/>
    </w:r>
    <w:r w:rsidRPr="00DC7B00">
      <w:rPr>
        <w:sz w:val="22"/>
      </w:rPr>
      <w:instrText xml:space="preserve"> STYLEREF "Head 2" </w:instrText>
    </w:r>
    <w:r w:rsidRPr="00DC7B00">
      <w:rPr>
        <w:sz w:val="22"/>
      </w:rPr>
      <w:fldChar w:fldCharType="separate"/>
    </w:r>
    <w:r w:rsidR="006C41B7">
      <w:rPr>
        <w:noProof/>
        <w:sz w:val="22"/>
      </w:rPr>
      <w:t>Appendix E—List of requirements</w:t>
    </w:r>
    <w:r w:rsidRPr="00DC7B00">
      <w:rPr>
        <w:sz w:val="22"/>
      </w:rPr>
      <w:fldChar w:fldCharType="end"/>
    </w:r>
  </w:p>
  <w:p w:rsidR="00FB069A" w:rsidRDefault="00FB069A" w:rsidP="00007805">
    <w:pPr>
      <w:pStyle w:val="Header"/>
      <w:pBdr>
        <w:bottom w:val="single" w:sz="4" w:space="0" w:color="0000FF"/>
      </w:pBdr>
      <w:tabs>
        <w:tab w:val="left" w:pos="567"/>
      </w:tabs>
      <w:jc w:val="right"/>
      <w:rPr>
        <w:sz w:val="22"/>
      </w:rPr>
    </w:pPr>
  </w:p>
  <w:p w:rsidR="00FB069A" w:rsidRDefault="00FB069A" w:rsidP="00E61F4C">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Pr="00DC7B00" w:rsidRDefault="00FB069A" w:rsidP="00E61F4C">
    <w:pPr>
      <w:pStyle w:val="Header"/>
      <w:tabs>
        <w:tab w:val="left" w:pos="567"/>
      </w:tabs>
      <w:jc w:val="right"/>
      <w:rPr>
        <w:sz w:val="22"/>
      </w:rPr>
    </w:pPr>
    <w:r w:rsidRPr="00DC7B00">
      <w:rPr>
        <w:sz w:val="22"/>
      </w:rPr>
      <w:fldChar w:fldCharType="begin"/>
    </w:r>
    <w:r w:rsidRPr="00DC7B00">
      <w:rPr>
        <w:sz w:val="22"/>
      </w:rPr>
      <w:instrText xml:space="preserve"> STYLEREF "Head </w:instrText>
    </w:r>
    <w:r>
      <w:rPr>
        <w:sz w:val="22"/>
      </w:rPr>
      <w:instrText>2</w:instrText>
    </w:r>
    <w:r w:rsidRPr="00DC7B00">
      <w:rPr>
        <w:sz w:val="22"/>
      </w:rPr>
      <w:instrText xml:space="preserve">" </w:instrText>
    </w:r>
    <w:r w:rsidRPr="00DC7B00">
      <w:rPr>
        <w:sz w:val="22"/>
      </w:rPr>
      <w:fldChar w:fldCharType="separate"/>
    </w:r>
    <w:r w:rsidR="006C41B7">
      <w:rPr>
        <w:noProof/>
        <w:sz w:val="22"/>
      </w:rPr>
      <w:t>Appendix E—List of requirements</w:t>
    </w:r>
    <w:r w:rsidRPr="00DC7B00">
      <w:rPr>
        <w:sz w:val="22"/>
      </w:rPr>
      <w:fldChar w:fldCharType="end"/>
    </w:r>
  </w:p>
  <w:p w:rsidR="00FB069A" w:rsidRDefault="00FB069A" w:rsidP="00007805">
    <w:pPr>
      <w:pStyle w:val="Header"/>
      <w:pBdr>
        <w:bottom w:val="single" w:sz="4" w:space="0" w:color="0000FF"/>
      </w:pBdr>
      <w:tabs>
        <w:tab w:val="left" w:pos="567"/>
      </w:tabs>
      <w:jc w:val="right"/>
      <w:rPr>
        <w:sz w:val="22"/>
      </w:rPr>
    </w:pPr>
  </w:p>
  <w:p w:rsidR="00FB069A" w:rsidRDefault="00FB069A" w:rsidP="00E61F4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Pr="00DC7B00" w:rsidRDefault="00FB069A" w:rsidP="00280743">
    <w:pPr>
      <w:pStyle w:val="Header"/>
      <w:widowControl w:val="0"/>
      <w:tabs>
        <w:tab w:val="clear" w:pos="4153"/>
        <w:tab w:val="clear" w:pos="4320"/>
        <w:tab w:val="clear" w:pos="8306"/>
        <w:tab w:val="clear" w:pos="8640"/>
      </w:tabs>
      <w:rPr>
        <w:sz w:val="22"/>
      </w:rPr>
    </w:pPr>
    <w:r w:rsidRPr="00DC7B00">
      <w:rPr>
        <w:sz w:val="22"/>
      </w:rPr>
      <w:fldChar w:fldCharType="begin"/>
    </w:r>
    <w:r w:rsidRPr="00DC7B00">
      <w:rPr>
        <w:sz w:val="22"/>
      </w:rPr>
      <w:instrText xml:space="preserve"> STYLEREF "Head </w:instrText>
    </w:r>
    <w:r>
      <w:rPr>
        <w:sz w:val="22"/>
      </w:rPr>
      <w:instrText>2</w:instrText>
    </w:r>
    <w:r w:rsidRPr="00DC7B00">
      <w:rPr>
        <w:sz w:val="22"/>
      </w:rPr>
      <w:instrText xml:space="preserve">" </w:instrText>
    </w:r>
    <w:r w:rsidRPr="00DC7B00">
      <w:rPr>
        <w:sz w:val="22"/>
      </w:rPr>
      <w:fldChar w:fldCharType="separate"/>
    </w:r>
    <w:r w:rsidR="006C41B7">
      <w:rPr>
        <w:noProof/>
        <w:sz w:val="22"/>
      </w:rPr>
      <w:t>Index</w:t>
    </w:r>
    <w:r w:rsidRPr="00DC7B00">
      <w:rPr>
        <w:sz w:val="22"/>
      </w:rPr>
      <w:fldChar w:fldCharType="end"/>
    </w:r>
  </w:p>
  <w:p w:rsidR="00FB069A" w:rsidRDefault="00FB069A" w:rsidP="00007805">
    <w:pPr>
      <w:pStyle w:val="Header"/>
      <w:pBdr>
        <w:bottom w:val="single" w:sz="4" w:space="0" w:color="0000FF"/>
      </w:pBdr>
      <w:tabs>
        <w:tab w:val="left" w:pos="567"/>
      </w:tabs>
      <w:jc w:val="right"/>
      <w:rPr>
        <w:sz w:val="22"/>
      </w:rPr>
    </w:pPr>
  </w:p>
  <w:p w:rsidR="00FB069A" w:rsidRDefault="00FB069A" w:rsidP="00E61F4C">
    <w:pPr>
      <w:pStyle w:val="Header"/>
    </w:pPr>
  </w:p>
  <w:p w:rsidR="00FB069A" w:rsidRDefault="00FB069A" w:rsidP="00E61F4C">
    <w:pPr>
      <w:pStyle w:val="Header"/>
      <w:rPr>
        <w:sz w:val="12"/>
        <w:szCs w:val="1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Pr="00DC7B00" w:rsidRDefault="00FB069A" w:rsidP="00280743">
    <w:pPr>
      <w:pStyle w:val="Header"/>
      <w:tabs>
        <w:tab w:val="clear" w:pos="8306"/>
        <w:tab w:val="clear" w:pos="8640"/>
        <w:tab w:val="left" w:pos="567"/>
      </w:tabs>
      <w:jc w:val="right"/>
      <w:rPr>
        <w:sz w:val="22"/>
      </w:rPr>
    </w:pPr>
    <w:r w:rsidRPr="00DC7B00">
      <w:rPr>
        <w:sz w:val="22"/>
      </w:rPr>
      <w:fldChar w:fldCharType="begin"/>
    </w:r>
    <w:r w:rsidRPr="00DC7B00">
      <w:rPr>
        <w:sz w:val="22"/>
      </w:rPr>
      <w:instrText xml:space="preserve"> STYLEREF "Head </w:instrText>
    </w:r>
    <w:r>
      <w:rPr>
        <w:sz w:val="22"/>
      </w:rPr>
      <w:instrText>2</w:instrText>
    </w:r>
    <w:r w:rsidRPr="00DC7B00">
      <w:rPr>
        <w:sz w:val="22"/>
      </w:rPr>
      <w:instrText xml:space="preserve">" </w:instrText>
    </w:r>
    <w:r w:rsidRPr="00DC7B00">
      <w:rPr>
        <w:sz w:val="22"/>
      </w:rPr>
      <w:fldChar w:fldCharType="separate"/>
    </w:r>
    <w:r w:rsidR="006C41B7">
      <w:rPr>
        <w:noProof/>
        <w:sz w:val="22"/>
      </w:rPr>
      <w:t>Index</w:t>
    </w:r>
    <w:r w:rsidRPr="00DC7B00">
      <w:rPr>
        <w:sz w:val="22"/>
      </w:rPr>
      <w:fldChar w:fldCharType="end"/>
    </w:r>
  </w:p>
  <w:p w:rsidR="00FB069A" w:rsidRDefault="00FB069A" w:rsidP="00007805">
    <w:pPr>
      <w:pStyle w:val="Header"/>
      <w:pBdr>
        <w:bottom w:val="single" w:sz="4" w:space="0" w:color="0000FF"/>
      </w:pBdr>
      <w:tabs>
        <w:tab w:val="left" w:pos="567"/>
      </w:tabs>
      <w:jc w:val="right"/>
      <w:rPr>
        <w:sz w:val="22"/>
      </w:rPr>
    </w:pPr>
  </w:p>
  <w:p w:rsidR="00FB069A" w:rsidRDefault="00FB069A" w:rsidP="00E61F4C">
    <w:pPr>
      <w:pStyle w:val="Header"/>
    </w:pPr>
  </w:p>
  <w:p w:rsidR="00FB069A" w:rsidRDefault="00FB069A" w:rsidP="00E61F4C">
    <w:pPr>
      <w:pStyle w:val="Header"/>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C41B7">
      <w:rPr>
        <w:noProof/>
        <w:sz w:val="22"/>
      </w:rPr>
      <w:t>First Parliamentary Counsel’s Review</w:t>
    </w:r>
    <w:r>
      <w:rPr>
        <w:sz w:val="22"/>
      </w:rPr>
      <w:fldChar w:fldCharType="end"/>
    </w:r>
  </w:p>
  <w:p w:rsidR="00FB069A" w:rsidRDefault="00FB069A">
    <w:pPr>
      <w:pStyle w:val="Header"/>
      <w:pBdr>
        <w:bottom w:val="single" w:sz="4" w:space="1" w:color="0000FF"/>
      </w:pBdr>
      <w:tabs>
        <w:tab w:val="left" w:pos="567"/>
      </w:tabs>
      <w:rPr>
        <w:sz w:val="22"/>
      </w:rPr>
    </w:pPr>
  </w:p>
  <w:p w:rsidR="00FB069A" w:rsidRDefault="00FB069A">
    <w:pPr>
      <w:pStyle w:val="Header"/>
      <w:tabs>
        <w:tab w:val="left" w:pos="567"/>
      </w:tabs>
      <w:rPr>
        <w:b/>
        <w:sz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7B1069">
      <w:rPr>
        <w:noProof/>
        <w:sz w:val="22"/>
      </w:rPr>
      <w:t>First Parliamentary Counsel’s Review</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7B1069">
      <w:rPr>
        <w:noProof/>
        <w:sz w:val="22"/>
      </w:rPr>
      <w:t>First Parliamentary Counsel’s Review</w:t>
    </w:r>
    <w:r>
      <w:rPr>
        <w:sz w:val="22"/>
      </w:rPr>
      <w:fldChar w:fldCharType="end"/>
    </w:r>
  </w:p>
  <w:p w:rsidR="00FB069A" w:rsidRDefault="00FB069A">
    <w:pPr>
      <w:pStyle w:val="Header"/>
      <w:pBdr>
        <w:bottom w:val="single" w:sz="4" w:space="1" w:color="0000FF"/>
      </w:pBdr>
      <w:tabs>
        <w:tab w:val="left" w:pos="567"/>
      </w:tabs>
      <w:rPr>
        <w:sz w:val="22"/>
      </w:rPr>
    </w:pPr>
  </w:p>
  <w:p w:rsidR="00FB069A" w:rsidRDefault="00FB069A">
    <w:pPr>
      <w:pStyle w:val="Header"/>
      <w:tabs>
        <w:tab w:val="left" w:pos="567"/>
      </w:tabs>
      <w:rPr>
        <w:b/>
        <w:sz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9A" w:rsidRDefault="00FB069A">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7B1069">
      <w:rPr>
        <w:noProof/>
        <w:sz w:val="22"/>
      </w:rPr>
      <w:t>First Parliamentary Counsel’s Review</w:t>
    </w:r>
    <w:r>
      <w:rPr>
        <w:sz w:val="22"/>
      </w:rPr>
      <w:fldChar w:fldCharType="end"/>
    </w:r>
  </w:p>
  <w:p w:rsidR="00FB069A" w:rsidRDefault="00FB069A">
    <w:pPr>
      <w:pStyle w:val="Header"/>
      <w:pBdr>
        <w:bottom w:val="single" w:sz="4" w:space="1" w:color="0000FF"/>
      </w:pBdr>
      <w:tabs>
        <w:tab w:val="left" w:pos="567"/>
      </w:tabs>
      <w:jc w:val="right"/>
      <w:rPr>
        <w:sz w:val="22"/>
      </w:rPr>
    </w:pPr>
  </w:p>
  <w:p w:rsidR="00FB069A" w:rsidRDefault="00FB069A">
    <w:pPr>
      <w:pStyle w:val="Header"/>
      <w:tabs>
        <w:tab w:val="left" w:pos="567"/>
      </w:tabs>
      <w:jc w:val="right"/>
      <w:rPr>
        <w:b/>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A44985E"/>
    <w:lvl w:ilvl="0">
      <w:start w:val="1"/>
      <w:numFmt w:val="decimal"/>
      <w:lvlText w:val="%1."/>
      <w:lvlJc w:val="left"/>
      <w:pPr>
        <w:tabs>
          <w:tab w:val="num" w:pos="1492"/>
        </w:tabs>
        <w:ind w:left="1492" w:hanging="360"/>
      </w:pPr>
    </w:lvl>
  </w:abstractNum>
  <w:abstractNum w:abstractNumId="1">
    <w:nsid w:val="FFFFFF7D"/>
    <w:multiLevelType w:val="singleLevel"/>
    <w:tmpl w:val="720A46CC"/>
    <w:lvl w:ilvl="0">
      <w:start w:val="1"/>
      <w:numFmt w:val="decimal"/>
      <w:lvlText w:val="%1."/>
      <w:lvlJc w:val="left"/>
      <w:pPr>
        <w:tabs>
          <w:tab w:val="num" w:pos="1209"/>
        </w:tabs>
        <w:ind w:left="1209" w:hanging="360"/>
      </w:pPr>
    </w:lvl>
  </w:abstractNum>
  <w:abstractNum w:abstractNumId="2">
    <w:nsid w:val="FFFFFF7E"/>
    <w:multiLevelType w:val="singleLevel"/>
    <w:tmpl w:val="467EAD36"/>
    <w:lvl w:ilvl="0">
      <w:start w:val="1"/>
      <w:numFmt w:val="decimal"/>
      <w:lvlText w:val="%1."/>
      <w:lvlJc w:val="left"/>
      <w:pPr>
        <w:tabs>
          <w:tab w:val="num" w:pos="926"/>
        </w:tabs>
        <w:ind w:left="926" w:hanging="360"/>
      </w:pPr>
    </w:lvl>
  </w:abstractNum>
  <w:abstractNum w:abstractNumId="3">
    <w:nsid w:val="FFFFFF7F"/>
    <w:multiLevelType w:val="singleLevel"/>
    <w:tmpl w:val="0F28D962"/>
    <w:lvl w:ilvl="0">
      <w:start w:val="1"/>
      <w:numFmt w:val="decimal"/>
      <w:lvlText w:val="%1."/>
      <w:lvlJc w:val="left"/>
      <w:pPr>
        <w:tabs>
          <w:tab w:val="num" w:pos="643"/>
        </w:tabs>
        <w:ind w:left="643" w:hanging="360"/>
      </w:pPr>
    </w:lvl>
  </w:abstractNum>
  <w:abstractNum w:abstractNumId="4">
    <w:nsid w:val="FFFFFF80"/>
    <w:multiLevelType w:val="singleLevel"/>
    <w:tmpl w:val="BC3E4A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2436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66B1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6847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1E09250"/>
    <w:lvl w:ilvl="0">
      <w:start w:val="1"/>
      <w:numFmt w:val="decimal"/>
      <w:lvlText w:val="%1."/>
      <w:lvlJc w:val="left"/>
      <w:pPr>
        <w:tabs>
          <w:tab w:val="num" w:pos="360"/>
        </w:tabs>
        <w:ind w:left="360" w:hanging="360"/>
      </w:pPr>
    </w:lvl>
  </w:abstractNum>
  <w:abstractNum w:abstractNumId="9">
    <w:nsid w:val="FFFFFF89"/>
    <w:multiLevelType w:val="singleLevel"/>
    <w:tmpl w:val="24927AC0"/>
    <w:lvl w:ilvl="0">
      <w:start w:val="1"/>
      <w:numFmt w:val="bullet"/>
      <w:lvlText w:val=""/>
      <w:lvlJc w:val="left"/>
      <w:pPr>
        <w:tabs>
          <w:tab w:val="num" w:pos="360"/>
        </w:tabs>
        <w:ind w:left="360" w:hanging="360"/>
      </w:pPr>
      <w:rPr>
        <w:rFonts w:ascii="Symbol" w:hAnsi="Symbol" w:hint="default"/>
      </w:rPr>
    </w:lvl>
  </w:abstractNum>
  <w:abstractNum w:abstractNumId="10">
    <w:nsid w:val="02C90771"/>
    <w:multiLevelType w:val="hybridMultilevel"/>
    <w:tmpl w:val="B46E6FBA"/>
    <w:lvl w:ilvl="0" w:tplc="C1D46D30">
      <w:start w:val="1"/>
      <w:numFmt w:val="bullet"/>
      <w:lvlText w:val=""/>
      <w:lvlJc w:val="left"/>
      <w:pPr>
        <w:tabs>
          <w:tab w:val="num" w:pos="828"/>
        </w:tabs>
        <w:ind w:left="82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87057E3"/>
    <w:multiLevelType w:val="hybridMultilevel"/>
    <w:tmpl w:val="E9E0EA3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2">
    <w:nsid w:val="0A2E45EF"/>
    <w:multiLevelType w:val="hybridMultilevel"/>
    <w:tmpl w:val="2E828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B601342"/>
    <w:multiLevelType w:val="multilevel"/>
    <w:tmpl w:val="99AA788A"/>
    <w:name w:val="OPC2"/>
    <w:lvl w:ilvl="0">
      <w:start w:val="1"/>
      <w:numFmt w:val="decimal"/>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bullet"/>
      <w:lvlText w:val=""/>
      <w:lvlJc w:val="left"/>
      <w:pPr>
        <w:tabs>
          <w:tab w:val="num" w:pos="1440"/>
        </w:tabs>
        <w:ind w:left="1440" w:hanging="720"/>
      </w:pPr>
      <w:rPr>
        <w:rFonts w:ascii="Symbol" w:hAnsi="Symbo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1B02DA6"/>
    <w:multiLevelType w:val="hybridMultilevel"/>
    <w:tmpl w:val="646600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7">
    <w:nsid w:val="21BD064C"/>
    <w:multiLevelType w:val="singleLevel"/>
    <w:tmpl w:val="0C090001"/>
    <w:name w:val="OPC33222"/>
    <w:lvl w:ilvl="0">
      <w:start w:val="1"/>
      <w:numFmt w:val="bullet"/>
      <w:lvlText w:val=""/>
      <w:lvlJc w:val="left"/>
      <w:pPr>
        <w:tabs>
          <w:tab w:val="num" w:pos="360"/>
        </w:tabs>
        <w:ind w:left="360" w:hanging="360"/>
      </w:pPr>
      <w:rPr>
        <w:rFonts w:ascii="Symbol" w:hAnsi="Symbol" w:hint="default"/>
      </w:rPr>
    </w:lvl>
  </w:abstractNum>
  <w:abstractNum w:abstractNumId="18">
    <w:nsid w:val="2BC97F51"/>
    <w:multiLevelType w:val="hybridMultilevel"/>
    <w:tmpl w:val="39D06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52D2CE7"/>
    <w:multiLevelType w:val="hybridMultilevel"/>
    <w:tmpl w:val="253EFF20"/>
    <w:lvl w:ilvl="0" w:tplc="757445B0">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672437E"/>
    <w:multiLevelType w:val="hybridMultilevel"/>
    <w:tmpl w:val="FB6635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D6C6164"/>
    <w:multiLevelType w:val="singleLevel"/>
    <w:tmpl w:val="0C090001"/>
    <w:name w:val="OPC332222"/>
    <w:lvl w:ilvl="0">
      <w:start w:val="1"/>
      <w:numFmt w:val="bullet"/>
      <w:lvlText w:val=""/>
      <w:lvlJc w:val="left"/>
      <w:pPr>
        <w:tabs>
          <w:tab w:val="num" w:pos="360"/>
        </w:tabs>
        <w:ind w:left="360" w:hanging="360"/>
      </w:pPr>
      <w:rPr>
        <w:rFonts w:ascii="Symbol" w:hAnsi="Symbol" w:hint="default"/>
      </w:rPr>
    </w:lvl>
  </w:abstractNum>
  <w:abstractNum w:abstractNumId="22">
    <w:nsid w:val="72945623"/>
    <w:multiLevelType w:val="singleLevel"/>
    <w:tmpl w:val="0C090001"/>
    <w:name w:val="OPC3322"/>
    <w:lvl w:ilvl="0">
      <w:start w:val="1"/>
      <w:numFmt w:val="bullet"/>
      <w:lvlText w:val=""/>
      <w:lvlJc w:val="left"/>
      <w:pPr>
        <w:tabs>
          <w:tab w:val="num" w:pos="360"/>
        </w:tabs>
        <w:ind w:left="360" w:hanging="360"/>
      </w:pPr>
      <w:rPr>
        <w:rFonts w:ascii="Symbol" w:hAnsi="Symbol" w:hint="default"/>
      </w:rPr>
    </w:lvl>
  </w:abstractNum>
  <w:abstractNum w:abstractNumId="23">
    <w:nsid w:val="7F460351"/>
    <w:multiLevelType w:val="multilevel"/>
    <w:tmpl w:val="A3AA4898"/>
    <w:lvl w:ilvl="0">
      <w:start w:val="1"/>
      <w:numFmt w:val="decimal"/>
      <w:pStyle w:val="BodyNum"/>
      <w:lvlText w:val="%1"/>
      <w:lvlJc w:val="left"/>
      <w:pPr>
        <w:tabs>
          <w:tab w:val="num" w:pos="720"/>
        </w:tabs>
        <w:ind w:left="0" w:firstLine="0"/>
      </w:pPr>
      <w:rPr>
        <w:rFonts w:hint="default"/>
        <w:i w:val="0"/>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9"/>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5"/>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3"/>
  </w:num>
  <w:num w:numId="20">
    <w:abstractNumId w:val="23"/>
  </w:num>
  <w:num w:numId="21">
    <w:abstractNumId w:val="23"/>
  </w:num>
  <w:num w:numId="22">
    <w:abstractNumId w:val="23"/>
  </w:num>
  <w:num w:numId="23">
    <w:abstractNumId w:val="11"/>
  </w:num>
  <w:num w:numId="24">
    <w:abstractNumId w:val="19"/>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3"/>
    <w:lvlOverride w:ilvl="0">
      <w:startOverride w:val="14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3"/>
  </w:num>
  <w:num w:numId="30">
    <w:abstractNumId w:val="14"/>
  </w:num>
  <w:num w:numId="31">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23"/>
  </w:num>
  <w:num w:numId="42">
    <w:abstractNumId w:val="20"/>
  </w:num>
  <w:num w:numId="43">
    <w:abstractNumId w:val="23"/>
  </w:num>
  <w:num w:numId="44">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saveSubset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comments" w:enforcement="0"/>
  <w:defaultTabStop w:val="720"/>
  <w:evenAndOddHeaders/>
  <w:drawingGridHorizontalSpacing w:val="120"/>
  <w:displayHorizontalDrawingGridEvery w:val="2"/>
  <w:noPunctuationKerning/>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B1B"/>
    <w:rsid w:val="00000055"/>
    <w:rsid w:val="0000012B"/>
    <w:rsid w:val="0000229B"/>
    <w:rsid w:val="00002397"/>
    <w:rsid w:val="00004AB1"/>
    <w:rsid w:val="00006DD5"/>
    <w:rsid w:val="00007739"/>
    <w:rsid w:val="00007805"/>
    <w:rsid w:val="0001035D"/>
    <w:rsid w:val="00010396"/>
    <w:rsid w:val="000106D8"/>
    <w:rsid w:val="00011721"/>
    <w:rsid w:val="00011948"/>
    <w:rsid w:val="00011CD1"/>
    <w:rsid w:val="00012F96"/>
    <w:rsid w:val="00014B7B"/>
    <w:rsid w:val="000155D2"/>
    <w:rsid w:val="00015835"/>
    <w:rsid w:val="00015DF6"/>
    <w:rsid w:val="00015FB0"/>
    <w:rsid w:val="00016DBE"/>
    <w:rsid w:val="000171B4"/>
    <w:rsid w:val="0002050A"/>
    <w:rsid w:val="00021B13"/>
    <w:rsid w:val="0002249B"/>
    <w:rsid w:val="000229E4"/>
    <w:rsid w:val="00025559"/>
    <w:rsid w:val="000257CA"/>
    <w:rsid w:val="00027D76"/>
    <w:rsid w:val="00030A00"/>
    <w:rsid w:val="00031644"/>
    <w:rsid w:val="00032052"/>
    <w:rsid w:val="00032C39"/>
    <w:rsid w:val="00035006"/>
    <w:rsid w:val="00035258"/>
    <w:rsid w:val="000352B8"/>
    <w:rsid w:val="00035839"/>
    <w:rsid w:val="000361A4"/>
    <w:rsid w:val="0003769C"/>
    <w:rsid w:val="000402BB"/>
    <w:rsid w:val="00040D38"/>
    <w:rsid w:val="00041D15"/>
    <w:rsid w:val="000421AF"/>
    <w:rsid w:val="000431EF"/>
    <w:rsid w:val="00043C4A"/>
    <w:rsid w:val="000444E1"/>
    <w:rsid w:val="00044EE1"/>
    <w:rsid w:val="00046404"/>
    <w:rsid w:val="0004648A"/>
    <w:rsid w:val="00047ACD"/>
    <w:rsid w:val="00047FA0"/>
    <w:rsid w:val="00051103"/>
    <w:rsid w:val="00051211"/>
    <w:rsid w:val="00051B62"/>
    <w:rsid w:val="00052E2B"/>
    <w:rsid w:val="00053ABA"/>
    <w:rsid w:val="00054E30"/>
    <w:rsid w:val="00055728"/>
    <w:rsid w:val="000571B5"/>
    <w:rsid w:val="0005787A"/>
    <w:rsid w:val="00057E5A"/>
    <w:rsid w:val="000604A0"/>
    <w:rsid w:val="00061910"/>
    <w:rsid w:val="000621C7"/>
    <w:rsid w:val="000622BB"/>
    <w:rsid w:val="0006306B"/>
    <w:rsid w:val="00063F47"/>
    <w:rsid w:val="00066B66"/>
    <w:rsid w:val="0007019A"/>
    <w:rsid w:val="00071BE9"/>
    <w:rsid w:val="00073028"/>
    <w:rsid w:val="0007442B"/>
    <w:rsid w:val="000749B7"/>
    <w:rsid w:val="00074C6A"/>
    <w:rsid w:val="000808D5"/>
    <w:rsid w:val="0008139E"/>
    <w:rsid w:val="00081BED"/>
    <w:rsid w:val="00082D5A"/>
    <w:rsid w:val="00082FE4"/>
    <w:rsid w:val="0008441C"/>
    <w:rsid w:val="00084574"/>
    <w:rsid w:val="000845E3"/>
    <w:rsid w:val="00085F91"/>
    <w:rsid w:val="000865B1"/>
    <w:rsid w:val="00086647"/>
    <w:rsid w:val="00087B90"/>
    <w:rsid w:val="00087BE0"/>
    <w:rsid w:val="00087F6B"/>
    <w:rsid w:val="000905E7"/>
    <w:rsid w:val="00090B37"/>
    <w:rsid w:val="00090C9B"/>
    <w:rsid w:val="00091EDB"/>
    <w:rsid w:val="000942E5"/>
    <w:rsid w:val="00094D49"/>
    <w:rsid w:val="00095D52"/>
    <w:rsid w:val="00096049"/>
    <w:rsid w:val="00096535"/>
    <w:rsid w:val="000966D5"/>
    <w:rsid w:val="00097526"/>
    <w:rsid w:val="000A03F4"/>
    <w:rsid w:val="000A2433"/>
    <w:rsid w:val="000A3390"/>
    <w:rsid w:val="000A396C"/>
    <w:rsid w:val="000A3A7F"/>
    <w:rsid w:val="000A5141"/>
    <w:rsid w:val="000A58F2"/>
    <w:rsid w:val="000A778F"/>
    <w:rsid w:val="000B0045"/>
    <w:rsid w:val="000B04DE"/>
    <w:rsid w:val="000B2ED1"/>
    <w:rsid w:val="000B3B26"/>
    <w:rsid w:val="000B5385"/>
    <w:rsid w:val="000B60C4"/>
    <w:rsid w:val="000C0A3A"/>
    <w:rsid w:val="000C12E3"/>
    <w:rsid w:val="000C202B"/>
    <w:rsid w:val="000C3160"/>
    <w:rsid w:val="000C3E91"/>
    <w:rsid w:val="000C5418"/>
    <w:rsid w:val="000C5713"/>
    <w:rsid w:val="000C61BE"/>
    <w:rsid w:val="000C6E50"/>
    <w:rsid w:val="000C6FCB"/>
    <w:rsid w:val="000C77FF"/>
    <w:rsid w:val="000D06D0"/>
    <w:rsid w:val="000D0908"/>
    <w:rsid w:val="000D1223"/>
    <w:rsid w:val="000D19D6"/>
    <w:rsid w:val="000D1D6E"/>
    <w:rsid w:val="000D77B9"/>
    <w:rsid w:val="000E11D6"/>
    <w:rsid w:val="000E1DF9"/>
    <w:rsid w:val="000E29A8"/>
    <w:rsid w:val="000E3211"/>
    <w:rsid w:val="000E5B22"/>
    <w:rsid w:val="000E65CD"/>
    <w:rsid w:val="000E6860"/>
    <w:rsid w:val="000E6A2C"/>
    <w:rsid w:val="000E6E29"/>
    <w:rsid w:val="000F3C07"/>
    <w:rsid w:val="000F5520"/>
    <w:rsid w:val="000F6462"/>
    <w:rsid w:val="000F65F5"/>
    <w:rsid w:val="000F7B31"/>
    <w:rsid w:val="0010089E"/>
    <w:rsid w:val="001024C6"/>
    <w:rsid w:val="00104921"/>
    <w:rsid w:val="00105300"/>
    <w:rsid w:val="00105644"/>
    <w:rsid w:val="00105C2A"/>
    <w:rsid w:val="00106A66"/>
    <w:rsid w:val="00107AA3"/>
    <w:rsid w:val="00107B09"/>
    <w:rsid w:val="00110778"/>
    <w:rsid w:val="00110EA7"/>
    <w:rsid w:val="00111347"/>
    <w:rsid w:val="00111AD7"/>
    <w:rsid w:val="001127A5"/>
    <w:rsid w:val="00112998"/>
    <w:rsid w:val="00113A02"/>
    <w:rsid w:val="001145AA"/>
    <w:rsid w:val="0011534B"/>
    <w:rsid w:val="00115F72"/>
    <w:rsid w:val="00116C1D"/>
    <w:rsid w:val="00117B5E"/>
    <w:rsid w:val="00121DB9"/>
    <w:rsid w:val="0012505E"/>
    <w:rsid w:val="00125AF0"/>
    <w:rsid w:val="00125DB9"/>
    <w:rsid w:val="00126428"/>
    <w:rsid w:val="0013040A"/>
    <w:rsid w:val="0013041A"/>
    <w:rsid w:val="00131148"/>
    <w:rsid w:val="00131DE7"/>
    <w:rsid w:val="00132228"/>
    <w:rsid w:val="00132892"/>
    <w:rsid w:val="00133158"/>
    <w:rsid w:val="001347F6"/>
    <w:rsid w:val="00135249"/>
    <w:rsid w:val="00135990"/>
    <w:rsid w:val="0013601D"/>
    <w:rsid w:val="001369BD"/>
    <w:rsid w:val="001401C1"/>
    <w:rsid w:val="00141EF8"/>
    <w:rsid w:val="00142B4F"/>
    <w:rsid w:val="001451A7"/>
    <w:rsid w:val="001456A7"/>
    <w:rsid w:val="0014749D"/>
    <w:rsid w:val="00147666"/>
    <w:rsid w:val="0015016C"/>
    <w:rsid w:val="00151D07"/>
    <w:rsid w:val="00151EAE"/>
    <w:rsid w:val="001545B7"/>
    <w:rsid w:val="00155A21"/>
    <w:rsid w:val="00156726"/>
    <w:rsid w:val="001643DB"/>
    <w:rsid w:val="00166A20"/>
    <w:rsid w:val="001673C9"/>
    <w:rsid w:val="00167530"/>
    <w:rsid w:val="00167D7B"/>
    <w:rsid w:val="001708ED"/>
    <w:rsid w:val="0017157F"/>
    <w:rsid w:val="00171C1B"/>
    <w:rsid w:val="001734CC"/>
    <w:rsid w:val="001774CC"/>
    <w:rsid w:val="00180929"/>
    <w:rsid w:val="00180FE1"/>
    <w:rsid w:val="00181139"/>
    <w:rsid w:val="00181801"/>
    <w:rsid w:val="00181A4D"/>
    <w:rsid w:val="00183143"/>
    <w:rsid w:val="0018435F"/>
    <w:rsid w:val="001860CC"/>
    <w:rsid w:val="00186B42"/>
    <w:rsid w:val="001907D7"/>
    <w:rsid w:val="00191B88"/>
    <w:rsid w:val="00192522"/>
    <w:rsid w:val="00193359"/>
    <w:rsid w:val="00193F64"/>
    <w:rsid w:val="00196A95"/>
    <w:rsid w:val="00196E05"/>
    <w:rsid w:val="00197736"/>
    <w:rsid w:val="001A00FF"/>
    <w:rsid w:val="001A0529"/>
    <w:rsid w:val="001A06D5"/>
    <w:rsid w:val="001A153E"/>
    <w:rsid w:val="001A1A12"/>
    <w:rsid w:val="001A6234"/>
    <w:rsid w:val="001A63DB"/>
    <w:rsid w:val="001A6A81"/>
    <w:rsid w:val="001A6BA0"/>
    <w:rsid w:val="001A711A"/>
    <w:rsid w:val="001A75FD"/>
    <w:rsid w:val="001B00F3"/>
    <w:rsid w:val="001B0C2B"/>
    <w:rsid w:val="001B28F6"/>
    <w:rsid w:val="001B3D54"/>
    <w:rsid w:val="001B449D"/>
    <w:rsid w:val="001B4683"/>
    <w:rsid w:val="001B48CB"/>
    <w:rsid w:val="001B5428"/>
    <w:rsid w:val="001B5B96"/>
    <w:rsid w:val="001C0556"/>
    <w:rsid w:val="001C0E41"/>
    <w:rsid w:val="001C11B9"/>
    <w:rsid w:val="001C19A1"/>
    <w:rsid w:val="001C2ADB"/>
    <w:rsid w:val="001C30DC"/>
    <w:rsid w:val="001C417C"/>
    <w:rsid w:val="001C4B61"/>
    <w:rsid w:val="001C5EF4"/>
    <w:rsid w:val="001C6802"/>
    <w:rsid w:val="001C69F3"/>
    <w:rsid w:val="001C6DD1"/>
    <w:rsid w:val="001C7F89"/>
    <w:rsid w:val="001D136C"/>
    <w:rsid w:val="001D14D6"/>
    <w:rsid w:val="001D21CD"/>
    <w:rsid w:val="001D3D25"/>
    <w:rsid w:val="001D3DA1"/>
    <w:rsid w:val="001D42AE"/>
    <w:rsid w:val="001D74F3"/>
    <w:rsid w:val="001D7662"/>
    <w:rsid w:val="001D776D"/>
    <w:rsid w:val="001D78A0"/>
    <w:rsid w:val="001D7A25"/>
    <w:rsid w:val="001E19AC"/>
    <w:rsid w:val="001E2BF5"/>
    <w:rsid w:val="001E3222"/>
    <w:rsid w:val="001E3A70"/>
    <w:rsid w:val="001E4735"/>
    <w:rsid w:val="001E49C6"/>
    <w:rsid w:val="001E50FC"/>
    <w:rsid w:val="001E53D1"/>
    <w:rsid w:val="001E5F06"/>
    <w:rsid w:val="001E64E6"/>
    <w:rsid w:val="001E67F4"/>
    <w:rsid w:val="001E69BC"/>
    <w:rsid w:val="001E6CA4"/>
    <w:rsid w:val="001F048F"/>
    <w:rsid w:val="001F1AA7"/>
    <w:rsid w:val="001F4A59"/>
    <w:rsid w:val="001F4B60"/>
    <w:rsid w:val="001F543F"/>
    <w:rsid w:val="001F5E11"/>
    <w:rsid w:val="001F5EBB"/>
    <w:rsid w:val="001F7984"/>
    <w:rsid w:val="00201E1D"/>
    <w:rsid w:val="00203AD7"/>
    <w:rsid w:val="00203D8D"/>
    <w:rsid w:val="00203E8F"/>
    <w:rsid w:val="002040DE"/>
    <w:rsid w:val="00205542"/>
    <w:rsid w:val="0020604E"/>
    <w:rsid w:val="00206BBD"/>
    <w:rsid w:val="002117A5"/>
    <w:rsid w:val="00211BA1"/>
    <w:rsid w:val="00213202"/>
    <w:rsid w:val="002133B3"/>
    <w:rsid w:val="00213C61"/>
    <w:rsid w:val="00214C23"/>
    <w:rsid w:val="00215B59"/>
    <w:rsid w:val="002169D2"/>
    <w:rsid w:val="00216FDA"/>
    <w:rsid w:val="00217EF1"/>
    <w:rsid w:val="00220797"/>
    <w:rsid w:val="00221F34"/>
    <w:rsid w:val="00221F63"/>
    <w:rsid w:val="002242CF"/>
    <w:rsid w:val="00225737"/>
    <w:rsid w:val="00225F86"/>
    <w:rsid w:val="002261BE"/>
    <w:rsid w:val="002274D1"/>
    <w:rsid w:val="00231784"/>
    <w:rsid w:val="0023282C"/>
    <w:rsid w:val="00234E36"/>
    <w:rsid w:val="00234FF0"/>
    <w:rsid w:val="00236242"/>
    <w:rsid w:val="00237BA9"/>
    <w:rsid w:val="00237F0A"/>
    <w:rsid w:val="00240762"/>
    <w:rsid w:val="00242E71"/>
    <w:rsid w:val="00242E88"/>
    <w:rsid w:val="002434D9"/>
    <w:rsid w:val="00243B3E"/>
    <w:rsid w:val="00244DF6"/>
    <w:rsid w:val="002457A5"/>
    <w:rsid w:val="00246266"/>
    <w:rsid w:val="0024627C"/>
    <w:rsid w:val="002466B8"/>
    <w:rsid w:val="00246C20"/>
    <w:rsid w:val="00246F18"/>
    <w:rsid w:val="002470FB"/>
    <w:rsid w:val="00250B99"/>
    <w:rsid w:val="00252D0F"/>
    <w:rsid w:val="00254EE3"/>
    <w:rsid w:val="00255084"/>
    <w:rsid w:val="002554AC"/>
    <w:rsid w:val="002554B3"/>
    <w:rsid w:val="00255AC1"/>
    <w:rsid w:val="0025665C"/>
    <w:rsid w:val="00256A92"/>
    <w:rsid w:val="00256E02"/>
    <w:rsid w:val="00257CA0"/>
    <w:rsid w:val="002616AD"/>
    <w:rsid w:val="0026185D"/>
    <w:rsid w:val="00263859"/>
    <w:rsid w:val="00263FBB"/>
    <w:rsid w:val="00264C1B"/>
    <w:rsid w:val="00264C44"/>
    <w:rsid w:val="002656E0"/>
    <w:rsid w:val="00266BEB"/>
    <w:rsid w:val="00270506"/>
    <w:rsid w:val="002712B4"/>
    <w:rsid w:val="00272080"/>
    <w:rsid w:val="00272A6B"/>
    <w:rsid w:val="0027348B"/>
    <w:rsid w:val="00274348"/>
    <w:rsid w:val="00276F19"/>
    <w:rsid w:val="002770AD"/>
    <w:rsid w:val="00280743"/>
    <w:rsid w:val="00280F8A"/>
    <w:rsid w:val="002814B1"/>
    <w:rsid w:val="002815D1"/>
    <w:rsid w:val="002858E9"/>
    <w:rsid w:val="00290F08"/>
    <w:rsid w:val="00291394"/>
    <w:rsid w:val="00291AD1"/>
    <w:rsid w:val="0029331D"/>
    <w:rsid w:val="00294E26"/>
    <w:rsid w:val="002966F8"/>
    <w:rsid w:val="0029670A"/>
    <w:rsid w:val="002972A2"/>
    <w:rsid w:val="002A0B49"/>
    <w:rsid w:val="002A315C"/>
    <w:rsid w:val="002A4B77"/>
    <w:rsid w:val="002A5F8D"/>
    <w:rsid w:val="002A6B53"/>
    <w:rsid w:val="002A6BC7"/>
    <w:rsid w:val="002B35B4"/>
    <w:rsid w:val="002B4F24"/>
    <w:rsid w:val="002B5622"/>
    <w:rsid w:val="002B689B"/>
    <w:rsid w:val="002B72DB"/>
    <w:rsid w:val="002C0CC9"/>
    <w:rsid w:val="002C46EE"/>
    <w:rsid w:val="002C5148"/>
    <w:rsid w:val="002C6022"/>
    <w:rsid w:val="002C7CBF"/>
    <w:rsid w:val="002D1EF2"/>
    <w:rsid w:val="002D2BAD"/>
    <w:rsid w:val="002D3757"/>
    <w:rsid w:val="002D3B0E"/>
    <w:rsid w:val="002D3D96"/>
    <w:rsid w:val="002D48EF"/>
    <w:rsid w:val="002D490C"/>
    <w:rsid w:val="002D5079"/>
    <w:rsid w:val="002D7998"/>
    <w:rsid w:val="002E007C"/>
    <w:rsid w:val="002E0AC6"/>
    <w:rsid w:val="002E1090"/>
    <w:rsid w:val="002E10D1"/>
    <w:rsid w:val="002E13FA"/>
    <w:rsid w:val="002E22DE"/>
    <w:rsid w:val="002E22E0"/>
    <w:rsid w:val="002E30EA"/>
    <w:rsid w:val="002E5A15"/>
    <w:rsid w:val="002E62E3"/>
    <w:rsid w:val="002E6446"/>
    <w:rsid w:val="002E6B27"/>
    <w:rsid w:val="002E6B66"/>
    <w:rsid w:val="002E6BC6"/>
    <w:rsid w:val="002E6CDE"/>
    <w:rsid w:val="002E7623"/>
    <w:rsid w:val="002F0009"/>
    <w:rsid w:val="002F03FF"/>
    <w:rsid w:val="002F43C6"/>
    <w:rsid w:val="002F4DFE"/>
    <w:rsid w:val="002F6CCB"/>
    <w:rsid w:val="00301173"/>
    <w:rsid w:val="00302166"/>
    <w:rsid w:val="00303703"/>
    <w:rsid w:val="00305D1C"/>
    <w:rsid w:val="00306D83"/>
    <w:rsid w:val="00306FEC"/>
    <w:rsid w:val="003103CF"/>
    <w:rsid w:val="003150BB"/>
    <w:rsid w:val="00315A1E"/>
    <w:rsid w:val="003162FA"/>
    <w:rsid w:val="003166E3"/>
    <w:rsid w:val="003207DE"/>
    <w:rsid w:val="00320AA3"/>
    <w:rsid w:val="0032113F"/>
    <w:rsid w:val="00322375"/>
    <w:rsid w:val="00322765"/>
    <w:rsid w:val="00322CC3"/>
    <w:rsid w:val="00325D04"/>
    <w:rsid w:val="00326B14"/>
    <w:rsid w:val="00326C23"/>
    <w:rsid w:val="0033082F"/>
    <w:rsid w:val="00330A0B"/>
    <w:rsid w:val="00330E26"/>
    <w:rsid w:val="0033174F"/>
    <w:rsid w:val="00332D57"/>
    <w:rsid w:val="00333584"/>
    <w:rsid w:val="00335154"/>
    <w:rsid w:val="0033706C"/>
    <w:rsid w:val="0034379D"/>
    <w:rsid w:val="00343CBF"/>
    <w:rsid w:val="00343E0C"/>
    <w:rsid w:val="0034582F"/>
    <w:rsid w:val="0034646F"/>
    <w:rsid w:val="00350DA3"/>
    <w:rsid w:val="003515F7"/>
    <w:rsid w:val="00351CBC"/>
    <w:rsid w:val="00352888"/>
    <w:rsid w:val="003528CE"/>
    <w:rsid w:val="003534D7"/>
    <w:rsid w:val="003544A9"/>
    <w:rsid w:val="00354D14"/>
    <w:rsid w:val="00356BEB"/>
    <w:rsid w:val="003577D1"/>
    <w:rsid w:val="00360086"/>
    <w:rsid w:val="0036202E"/>
    <w:rsid w:val="003644D0"/>
    <w:rsid w:val="0036457C"/>
    <w:rsid w:val="00364A43"/>
    <w:rsid w:val="003660FD"/>
    <w:rsid w:val="003661AE"/>
    <w:rsid w:val="0036627C"/>
    <w:rsid w:val="0037168D"/>
    <w:rsid w:val="003738D9"/>
    <w:rsid w:val="003756FC"/>
    <w:rsid w:val="00375BE7"/>
    <w:rsid w:val="00375CC2"/>
    <w:rsid w:val="00375F3E"/>
    <w:rsid w:val="003768F9"/>
    <w:rsid w:val="003769B8"/>
    <w:rsid w:val="00376F85"/>
    <w:rsid w:val="00377259"/>
    <w:rsid w:val="00377785"/>
    <w:rsid w:val="00381D24"/>
    <w:rsid w:val="00382705"/>
    <w:rsid w:val="00383B8C"/>
    <w:rsid w:val="00384943"/>
    <w:rsid w:val="00386DCC"/>
    <w:rsid w:val="0038796F"/>
    <w:rsid w:val="00387C01"/>
    <w:rsid w:val="00390DF1"/>
    <w:rsid w:val="00391033"/>
    <w:rsid w:val="00391F07"/>
    <w:rsid w:val="00391FD5"/>
    <w:rsid w:val="003937B5"/>
    <w:rsid w:val="0039443A"/>
    <w:rsid w:val="00397115"/>
    <w:rsid w:val="00397392"/>
    <w:rsid w:val="003A1B7C"/>
    <w:rsid w:val="003A5458"/>
    <w:rsid w:val="003A7B2C"/>
    <w:rsid w:val="003B0CF6"/>
    <w:rsid w:val="003B1A26"/>
    <w:rsid w:val="003B22F3"/>
    <w:rsid w:val="003B4E0E"/>
    <w:rsid w:val="003B50D0"/>
    <w:rsid w:val="003B532D"/>
    <w:rsid w:val="003B561A"/>
    <w:rsid w:val="003B5CB1"/>
    <w:rsid w:val="003B5D37"/>
    <w:rsid w:val="003B6BC0"/>
    <w:rsid w:val="003B75E9"/>
    <w:rsid w:val="003B7C12"/>
    <w:rsid w:val="003B7E2D"/>
    <w:rsid w:val="003C2EB0"/>
    <w:rsid w:val="003C39D9"/>
    <w:rsid w:val="003C661D"/>
    <w:rsid w:val="003C6CE5"/>
    <w:rsid w:val="003D018E"/>
    <w:rsid w:val="003D0C17"/>
    <w:rsid w:val="003D0C7D"/>
    <w:rsid w:val="003D1548"/>
    <w:rsid w:val="003D2CB1"/>
    <w:rsid w:val="003D424D"/>
    <w:rsid w:val="003D4793"/>
    <w:rsid w:val="003D57FF"/>
    <w:rsid w:val="003D5FCA"/>
    <w:rsid w:val="003D5FF4"/>
    <w:rsid w:val="003D7658"/>
    <w:rsid w:val="003E05B2"/>
    <w:rsid w:val="003E150D"/>
    <w:rsid w:val="003E2529"/>
    <w:rsid w:val="003E284D"/>
    <w:rsid w:val="003E2FF0"/>
    <w:rsid w:val="003E47C1"/>
    <w:rsid w:val="003E47DB"/>
    <w:rsid w:val="003E53AB"/>
    <w:rsid w:val="003E580F"/>
    <w:rsid w:val="003F0368"/>
    <w:rsid w:val="003F1079"/>
    <w:rsid w:val="003F1198"/>
    <w:rsid w:val="003F12EF"/>
    <w:rsid w:val="003F207B"/>
    <w:rsid w:val="003F24BF"/>
    <w:rsid w:val="003F29E0"/>
    <w:rsid w:val="003F34A4"/>
    <w:rsid w:val="003F4320"/>
    <w:rsid w:val="003F4F0C"/>
    <w:rsid w:val="003F5441"/>
    <w:rsid w:val="003F5A76"/>
    <w:rsid w:val="003F5A92"/>
    <w:rsid w:val="003F6FC0"/>
    <w:rsid w:val="003F7379"/>
    <w:rsid w:val="003F74D1"/>
    <w:rsid w:val="003F7A9D"/>
    <w:rsid w:val="004003FE"/>
    <w:rsid w:val="004007F5"/>
    <w:rsid w:val="004009B3"/>
    <w:rsid w:val="004014BE"/>
    <w:rsid w:val="0040499F"/>
    <w:rsid w:val="00404A0C"/>
    <w:rsid w:val="0040583F"/>
    <w:rsid w:val="00407F9A"/>
    <w:rsid w:val="0041070F"/>
    <w:rsid w:val="004122CF"/>
    <w:rsid w:val="004137E1"/>
    <w:rsid w:val="00413CE0"/>
    <w:rsid w:val="0041424C"/>
    <w:rsid w:val="0041482C"/>
    <w:rsid w:val="00415A4C"/>
    <w:rsid w:val="0042038D"/>
    <w:rsid w:val="00420FC4"/>
    <w:rsid w:val="00422E9B"/>
    <w:rsid w:val="004256D5"/>
    <w:rsid w:val="00425E3B"/>
    <w:rsid w:val="0042653C"/>
    <w:rsid w:val="00426AA8"/>
    <w:rsid w:val="0042777C"/>
    <w:rsid w:val="00431103"/>
    <w:rsid w:val="00432334"/>
    <w:rsid w:val="004326BE"/>
    <w:rsid w:val="00432CD6"/>
    <w:rsid w:val="00433AE5"/>
    <w:rsid w:val="00434DB9"/>
    <w:rsid w:val="00436141"/>
    <w:rsid w:val="004368BC"/>
    <w:rsid w:val="004373A8"/>
    <w:rsid w:val="0044008C"/>
    <w:rsid w:val="004415EB"/>
    <w:rsid w:val="00441F3F"/>
    <w:rsid w:val="004420CB"/>
    <w:rsid w:val="0044239B"/>
    <w:rsid w:val="004429A5"/>
    <w:rsid w:val="00443546"/>
    <w:rsid w:val="00443B83"/>
    <w:rsid w:val="00444403"/>
    <w:rsid w:val="00444B88"/>
    <w:rsid w:val="0044516B"/>
    <w:rsid w:val="004462E1"/>
    <w:rsid w:val="004475F5"/>
    <w:rsid w:val="004532A4"/>
    <w:rsid w:val="00453AF7"/>
    <w:rsid w:val="00457167"/>
    <w:rsid w:val="004574CA"/>
    <w:rsid w:val="00457530"/>
    <w:rsid w:val="00460BEA"/>
    <w:rsid w:val="0046106D"/>
    <w:rsid w:val="00461E6D"/>
    <w:rsid w:val="0046330E"/>
    <w:rsid w:val="00463958"/>
    <w:rsid w:val="00465B1B"/>
    <w:rsid w:val="0046662C"/>
    <w:rsid w:val="004667A8"/>
    <w:rsid w:val="00471088"/>
    <w:rsid w:val="0047298C"/>
    <w:rsid w:val="00474426"/>
    <w:rsid w:val="00474FE3"/>
    <w:rsid w:val="004751FF"/>
    <w:rsid w:val="00475240"/>
    <w:rsid w:val="00475AB2"/>
    <w:rsid w:val="00476B5C"/>
    <w:rsid w:val="00480A24"/>
    <w:rsid w:val="00481188"/>
    <w:rsid w:val="0048242C"/>
    <w:rsid w:val="0048521F"/>
    <w:rsid w:val="0048685C"/>
    <w:rsid w:val="00487095"/>
    <w:rsid w:val="00487265"/>
    <w:rsid w:val="00487870"/>
    <w:rsid w:val="0049040E"/>
    <w:rsid w:val="00490C51"/>
    <w:rsid w:val="00493147"/>
    <w:rsid w:val="00494D3A"/>
    <w:rsid w:val="00496328"/>
    <w:rsid w:val="0049781E"/>
    <w:rsid w:val="00497EAA"/>
    <w:rsid w:val="004A10D1"/>
    <w:rsid w:val="004A1D44"/>
    <w:rsid w:val="004A2843"/>
    <w:rsid w:val="004A2CF1"/>
    <w:rsid w:val="004A3388"/>
    <w:rsid w:val="004A372D"/>
    <w:rsid w:val="004A43A7"/>
    <w:rsid w:val="004A65FF"/>
    <w:rsid w:val="004A6790"/>
    <w:rsid w:val="004A68DE"/>
    <w:rsid w:val="004B0B96"/>
    <w:rsid w:val="004B2C06"/>
    <w:rsid w:val="004B4A2C"/>
    <w:rsid w:val="004B4BBC"/>
    <w:rsid w:val="004B604F"/>
    <w:rsid w:val="004B64AF"/>
    <w:rsid w:val="004B68F5"/>
    <w:rsid w:val="004B7D60"/>
    <w:rsid w:val="004C0F06"/>
    <w:rsid w:val="004C2CB1"/>
    <w:rsid w:val="004C3699"/>
    <w:rsid w:val="004C447E"/>
    <w:rsid w:val="004C5051"/>
    <w:rsid w:val="004C6012"/>
    <w:rsid w:val="004C63AA"/>
    <w:rsid w:val="004C6854"/>
    <w:rsid w:val="004C7025"/>
    <w:rsid w:val="004C7C80"/>
    <w:rsid w:val="004C7FC2"/>
    <w:rsid w:val="004D0515"/>
    <w:rsid w:val="004D1329"/>
    <w:rsid w:val="004D225C"/>
    <w:rsid w:val="004D3239"/>
    <w:rsid w:val="004D45C0"/>
    <w:rsid w:val="004D466B"/>
    <w:rsid w:val="004D54F7"/>
    <w:rsid w:val="004D5F0F"/>
    <w:rsid w:val="004D6079"/>
    <w:rsid w:val="004D6D73"/>
    <w:rsid w:val="004D755D"/>
    <w:rsid w:val="004D76D4"/>
    <w:rsid w:val="004D7A61"/>
    <w:rsid w:val="004D7BCC"/>
    <w:rsid w:val="004E0436"/>
    <w:rsid w:val="004E0666"/>
    <w:rsid w:val="004E0CBC"/>
    <w:rsid w:val="004E2734"/>
    <w:rsid w:val="004E33A4"/>
    <w:rsid w:val="004E3E71"/>
    <w:rsid w:val="004E4DA7"/>
    <w:rsid w:val="004E564E"/>
    <w:rsid w:val="004E5F1E"/>
    <w:rsid w:val="004E62E3"/>
    <w:rsid w:val="004E6604"/>
    <w:rsid w:val="004E68DA"/>
    <w:rsid w:val="004E6E29"/>
    <w:rsid w:val="004E6FFB"/>
    <w:rsid w:val="004E721B"/>
    <w:rsid w:val="004E7E95"/>
    <w:rsid w:val="004F0018"/>
    <w:rsid w:val="004F0DFC"/>
    <w:rsid w:val="004F16F7"/>
    <w:rsid w:val="004F1EAF"/>
    <w:rsid w:val="004F3FC5"/>
    <w:rsid w:val="004F424D"/>
    <w:rsid w:val="004F69FC"/>
    <w:rsid w:val="0050228A"/>
    <w:rsid w:val="00505A63"/>
    <w:rsid w:val="00506F90"/>
    <w:rsid w:val="0050705A"/>
    <w:rsid w:val="00507EF1"/>
    <w:rsid w:val="00514271"/>
    <w:rsid w:val="00514877"/>
    <w:rsid w:val="00515CEF"/>
    <w:rsid w:val="005167ED"/>
    <w:rsid w:val="0051723C"/>
    <w:rsid w:val="005173E6"/>
    <w:rsid w:val="00517A0C"/>
    <w:rsid w:val="00517EFE"/>
    <w:rsid w:val="00520707"/>
    <w:rsid w:val="00521820"/>
    <w:rsid w:val="00522B4F"/>
    <w:rsid w:val="00522E12"/>
    <w:rsid w:val="00523437"/>
    <w:rsid w:val="00524A6F"/>
    <w:rsid w:val="0052505C"/>
    <w:rsid w:val="00530096"/>
    <w:rsid w:val="005303FE"/>
    <w:rsid w:val="0053042D"/>
    <w:rsid w:val="00530708"/>
    <w:rsid w:val="00531DE8"/>
    <w:rsid w:val="00532494"/>
    <w:rsid w:val="00533491"/>
    <w:rsid w:val="0053422E"/>
    <w:rsid w:val="00540B24"/>
    <w:rsid w:val="005466B3"/>
    <w:rsid w:val="0055132B"/>
    <w:rsid w:val="0055279D"/>
    <w:rsid w:val="00552AE2"/>
    <w:rsid w:val="00554D86"/>
    <w:rsid w:val="00555666"/>
    <w:rsid w:val="00557DF0"/>
    <w:rsid w:val="005622A4"/>
    <w:rsid w:val="005624EA"/>
    <w:rsid w:val="00562B60"/>
    <w:rsid w:val="005637CF"/>
    <w:rsid w:val="0056433C"/>
    <w:rsid w:val="005645B7"/>
    <w:rsid w:val="00564638"/>
    <w:rsid w:val="005710B8"/>
    <w:rsid w:val="005721C6"/>
    <w:rsid w:val="00573CF6"/>
    <w:rsid w:val="00573D75"/>
    <w:rsid w:val="005743A1"/>
    <w:rsid w:val="005745C2"/>
    <w:rsid w:val="00577CA9"/>
    <w:rsid w:val="00580C08"/>
    <w:rsid w:val="00581CCE"/>
    <w:rsid w:val="00581DB5"/>
    <w:rsid w:val="00582377"/>
    <w:rsid w:val="00582617"/>
    <w:rsid w:val="00582C08"/>
    <w:rsid w:val="00583E51"/>
    <w:rsid w:val="005842FD"/>
    <w:rsid w:val="00584502"/>
    <w:rsid w:val="00591D8E"/>
    <w:rsid w:val="00592670"/>
    <w:rsid w:val="005945D8"/>
    <w:rsid w:val="00594BD9"/>
    <w:rsid w:val="00595462"/>
    <w:rsid w:val="005977C7"/>
    <w:rsid w:val="005A04AB"/>
    <w:rsid w:val="005A073F"/>
    <w:rsid w:val="005A1218"/>
    <w:rsid w:val="005A176C"/>
    <w:rsid w:val="005A196A"/>
    <w:rsid w:val="005A2A58"/>
    <w:rsid w:val="005A2D00"/>
    <w:rsid w:val="005A31AD"/>
    <w:rsid w:val="005A4470"/>
    <w:rsid w:val="005A453F"/>
    <w:rsid w:val="005A63E1"/>
    <w:rsid w:val="005A6CBF"/>
    <w:rsid w:val="005A6F10"/>
    <w:rsid w:val="005A700F"/>
    <w:rsid w:val="005A7848"/>
    <w:rsid w:val="005A7860"/>
    <w:rsid w:val="005B0624"/>
    <w:rsid w:val="005B0CF0"/>
    <w:rsid w:val="005B3C9D"/>
    <w:rsid w:val="005B4D31"/>
    <w:rsid w:val="005B58C1"/>
    <w:rsid w:val="005B5A17"/>
    <w:rsid w:val="005B608B"/>
    <w:rsid w:val="005B75AB"/>
    <w:rsid w:val="005C06B5"/>
    <w:rsid w:val="005C0762"/>
    <w:rsid w:val="005C07D4"/>
    <w:rsid w:val="005C0B84"/>
    <w:rsid w:val="005C28BD"/>
    <w:rsid w:val="005C6858"/>
    <w:rsid w:val="005C72AD"/>
    <w:rsid w:val="005C7ADA"/>
    <w:rsid w:val="005D3518"/>
    <w:rsid w:val="005D4827"/>
    <w:rsid w:val="005D5BFD"/>
    <w:rsid w:val="005D5D36"/>
    <w:rsid w:val="005D66CE"/>
    <w:rsid w:val="005D6BE0"/>
    <w:rsid w:val="005D6C61"/>
    <w:rsid w:val="005D723E"/>
    <w:rsid w:val="005D793D"/>
    <w:rsid w:val="005E0D92"/>
    <w:rsid w:val="005E1843"/>
    <w:rsid w:val="005E1CCA"/>
    <w:rsid w:val="005E2ABF"/>
    <w:rsid w:val="005E364B"/>
    <w:rsid w:val="005E54C1"/>
    <w:rsid w:val="005E5AC6"/>
    <w:rsid w:val="005E5E79"/>
    <w:rsid w:val="005E7C24"/>
    <w:rsid w:val="005F0731"/>
    <w:rsid w:val="005F569C"/>
    <w:rsid w:val="005F6FD9"/>
    <w:rsid w:val="005F740D"/>
    <w:rsid w:val="00600EB7"/>
    <w:rsid w:val="0060102F"/>
    <w:rsid w:val="00601564"/>
    <w:rsid w:val="006033A0"/>
    <w:rsid w:val="006033EA"/>
    <w:rsid w:val="0060573F"/>
    <w:rsid w:val="00606253"/>
    <w:rsid w:val="00607221"/>
    <w:rsid w:val="00607A8E"/>
    <w:rsid w:val="0061091B"/>
    <w:rsid w:val="006115CB"/>
    <w:rsid w:val="006119EA"/>
    <w:rsid w:val="00612D6E"/>
    <w:rsid w:val="00613DC1"/>
    <w:rsid w:val="006141AE"/>
    <w:rsid w:val="006145E3"/>
    <w:rsid w:val="00614CF3"/>
    <w:rsid w:val="00615AEA"/>
    <w:rsid w:val="00615DB7"/>
    <w:rsid w:val="00616FC7"/>
    <w:rsid w:val="006175AF"/>
    <w:rsid w:val="0062060E"/>
    <w:rsid w:val="00621531"/>
    <w:rsid w:val="00622022"/>
    <w:rsid w:val="0062250B"/>
    <w:rsid w:val="006242B0"/>
    <w:rsid w:val="00624931"/>
    <w:rsid w:val="0062546F"/>
    <w:rsid w:val="00626638"/>
    <w:rsid w:val="00631984"/>
    <w:rsid w:val="006321B0"/>
    <w:rsid w:val="00634A36"/>
    <w:rsid w:val="006350E8"/>
    <w:rsid w:val="0063518D"/>
    <w:rsid w:val="0063584E"/>
    <w:rsid w:val="00635D15"/>
    <w:rsid w:val="00636383"/>
    <w:rsid w:val="0063696F"/>
    <w:rsid w:val="00636CE1"/>
    <w:rsid w:val="006378C6"/>
    <w:rsid w:val="00640C09"/>
    <w:rsid w:val="00641B45"/>
    <w:rsid w:val="00642158"/>
    <w:rsid w:val="00642A28"/>
    <w:rsid w:val="00645FBB"/>
    <w:rsid w:val="00646243"/>
    <w:rsid w:val="006465BB"/>
    <w:rsid w:val="006465DF"/>
    <w:rsid w:val="00650CAD"/>
    <w:rsid w:val="0065268D"/>
    <w:rsid w:val="006526F2"/>
    <w:rsid w:val="0065385A"/>
    <w:rsid w:val="00654A5A"/>
    <w:rsid w:val="00656C0D"/>
    <w:rsid w:val="006576F4"/>
    <w:rsid w:val="00662267"/>
    <w:rsid w:val="006638E2"/>
    <w:rsid w:val="006648BC"/>
    <w:rsid w:val="00664905"/>
    <w:rsid w:val="00664ADE"/>
    <w:rsid w:val="00664B84"/>
    <w:rsid w:val="00665499"/>
    <w:rsid w:val="0066572D"/>
    <w:rsid w:val="00665AFC"/>
    <w:rsid w:val="006675E2"/>
    <w:rsid w:val="00667DFF"/>
    <w:rsid w:val="00672940"/>
    <w:rsid w:val="00672EA9"/>
    <w:rsid w:val="00672F1B"/>
    <w:rsid w:val="00675543"/>
    <w:rsid w:val="00675BC6"/>
    <w:rsid w:val="00676D17"/>
    <w:rsid w:val="00677335"/>
    <w:rsid w:val="00677744"/>
    <w:rsid w:val="00680638"/>
    <w:rsid w:val="006806C2"/>
    <w:rsid w:val="00680FB5"/>
    <w:rsid w:val="00682286"/>
    <w:rsid w:val="006830CB"/>
    <w:rsid w:val="00683B9D"/>
    <w:rsid w:val="006846A3"/>
    <w:rsid w:val="006848C2"/>
    <w:rsid w:val="00685443"/>
    <w:rsid w:val="00687358"/>
    <w:rsid w:val="0069002A"/>
    <w:rsid w:val="0069015A"/>
    <w:rsid w:val="00690B5C"/>
    <w:rsid w:val="00690EC9"/>
    <w:rsid w:val="006930E1"/>
    <w:rsid w:val="00694223"/>
    <w:rsid w:val="00694281"/>
    <w:rsid w:val="00694EFF"/>
    <w:rsid w:val="00695A73"/>
    <w:rsid w:val="006967E8"/>
    <w:rsid w:val="00696BFB"/>
    <w:rsid w:val="00697078"/>
    <w:rsid w:val="006A126B"/>
    <w:rsid w:val="006A2CFD"/>
    <w:rsid w:val="006A2FD4"/>
    <w:rsid w:val="006A3CB4"/>
    <w:rsid w:val="006A44B1"/>
    <w:rsid w:val="006A4A14"/>
    <w:rsid w:val="006A4EAA"/>
    <w:rsid w:val="006A5D96"/>
    <w:rsid w:val="006A72B6"/>
    <w:rsid w:val="006A7671"/>
    <w:rsid w:val="006A7943"/>
    <w:rsid w:val="006B1AA1"/>
    <w:rsid w:val="006B2223"/>
    <w:rsid w:val="006B45FC"/>
    <w:rsid w:val="006B550D"/>
    <w:rsid w:val="006B567E"/>
    <w:rsid w:val="006C0510"/>
    <w:rsid w:val="006C19A2"/>
    <w:rsid w:val="006C1CC2"/>
    <w:rsid w:val="006C28A6"/>
    <w:rsid w:val="006C2BCA"/>
    <w:rsid w:val="006C308D"/>
    <w:rsid w:val="006C3A7E"/>
    <w:rsid w:val="006C41B7"/>
    <w:rsid w:val="006C48AF"/>
    <w:rsid w:val="006C6997"/>
    <w:rsid w:val="006C6D69"/>
    <w:rsid w:val="006C79FA"/>
    <w:rsid w:val="006D00F4"/>
    <w:rsid w:val="006D0411"/>
    <w:rsid w:val="006D1268"/>
    <w:rsid w:val="006D1A4E"/>
    <w:rsid w:val="006D2292"/>
    <w:rsid w:val="006D362E"/>
    <w:rsid w:val="006D45AC"/>
    <w:rsid w:val="006D521B"/>
    <w:rsid w:val="006D5417"/>
    <w:rsid w:val="006D55AF"/>
    <w:rsid w:val="006D7891"/>
    <w:rsid w:val="006D7E9B"/>
    <w:rsid w:val="006E0822"/>
    <w:rsid w:val="006E0878"/>
    <w:rsid w:val="006E0F1B"/>
    <w:rsid w:val="006E1208"/>
    <w:rsid w:val="006E1F95"/>
    <w:rsid w:val="006E227F"/>
    <w:rsid w:val="006E4A12"/>
    <w:rsid w:val="006E4F60"/>
    <w:rsid w:val="006E5EE5"/>
    <w:rsid w:val="006E6ACE"/>
    <w:rsid w:val="006E6DF2"/>
    <w:rsid w:val="006E763A"/>
    <w:rsid w:val="006E79E6"/>
    <w:rsid w:val="006F05A3"/>
    <w:rsid w:val="006F1595"/>
    <w:rsid w:val="006F2C4A"/>
    <w:rsid w:val="006F3F5C"/>
    <w:rsid w:val="006F40BF"/>
    <w:rsid w:val="006F4316"/>
    <w:rsid w:val="006F7FD4"/>
    <w:rsid w:val="00701AF7"/>
    <w:rsid w:val="0070395C"/>
    <w:rsid w:val="00703A7F"/>
    <w:rsid w:val="00704134"/>
    <w:rsid w:val="00704634"/>
    <w:rsid w:val="00704A0A"/>
    <w:rsid w:val="007061F5"/>
    <w:rsid w:val="00706D5E"/>
    <w:rsid w:val="0071032E"/>
    <w:rsid w:val="007111BF"/>
    <w:rsid w:val="00711940"/>
    <w:rsid w:val="00711E69"/>
    <w:rsid w:val="00711EF3"/>
    <w:rsid w:val="00712202"/>
    <w:rsid w:val="0071418E"/>
    <w:rsid w:val="00714890"/>
    <w:rsid w:val="00714D06"/>
    <w:rsid w:val="00714D8B"/>
    <w:rsid w:val="0072016B"/>
    <w:rsid w:val="0072048B"/>
    <w:rsid w:val="00720642"/>
    <w:rsid w:val="00721A6A"/>
    <w:rsid w:val="00722618"/>
    <w:rsid w:val="00723014"/>
    <w:rsid w:val="00723B83"/>
    <w:rsid w:val="00725C78"/>
    <w:rsid w:val="007261DF"/>
    <w:rsid w:val="00727098"/>
    <w:rsid w:val="00727EC8"/>
    <w:rsid w:val="00730754"/>
    <w:rsid w:val="00730C9B"/>
    <w:rsid w:val="00731DEA"/>
    <w:rsid w:val="00732453"/>
    <w:rsid w:val="007327BF"/>
    <w:rsid w:val="00733453"/>
    <w:rsid w:val="00734DFE"/>
    <w:rsid w:val="007375A2"/>
    <w:rsid w:val="0073784D"/>
    <w:rsid w:val="00740C3C"/>
    <w:rsid w:val="00740D35"/>
    <w:rsid w:val="00741AB0"/>
    <w:rsid w:val="007427A4"/>
    <w:rsid w:val="00742815"/>
    <w:rsid w:val="0074353D"/>
    <w:rsid w:val="007443BF"/>
    <w:rsid w:val="00744EE4"/>
    <w:rsid w:val="00745338"/>
    <w:rsid w:val="00747A99"/>
    <w:rsid w:val="00747C88"/>
    <w:rsid w:val="00750220"/>
    <w:rsid w:val="0075035D"/>
    <w:rsid w:val="007504FF"/>
    <w:rsid w:val="007509C9"/>
    <w:rsid w:val="0075278F"/>
    <w:rsid w:val="00753EC0"/>
    <w:rsid w:val="00754345"/>
    <w:rsid w:val="00756DCA"/>
    <w:rsid w:val="00761B07"/>
    <w:rsid w:val="00762035"/>
    <w:rsid w:val="00767C51"/>
    <w:rsid w:val="00767F92"/>
    <w:rsid w:val="00767FBD"/>
    <w:rsid w:val="00771B5C"/>
    <w:rsid w:val="00771D5F"/>
    <w:rsid w:val="00773A15"/>
    <w:rsid w:val="007755AE"/>
    <w:rsid w:val="00775B35"/>
    <w:rsid w:val="0077686A"/>
    <w:rsid w:val="00781E38"/>
    <w:rsid w:val="00781E41"/>
    <w:rsid w:val="007821D6"/>
    <w:rsid w:val="00782322"/>
    <w:rsid w:val="007824F0"/>
    <w:rsid w:val="00783776"/>
    <w:rsid w:val="00783858"/>
    <w:rsid w:val="00784D1F"/>
    <w:rsid w:val="0078561E"/>
    <w:rsid w:val="007869D1"/>
    <w:rsid w:val="00791A08"/>
    <w:rsid w:val="00791A76"/>
    <w:rsid w:val="00794A11"/>
    <w:rsid w:val="007952E5"/>
    <w:rsid w:val="00795463"/>
    <w:rsid w:val="00795FB3"/>
    <w:rsid w:val="0079645D"/>
    <w:rsid w:val="007A04DD"/>
    <w:rsid w:val="007A05D9"/>
    <w:rsid w:val="007A14D8"/>
    <w:rsid w:val="007A2453"/>
    <w:rsid w:val="007A2694"/>
    <w:rsid w:val="007A2DEE"/>
    <w:rsid w:val="007A3DA9"/>
    <w:rsid w:val="007A44F5"/>
    <w:rsid w:val="007A4B8C"/>
    <w:rsid w:val="007A4BF1"/>
    <w:rsid w:val="007A57C0"/>
    <w:rsid w:val="007A68AA"/>
    <w:rsid w:val="007A6BEA"/>
    <w:rsid w:val="007A7784"/>
    <w:rsid w:val="007B05DB"/>
    <w:rsid w:val="007B101C"/>
    <w:rsid w:val="007B1069"/>
    <w:rsid w:val="007B1B58"/>
    <w:rsid w:val="007B1CB1"/>
    <w:rsid w:val="007B2862"/>
    <w:rsid w:val="007B2E4B"/>
    <w:rsid w:val="007B54C7"/>
    <w:rsid w:val="007B6032"/>
    <w:rsid w:val="007B6847"/>
    <w:rsid w:val="007B6CA4"/>
    <w:rsid w:val="007B7A1A"/>
    <w:rsid w:val="007B7E67"/>
    <w:rsid w:val="007C1606"/>
    <w:rsid w:val="007C2411"/>
    <w:rsid w:val="007C4661"/>
    <w:rsid w:val="007C4FEA"/>
    <w:rsid w:val="007C5E97"/>
    <w:rsid w:val="007C67F6"/>
    <w:rsid w:val="007C764F"/>
    <w:rsid w:val="007C7753"/>
    <w:rsid w:val="007C7980"/>
    <w:rsid w:val="007D15A2"/>
    <w:rsid w:val="007D2C47"/>
    <w:rsid w:val="007D4E07"/>
    <w:rsid w:val="007D5E19"/>
    <w:rsid w:val="007D6198"/>
    <w:rsid w:val="007D61AB"/>
    <w:rsid w:val="007D79F1"/>
    <w:rsid w:val="007D7CD5"/>
    <w:rsid w:val="007E2085"/>
    <w:rsid w:val="007E2C84"/>
    <w:rsid w:val="007E3161"/>
    <w:rsid w:val="007E5114"/>
    <w:rsid w:val="007E5243"/>
    <w:rsid w:val="007E5C6B"/>
    <w:rsid w:val="007E5D3E"/>
    <w:rsid w:val="007E755B"/>
    <w:rsid w:val="007F2A9C"/>
    <w:rsid w:val="007F2AD9"/>
    <w:rsid w:val="007F3DC4"/>
    <w:rsid w:val="007F41B1"/>
    <w:rsid w:val="007F6CA3"/>
    <w:rsid w:val="007F75F6"/>
    <w:rsid w:val="007F7697"/>
    <w:rsid w:val="00800584"/>
    <w:rsid w:val="00800847"/>
    <w:rsid w:val="00801987"/>
    <w:rsid w:val="00801BB4"/>
    <w:rsid w:val="00801F83"/>
    <w:rsid w:val="00802448"/>
    <w:rsid w:val="008032FA"/>
    <w:rsid w:val="008038B7"/>
    <w:rsid w:val="0080674E"/>
    <w:rsid w:val="00811A9F"/>
    <w:rsid w:val="00811BCB"/>
    <w:rsid w:val="00811F79"/>
    <w:rsid w:val="008124EB"/>
    <w:rsid w:val="008128FA"/>
    <w:rsid w:val="00812C1B"/>
    <w:rsid w:val="008136EA"/>
    <w:rsid w:val="008137DA"/>
    <w:rsid w:val="008138AB"/>
    <w:rsid w:val="00813E05"/>
    <w:rsid w:val="00814442"/>
    <w:rsid w:val="008146B4"/>
    <w:rsid w:val="00814AD9"/>
    <w:rsid w:val="008161CD"/>
    <w:rsid w:val="008165F3"/>
    <w:rsid w:val="00816D27"/>
    <w:rsid w:val="00817117"/>
    <w:rsid w:val="0082031B"/>
    <w:rsid w:val="00820FBB"/>
    <w:rsid w:val="00821ED2"/>
    <w:rsid w:val="0082366A"/>
    <w:rsid w:val="00823E66"/>
    <w:rsid w:val="008243F7"/>
    <w:rsid w:val="0082442E"/>
    <w:rsid w:val="00824C54"/>
    <w:rsid w:val="00824CC2"/>
    <w:rsid w:val="0082539F"/>
    <w:rsid w:val="00825871"/>
    <w:rsid w:val="00826ED7"/>
    <w:rsid w:val="00831735"/>
    <w:rsid w:val="008339B8"/>
    <w:rsid w:val="00834284"/>
    <w:rsid w:val="008408A3"/>
    <w:rsid w:val="00842405"/>
    <w:rsid w:val="00842F53"/>
    <w:rsid w:val="00843579"/>
    <w:rsid w:val="0084370B"/>
    <w:rsid w:val="00844178"/>
    <w:rsid w:val="00845C9B"/>
    <w:rsid w:val="00846B84"/>
    <w:rsid w:val="00847C3E"/>
    <w:rsid w:val="00852773"/>
    <w:rsid w:val="0085297A"/>
    <w:rsid w:val="00852A37"/>
    <w:rsid w:val="00852BD5"/>
    <w:rsid w:val="00855502"/>
    <w:rsid w:val="00857E9D"/>
    <w:rsid w:val="008610A0"/>
    <w:rsid w:val="00861A7C"/>
    <w:rsid w:val="00865500"/>
    <w:rsid w:val="0086642A"/>
    <w:rsid w:val="00866761"/>
    <w:rsid w:val="00866AD6"/>
    <w:rsid w:val="00866C0E"/>
    <w:rsid w:val="00867622"/>
    <w:rsid w:val="008704B4"/>
    <w:rsid w:val="00871B50"/>
    <w:rsid w:val="00872462"/>
    <w:rsid w:val="008730ED"/>
    <w:rsid w:val="00873ADA"/>
    <w:rsid w:val="0087493A"/>
    <w:rsid w:val="00874B63"/>
    <w:rsid w:val="00875135"/>
    <w:rsid w:val="00875C34"/>
    <w:rsid w:val="008778B0"/>
    <w:rsid w:val="008778EA"/>
    <w:rsid w:val="0088023D"/>
    <w:rsid w:val="00880487"/>
    <w:rsid w:val="008805BA"/>
    <w:rsid w:val="008809A9"/>
    <w:rsid w:val="00880E02"/>
    <w:rsid w:val="00881C40"/>
    <w:rsid w:val="0088265E"/>
    <w:rsid w:val="00882701"/>
    <w:rsid w:val="00883875"/>
    <w:rsid w:val="00885363"/>
    <w:rsid w:val="00885EF6"/>
    <w:rsid w:val="008873BB"/>
    <w:rsid w:val="008912B2"/>
    <w:rsid w:val="00893AED"/>
    <w:rsid w:val="0089440B"/>
    <w:rsid w:val="00894430"/>
    <w:rsid w:val="008A2DA5"/>
    <w:rsid w:val="008A3B32"/>
    <w:rsid w:val="008A41E2"/>
    <w:rsid w:val="008A428D"/>
    <w:rsid w:val="008A49A1"/>
    <w:rsid w:val="008A5075"/>
    <w:rsid w:val="008A65CB"/>
    <w:rsid w:val="008A7129"/>
    <w:rsid w:val="008B23F8"/>
    <w:rsid w:val="008B37A3"/>
    <w:rsid w:val="008B4231"/>
    <w:rsid w:val="008B4C16"/>
    <w:rsid w:val="008B5BC1"/>
    <w:rsid w:val="008B746B"/>
    <w:rsid w:val="008B7F83"/>
    <w:rsid w:val="008C1733"/>
    <w:rsid w:val="008C2295"/>
    <w:rsid w:val="008C3C98"/>
    <w:rsid w:val="008C496D"/>
    <w:rsid w:val="008C5EDA"/>
    <w:rsid w:val="008C6756"/>
    <w:rsid w:val="008D133B"/>
    <w:rsid w:val="008D1F1D"/>
    <w:rsid w:val="008D37DF"/>
    <w:rsid w:val="008D5428"/>
    <w:rsid w:val="008D5482"/>
    <w:rsid w:val="008D6A42"/>
    <w:rsid w:val="008D6A73"/>
    <w:rsid w:val="008E0AF3"/>
    <w:rsid w:val="008E0CDB"/>
    <w:rsid w:val="008E137C"/>
    <w:rsid w:val="008E4250"/>
    <w:rsid w:val="008E7470"/>
    <w:rsid w:val="008F08E2"/>
    <w:rsid w:val="008F1EC4"/>
    <w:rsid w:val="008F2CDA"/>
    <w:rsid w:val="008F301E"/>
    <w:rsid w:val="008F3539"/>
    <w:rsid w:val="008F3D9B"/>
    <w:rsid w:val="008F5A8C"/>
    <w:rsid w:val="008F5E43"/>
    <w:rsid w:val="008F7596"/>
    <w:rsid w:val="008F7C42"/>
    <w:rsid w:val="008F7C8D"/>
    <w:rsid w:val="008F7D54"/>
    <w:rsid w:val="00901635"/>
    <w:rsid w:val="00906986"/>
    <w:rsid w:val="00906D6F"/>
    <w:rsid w:val="0091025E"/>
    <w:rsid w:val="00910DA3"/>
    <w:rsid w:val="0091218C"/>
    <w:rsid w:val="00912C80"/>
    <w:rsid w:val="00913079"/>
    <w:rsid w:val="0091332B"/>
    <w:rsid w:val="00913E30"/>
    <w:rsid w:val="00914F18"/>
    <w:rsid w:val="00915788"/>
    <w:rsid w:val="00916C49"/>
    <w:rsid w:val="00917308"/>
    <w:rsid w:val="00917BAF"/>
    <w:rsid w:val="00920C20"/>
    <w:rsid w:val="00925783"/>
    <w:rsid w:val="00926E12"/>
    <w:rsid w:val="00926EA4"/>
    <w:rsid w:val="00926F22"/>
    <w:rsid w:val="00930022"/>
    <w:rsid w:val="00931882"/>
    <w:rsid w:val="00932E55"/>
    <w:rsid w:val="00933765"/>
    <w:rsid w:val="00933CBA"/>
    <w:rsid w:val="00934C4E"/>
    <w:rsid w:val="009351A1"/>
    <w:rsid w:val="009351E1"/>
    <w:rsid w:val="00936014"/>
    <w:rsid w:val="00936A64"/>
    <w:rsid w:val="0093714F"/>
    <w:rsid w:val="0093755B"/>
    <w:rsid w:val="00937758"/>
    <w:rsid w:val="00937B4A"/>
    <w:rsid w:val="00940B40"/>
    <w:rsid w:val="00940BC3"/>
    <w:rsid w:val="00940D69"/>
    <w:rsid w:val="009416EC"/>
    <w:rsid w:val="0094173E"/>
    <w:rsid w:val="00944C0F"/>
    <w:rsid w:val="00944D16"/>
    <w:rsid w:val="00950334"/>
    <w:rsid w:val="00951D23"/>
    <w:rsid w:val="009542FC"/>
    <w:rsid w:val="009551EE"/>
    <w:rsid w:val="00955601"/>
    <w:rsid w:val="00956B71"/>
    <w:rsid w:val="00957B04"/>
    <w:rsid w:val="009602E2"/>
    <w:rsid w:val="00960B1B"/>
    <w:rsid w:val="00960EFA"/>
    <w:rsid w:val="0096254C"/>
    <w:rsid w:val="00964744"/>
    <w:rsid w:val="00965624"/>
    <w:rsid w:val="009657D5"/>
    <w:rsid w:val="009666A1"/>
    <w:rsid w:val="00966CF8"/>
    <w:rsid w:val="00967139"/>
    <w:rsid w:val="0097052C"/>
    <w:rsid w:val="0097056B"/>
    <w:rsid w:val="00971000"/>
    <w:rsid w:val="009717C7"/>
    <w:rsid w:val="00972031"/>
    <w:rsid w:val="00973675"/>
    <w:rsid w:val="00973BC7"/>
    <w:rsid w:val="00974794"/>
    <w:rsid w:val="00974C33"/>
    <w:rsid w:val="009755FB"/>
    <w:rsid w:val="00980BA1"/>
    <w:rsid w:val="0098121C"/>
    <w:rsid w:val="00981CAB"/>
    <w:rsid w:val="009828CF"/>
    <w:rsid w:val="0098330D"/>
    <w:rsid w:val="00983B3C"/>
    <w:rsid w:val="00984199"/>
    <w:rsid w:val="009842E7"/>
    <w:rsid w:val="00984916"/>
    <w:rsid w:val="00984C60"/>
    <w:rsid w:val="00985C0F"/>
    <w:rsid w:val="00991570"/>
    <w:rsid w:val="0099161B"/>
    <w:rsid w:val="00991E3E"/>
    <w:rsid w:val="00992880"/>
    <w:rsid w:val="00993484"/>
    <w:rsid w:val="00993589"/>
    <w:rsid w:val="00994E33"/>
    <w:rsid w:val="00995577"/>
    <w:rsid w:val="009A042B"/>
    <w:rsid w:val="009A0C07"/>
    <w:rsid w:val="009A2691"/>
    <w:rsid w:val="009A2C05"/>
    <w:rsid w:val="009A36C1"/>
    <w:rsid w:val="009A3843"/>
    <w:rsid w:val="009A387E"/>
    <w:rsid w:val="009A4F0B"/>
    <w:rsid w:val="009A4FFC"/>
    <w:rsid w:val="009A584E"/>
    <w:rsid w:val="009A5FDD"/>
    <w:rsid w:val="009A7D6C"/>
    <w:rsid w:val="009B0314"/>
    <w:rsid w:val="009B0E54"/>
    <w:rsid w:val="009B318B"/>
    <w:rsid w:val="009B3B29"/>
    <w:rsid w:val="009B4A7F"/>
    <w:rsid w:val="009B4F97"/>
    <w:rsid w:val="009B5914"/>
    <w:rsid w:val="009B6B05"/>
    <w:rsid w:val="009B72A6"/>
    <w:rsid w:val="009B73FB"/>
    <w:rsid w:val="009B7902"/>
    <w:rsid w:val="009C046D"/>
    <w:rsid w:val="009C1C22"/>
    <w:rsid w:val="009C2082"/>
    <w:rsid w:val="009C3150"/>
    <w:rsid w:val="009C36E4"/>
    <w:rsid w:val="009C3C58"/>
    <w:rsid w:val="009C5061"/>
    <w:rsid w:val="009C58D7"/>
    <w:rsid w:val="009C5B26"/>
    <w:rsid w:val="009C7095"/>
    <w:rsid w:val="009C7638"/>
    <w:rsid w:val="009D20CD"/>
    <w:rsid w:val="009D226F"/>
    <w:rsid w:val="009D381C"/>
    <w:rsid w:val="009D407E"/>
    <w:rsid w:val="009D4CF7"/>
    <w:rsid w:val="009D5AD7"/>
    <w:rsid w:val="009D6191"/>
    <w:rsid w:val="009D798C"/>
    <w:rsid w:val="009D7E95"/>
    <w:rsid w:val="009E0F5B"/>
    <w:rsid w:val="009E3078"/>
    <w:rsid w:val="009E5951"/>
    <w:rsid w:val="009E6D4C"/>
    <w:rsid w:val="009E7E37"/>
    <w:rsid w:val="009F0E8B"/>
    <w:rsid w:val="009F1528"/>
    <w:rsid w:val="009F1ECF"/>
    <w:rsid w:val="009F2433"/>
    <w:rsid w:val="009F3E67"/>
    <w:rsid w:val="009F6A06"/>
    <w:rsid w:val="00A0057E"/>
    <w:rsid w:val="00A01DA3"/>
    <w:rsid w:val="00A053E7"/>
    <w:rsid w:val="00A05864"/>
    <w:rsid w:val="00A068F6"/>
    <w:rsid w:val="00A06BD4"/>
    <w:rsid w:val="00A06CB9"/>
    <w:rsid w:val="00A06CDE"/>
    <w:rsid w:val="00A07370"/>
    <w:rsid w:val="00A07A1F"/>
    <w:rsid w:val="00A11C74"/>
    <w:rsid w:val="00A13355"/>
    <w:rsid w:val="00A13C36"/>
    <w:rsid w:val="00A202E5"/>
    <w:rsid w:val="00A21E32"/>
    <w:rsid w:val="00A229E3"/>
    <w:rsid w:val="00A23580"/>
    <w:rsid w:val="00A2362F"/>
    <w:rsid w:val="00A23768"/>
    <w:rsid w:val="00A2391F"/>
    <w:rsid w:val="00A24256"/>
    <w:rsid w:val="00A24B43"/>
    <w:rsid w:val="00A24B63"/>
    <w:rsid w:val="00A26F5B"/>
    <w:rsid w:val="00A27E9C"/>
    <w:rsid w:val="00A302D9"/>
    <w:rsid w:val="00A30CD3"/>
    <w:rsid w:val="00A30CED"/>
    <w:rsid w:val="00A31A27"/>
    <w:rsid w:val="00A31ED2"/>
    <w:rsid w:val="00A34160"/>
    <w:rsid w:val="00A34926"/>
    <w:rsid w:val="00A34A61"/>
    <w:rsid w:val="00A35F6A"/>
    <w:rsid w:val="00A36D0C"/>
    <w:rsid w:val="00A37263"/>
    <w:rsid w:val="00A37283"/>
    <w:rsid w:val="00A4307F"/>
    <w:rsid w:val="00A43CDA"/>
    <w:rsid w:val="00A44ACC"/>
    <w:rsid w:val="00A45B87"/>
    <w:rsid w:val="00A47A0B"/>
    <w:rsid w:val="00A52AAE"/>
    <w:rsid w:val="00A52FD3"/>
    <w:rsid w:val="00A54906"/>
    <w:rsid w:val="00A55675"/>
    <w:rsid w:val="00A5568B"/>
    <w:rsid w:val="00A5596F"/>
    <w:rsid w:val="00A60F35"/>
    <w:rsid w:val="00A6313D"/>
    <w:rsid w:val="00A64949"/>
    <w:rsid w:val="00A649D5"/>
    <w:rsid w:val="00A64BFA"/>
    <w:rsid w:val="00A655F7"/>
    <w:rsid w:val="00A65A0C"/>
    <w:rsid w:val="00A65A83"/>
    <w:rsid w:val="00A66A16"/>
    <w:rsid w:val="00A66E60"/>
    <w:rsid w:val="00A7278C"/>
    <w:rsid w:val="00A737F2"/>
    <w:rsid w:val="00A76439"/>
    <w:rsid w:val="00A76D1D"/>
    <w:rsid w:val="00A77D8B"/>
    <w:rsid w:val="00A80292"/>
    <w:rsid w:val="00A8097B"/>
    <w:rsid w:val="00A83FDA"/>
    <w:rsid w:val="00A8455F"/>
    <w:rsid w:val="00A862FB"/>
    <w:rsid w:val="00A87AEB"/>
    <w:rsid w:val="00A87E6A"/>
    <w:rsid w:val="00A90704"/>
    <w:rsid w:val="00A936DA"/>
    <w:rsid w:val="00A945CF"/>
    <w:rsid w:val="00A95450"/>
    <w:rsid w:val="00A96F40"/>
    <w:rsid w:val="00A97B2D"/>
    <w:rsid w:val="00AA0893"/>
    <w:rsid w:val="00AA2875"/>
    <w:rsid w:val="00AA292A"/>
    <w:rsid w:val="00AA384C"/>
    <w:rsid w:val="00AA50C8"/>
    <w:rsid w:val="00AA6DC1"/>
    <w:rsid w:val="00AB01E4"/>
    <w:rsid w:val="00AB0A67"/>
    <w:rsid w:val="00AB1A65"/>
    <w:rsid w:val="00AB1D76"/>
    <w:rsid w:val="00AB55E3"/>
    <w:rsid w:val="00AB6D5A"/>
    <w:rsid w:val="00AB7390"/>
    <w:rsid w:val="00AC1F36"/>
    <w:rsid w:val="00AC5701"/>
    <w:rsid w:val="00AC659B"/>
    <w:rsid w:val="00AC6992"/>
    <w:rsid w:val="00AC751F"/>
    <w:rsid w:val="00AC7839"/>
    <w:rsid w:val="00AD0771"/>
    <w:rsid w:val="00AD12AA"/>
    <w:rsid w:val="00AD176F"/>
    <w:rsid w:val="00AD1931"/>
    <w:rsid w:val="00AD4488"/>
    <w:rsid w:val="00AD50FF"/>
    <w:rsid w:val="00AD7810"/>
    <w:rsid w:val="00AE0B90"/>
    <w:rsid w:val="00AE2749"/>
    <w:rsid w:val="00AE2B09"/>
    <w:rsid w:val="00AE4030"/>
    <w:rsid w:val="00AE6A0E"/>
    <w:rsid w:val="00AE7888"/>
    <w:rsid w:val="00AF0584"/>
    <w:rsid w:val="00AF06EF"/>
    <w:rsid w:val="00AF0B55"/>
    <w:rsid w:val="00AF1580"/>
    <w:rsid w:val="00AF3BA1"/>
    <w:rsid w:val="00AF3F7F"/>
    <w:rsid w:val="00AF4733"/>
    <w:rsid w:val="00AF4A39"/>
    <w:rsid w:val="00AF4D08"/>
    <w:rsid w:val="00AF5ABB"/>
    <w:rsid w:val="00AF65B6"/>
    <w:rsid w:val="00AF787F"/>
    <w:rsid w:val="00B012DA"/>
    <w:rsid w:val="00B05999"/>
    <w:rsid w:val="00B0618A"/>
    <w:rsid w:val="00B0676B"/>
    <w:rsid w:val="00B1009B"/>
    <w:rsid w:val="00B11613"/>
    <w:rsid w:val="00B12F42"/>
    <w:rsid w:val="00B1326B"/>
    <w:rsid w:val="00B14E5D"/>
    <w:rsid w:val="00B1755C"/>
    <w:rsid w:val="00B17966"/>
    <w:rsid w:val="00B20021"/>
    <w:rsid w:val="00B217DA"/>
    <w:rsid w:val="00B2783E"/>
    <w:rsid w:val="00B27950"/>
    <w:rsid w:val="00B30358"/>
    <w:rsid w:val="00B30378"/>
    <w:rsid w:val="00B310CE"/>
    <w:rsid w:val="00B313AD"/>
    <w:rsid w:val="00B318CB"/>
    <w:rsid w:val="00B3192B"/>
    <w:rsid w:val="00B32762"/>
    <w:rsid w:val="00B33A5F"/>
    <w:rsid w:val="00B35BE9"/>
    <w:rsid w:val="00B35CEA"/>
    <w:rsid w:val="00B3698C"/>
    <w:rsid w:val="00B37353"/>
    <w:rsid w:val="00B374B5"/>
    <w:rsid w:val="00B40940"/>
    <w:rsid w:val="00B415F9"/>
    <w:rsid w:val="00B44751"/>
    <w:rsid w:val="00B450A4"/>
    <w:rsid w:val="00B47C50"/>
    <w:rsid w:val="00B47E23"/>
    <w:rsid w:val="00B50968"/>
    <w:rsid w:val="00B5099F"/>
    <w:rsid w:val="00B51D7C"/>
    <w:rsid w:val="00B52342"/>
    <w:rsid w:val="00B52465"/>
    <w:rsid w:val="00B53017"/>
    <w:rsid w:val="00B531D6"/>
    <w:rsid w:val="00B534B5"/>
    <w:rsid w:val="00B549EB"/>
    <w:rsid w:val="00B54AB8"/>
    <w:rsid w:val="00B54F87"/>
    <w:rsid w:val="00B55F72"/>
    <w:rsid w:val="00B626AA"/>
    <w:rsid w:val="00B62C9C"/>
    <w:rsid w:val="00B63214"/>
    <w:rsid w:val="00B63471"/>
    <w:rsid w:val="00B63EB3"/>
    <w:rsid w:val="00B6715E"/>
    <w:rsid w:val="00B6787F"/>
    <w:rsid w:val="00B7009E"/>
    <w:rsid w:val="00B714DC"/>
    <w:rsid w:val="00B723CA"/>
    <w:rsid w:val="00B72921"/>
    <w:rsid w:val="00B72CD2"/>
    <w:rsid w:val="00B73299"/>
    <w:rsid w:val="00B73AE9"/>
    <w:rsid w:val="00B73DC2"/>
    <w:rsid w:val="00B747DC"/>
    <w:rsid w:val="00B749E1"/>
    <w:rsid w:val="00B74C78"/>
    <w:rsid w:val="00B77A79"/>
    <w:rsid w:val="00B80F03"/>
    <w:rsid w:val="00B83156"/>
    <w:rsid w:val="00B8358A"/>
    <w:rsid w:val="00B8402C"/>
    <w:rsid w:val="00B846C2"/>
    <w:rsid w:val="00B85581"/>
    <w:rsid w:val="00B85680"/>
    <w:rsid w:val="00B867B6"/>
    <w:rsid w:val="00B86F6B"/>
    <w:rsid w:val="00B8704B"/>
    <w:rsid w:val="00B8792A"/>
    <w:rsid w:val="00B87D7C"/>
    <w:rsid w:val="00B87E0C"/>
    <w:rsid w:val="00B903B1"/>
    <w:rsid w:val="00B909E2"/>
    <w:rsid w:val="00B90F40"/>
    <w:rsid w:val="00B913CB"/>
    <w:rsid w:val="00B91611"/>
    <w:rsid w:val="00B936B5"/>
    <w:rsid w:val="00B94189"/>
    <w:rsid w:val="00B94A79"/>
    <w:rsid w:val="00B9625B"/>
    <w:rsid w:val="00B970EB"/>
    <w:rsid w:val="00B97B2B"/>
    <w:rsid w:val="00BA06C1"/>
    <w:rsid w:val="00BA13DA"/>
    <w:rsid w:val="00BA192B"/>
    <w:rsid w:val="00BA3C59"/>
    <w:rsid w:val="00BA4702"/>
    <w:rsid w:val="00BA711C"/>
    <w:rsid w:val="00BB06DC"/>
    <w:rsid w:val="00BB12FF"/>
    <w:rsid w:val="00BB1D74"/>
    <w:rsid w:val="00BB2E85"/>
    <w:rsid w:val="00BB38CC"/>
    <w:rsid w:val="00BB39A1"/>
    <w:rsid w:val="00BB4E67"/>
    <w:rsid w:val="00BB4F78"/>
    <w:rsid w:val="00BB5E83"/>
    <w:rsid w:val="00BC2062"/>
    <w:rsid w:val="00BC2482"/>
    <w:rsid w:val="00BC3944"/>
    <w:rsid w:val="00BC5822"/>
    <w:rsid w:val="00BC5E0B"/>
    <w:rsid w:val="00BD2DA1"/>
    <w:rsid w:val="00BD4EE2"/>
    <w:rsid w:val="00BD5B72"/>
    <w:rsid w:val="00BD6537"/>
    <w:rsid w:val="00BD7482"/>
    <w:rsid w:val="00BE070C"/>
    <w:rsid w:val="00BE087B"/>
    <w:rsid w:val="00BE2009"/>
    <w:rsid w:val="00BE2967"/>
    <w:rsid w:val="00BE3CFD"/>
    <w:rsid w:val="00BE4A33"/>
    <w:rsid w:val="00BE782C"/>
    <w:rsid w:val="00BE7E7D"/>
    <w:rsid w:val="00BF06ED"/>
    <w:rsid w:val="00BF1E7F"/>
    <w:rsid w:val="00BF22BD"/>
    <w:rsid w:val="00BF2F49"/>
    <w:rsid w:val="00BF3A89"/>
    <w:rsid w:val="00BF3B3C"/>
    <w:rsid w:val="00BF4CF4"/>
    <w:rsid w:val="00BF56FF"/>
    <w:rsid w:val="00BF57DF"/>
    <w:rsid w:val="00BF6B4E"/>
    <w:rsid w:val="00BF7185"/>
    <w:rsid w:val="00BF76CC"/>
    <w:rsid w:val="00BF7D19"/>
    <w:rsid w:val="00C00746"/>
    <w:rsid w:val="00C01C05"/>
    <w:rsid w:val="00C01EBB"/>
    <w:rsid w:val="00C02954"/>
    <w:rsid w:val="00C03556"/>
    <w:rsid w:val="00C039A0"/>
    <w:rsid w:val="00C0426D"/>
    <w:rsid w:val="00C045DF"/>
    <w:rsid w:val="00C059A4"/>
    <w:rsid w:val="00C064AE"/>
    <w:rsid w:val="00C0677E"/>
    <w:rsid w:val="00C069E0"/>
    <w:rsid w:val="00C10173"/>
    <w:rsid w:val="00C10BE5"/>
    <w:rsid w:val="00C116AC"/>
    <w:rsid w:val="00C11C77"/>
    <w:rsid w:val="00C137E7"/>
    <w:rsid w:val="00C13810"/>
    <w:rsid w:val="00C13F19"/>
    <w:rsid w:val="00C14F8A"/>
    <w:rsid w:val="00C2021E"/>
    <w:rsid w:val="00C21EB9"/>
    <w:rsid w:val="00C221DE"/>
    <w:rsid w:val="00C223A2"/>
    <w:rsid w:val="00C239BB"/>
    <w:rsid w:val="00C26C99"/>
    <w:rsid w:val="00C317D0"/>
    <w:rsid w:val="00C32B6C"/>
    <w:rsid w:val="00C33E1D"/>
    <w:rsid w:val="00C345B9"/>
    <w:rsid w:val="00C36B60"/>
    <w:rsid w:val="00C378BC"/>
    <w:rsid w:val="00C407A6"/>
    <w:rsid w:val="00C41661"/>
    <w:rsid w:val="00C419CF"/>
    <w:rsid w:val="00C41AF0"/>
    <w:rsid w:val="00C4318A"/>
    <w:rsid w:val="00C4771B"/>
    <w:rsid w:val="00C51461"/>
    <w:rsid w:val="00C514F3"/>
    <w:rsid w:val="00C52C2F"/>
    <w:rsid w:val="00C52E11"/>
    <w:rsid w:val="00C550C8"/>
    <w:rsid w:val="00C62087"/>
    <w:rsid w:val="00C623CD"/>
    <w:rsid w:val="00C62D61"/>
    <w:rsid w:val="00C63BB9"/>
    <w:rsid w:val="00C659A7"/>
    <w:rsid w:val="00C665AC"/>
    <w:rsid w:val="00C66759"/>
    <w:rsid w:val="00C6754E"/>
    <w:rsid w:val="00C67B6E"/>
    <w:rsid w:val="00C72590"/>
    <w:rsid w:val="00C72777"/>
    <w:rsid w:val="00C72BE6"/>
    <w:rsid w:val="00C732E4"/>
    <w:rsid w:val="00C74A04"/>
    <w:rsid w:val="00C753C2"/>
    <w:rsid w:val="00C75408"/>
    <w:rsid w:val="00C75936"/>
    <w:rsid w:val="00C768D1"/>
    <w:rsid w:val="00C76B6B"/>
    <w:rsid w:val="00C77D0A"/>
    <w:rsid w:val="00C77D13"/>
    <w:rsid w:val="00C823D3"/>
    <w:rsid w:val="00C8396D"/>
    <w:rsid w:val="00C86FD2"/>
    <w:rsid w:val="00C90246"/>
    <w:rsid w:val="00C91508"/>
    <w:rsid w:val="00C927E9"/>
    <w:rsid w:val="00C93AF7"/>
    <w:rsid w:val="00C95047"/>
    <w:rsid w:val="00C9504F"/>
    <w:rsid w:val="00C95644"/>
    <w:rsid w:val="00C95A40"/>
    <w:rsid w:val="00C95AED"/>
    <w:rsid w:val="00C968F0"/>
    <w:rsid w:val="00C9756F"/>
    <w:rsid w:val="00C979AB"/>
    <w:rsid w:val="00C97B3D"/>
    <w:rsid w:val="00C97DDD"/>
    <w:rsid w:val="00CA049A"/>
    <w:rsid w:val="00CA0A86"/>
    <w:rsid w:val="00CA0D23"/>
    <w:rsid w:val="00CA0ECB"/>
    <w:rsid w:val="00CA1472"/>
    <w:rsid w:val="00CA3D1E"/>
    <w:rsid w:val="00CA6A2D"/>
    <w:rsid w:val="00CB04EE"/>
    <w:rsid w:val="00CB1118"/>
    <w:rsid w:val="00CB4249"/>
    <w:rsid w:val="00CB5214"/>
    <w:rsid w:val="00CB530E"/>
    <w:rsid w:val="00CB54FE"/>
    <w:rsid w:val="00CB554F"/>
    <w:rsid w:val="00CB5BA3"/>
    <w:rsid w:val="00CB6110"/>
    <w:rsid w:val="00CB6862"/>
    <w:rsid w:val="00CB6C07"/>
    <w:rsid w:val="00CB6DF3"/>
    <w:rsid w:val="00CB76DF"/>
    <w:rsid w:val="00CB785B"/>
    <w:rsid w:val="00CC0035"/>
    <w:rsid w:val="00CC0970"/>
    <w:rsid w:val="00CC0BFC"/>
    <w:rsid w:val="00CC0EFD"/>
    <w:rsid w:val="00CC10FA"/>
    <w:rsid w:val="00CC37CC"/>
    <w:rsid w:val="00CC3CCC"/>
    <w:rsid w:val="00CC45CF"/>
    <w:rsid w:val="00CC517F"/>
    <w:rsid w:val="00CC5DAF"/>
    <w:rsid w:val="00CC62D5"/>
    <w:rsid w:val="00CC7AEC"/>
    <w:rsid w:val="00CC7FC2"/>
    <w:rsid w:val="00CD2061"/>
    <w:rsid w:val="00CD254D"/>
    <w:rsid w:val="00CD263C"/>
    <w:rsid w:val="00CD39C8"/>
    <w:rsid w:val="00CD3CB5"/>
    <w:rsid w:val="00CD5A38"/>
    <w:rsid w:val="00CD5B13"/>
    <w:rsid w:val="00CD5F72"/>
    <w:rsid w:val="00CD79AF"/>
    <w:rsid w:val="00CE0571"/>
    <w:rsid w:val="00CE09FF"/>
    <w:rsid w:val="00CE112F"/>
    <w:rsid w:val="00CE15C5"/>
    <w:rsid w:val="00CE1CC8"/>
    <w:rsid w:val="00CE5B55"/>
    <w:rsid w:val="00CE7BD5"/>
    <w:rsid w:val="00CF1FC5"/>
    <w:rsid w:val="00CF2154"/>
    <w:rsid w:val="00CF2390"/>
    <w:rsid w:val="00CF2564"/>
    <w:rsid w:val="00CF38F0"/>
    <w:rsid w:val="00CF3DCC"/>
    <w:rsid w:val="00CF50ED"/>
    <w:rsid w:val="00CF5241"/>
    <w:rsid w:val="00CF5D75"/>
    <w:rsid w:val="00CF5D8A"/>
    <w:rsid w:val="00CF611A"/>
    <w:rsid w:val="00CF6727"/>
    <w:rsid w:val="00CF7B4E"/>
    <w:rsid w:val="00D008F4"/>
    <w:rsid w:val="00D01382"/>
    <w:rsid w:val="00D015F3"/>
    <w:rsid w:val="00D038A2"/>
    <w:rsid w:val="00D03DAA"/>
    <w:rsid w:val="00D05305"/>
    <w:rsid w:val="00D056EC"/>
    <w:rsid w:val="00D06402"/>
    <w:rsid w:val="00D06746"/>
    <w:rsid w:val="00D06E21"/>
    <w:rsid w:val="00D10445"/>
    <w:rsid w:val="00D10B7E"/>
    <w:rsid w:val="00D113FD"/>
    <w:rsid w:val="00D11534"/>
    <w:rsid w:val="00D1225E"/>
    <w:rsid w:val="00D127FB"/>
    <w:rsid w:val="00D138BC"/>
    <w:rsid w:val="00D13C13"/>
    <w:rsid w:val="00D14293"/>
    <w:rsid w:val="00D14F24"/>
    <w:rsid w:val="00D154A9"/>
    <w:rsid w:val="00D17273"/>
    <w:rsid w:val="00D17434"/>
    <w:rsid w:val="00D20D8A"/>
    <w:rsid w:val="00D20F79"/>
    <w:rsid w:val="00D2209E"/>
    <w:rsid w:val="00D223CB"/>
    <w:rsid w:val="00D226C5"/>
    <w:rsid w:val="00D227D7"/>
    <w:rsid w:val="00D247EE"/>
    <w:rsid w:val="00D249B0"/>
    <w:rsid w:val="00D26547"/>
    <w:rsid w:val="00D2708B"/>
    <w:rsid w:val="00D3001C"/>
    <w:rsid w:val="00D3130C"/>
    <w:rsid w:val="00D32271"/>
    <w:rsid w:val="00D33F09"/>
    <w:rsid w:val="00D34211"/>
    <w:rsid w:val="00D3424C"/>
    <w:rsid w:val="00D34EBE"/>
    <w:rsid w:val="00D35884"/>
    <w:rsid w:val="00D3676F"/>
    <w:rsid w:val="00D37911"/>
    <w:rsid w:val="00D40119"/>
    <w:rsid w:val="00D4063B"/>
    <w:rsid w:val="00D40BC5"/>
    <w:rsid w:val="00D41E98"/>
    <w:rsid w:val="00D422B1"/>
    <w:rsid w:val="00D42DEF"/>
    <w:rsid w:val="00D43157"/>
    <w:rsid w:val="00D433ED"/>
    <w:rsid w:val="00D439AB"/>
    <w:rsid w:val="00D43B3B"/>
    <w:rsid w:val="00D50B61"/>
    <w:rsid w:val="00D51035"/>
    <w:rsid w:val="00D51906"/>
    <w:rsid w:val="00D52C7D"/>
    <w:rsid w:val="00D54D60"/>
    <w:rsid w:val="00D555B3"/>
    <w:rsid w:val="00D557CE"/>
    <w:rsid w:val="00D56569"/>
    <w:rsid w:val="00D56795"/>
    <w:rsid w:val="00D6019F"/>
    <w:rsid w:val="00D60B9B"/>
    <w:rsid w:val="00D61439"/>
    <w:rsid w:val="00D62A3F"/>
    <w:rsid w:val="00D65937"/>
    <w:rsid w:val="00D65CB5"/>
    <w:rsid w:val="00D70A74"/>
    <w:rsid w:val="00D718DA"/>
    <w:rsid w:val="00D71AA8"/>
    <w:rsid w:val="00D72306"/>
    <w:rsid w:val="00D72337"/>
    <w:rsid w:val="00D73499"/>
    <w:rsid w:val="00D741D9"/>
    <w:rsid w:val="00D74723"/>
    <w:rsid w:val="00D76D1F"/>
    <w:rsid w:val="00D76E90"/>
    <w:rsid w:val="00D81F5D"/>
    <w:rsid w:val="00D820EE"/>
    <w:rsid w:val="00D824AB"/>
    <w:rsid w:val="00D82CC2"/>
    <w:rsid w:val="00D832DA"/>
    <w:rsid w:val="00D83B9C"/>
    <w:rsid w:val="00D8526E"/>
    <w:rsid w:val="00D861F0"/>
    <w:rsid w:val="00D86C19"/>
    <w:rsid w:val="00D86DB4"/>
    <w:rsid w:val="00D90B32"/>
    <w:rsid w:val="00D91CF4"/>
    <w:rsid w:val="00D93245"/>
    <w:rsid w:val="00D94222"/>
    <w:rsid w:val="00D95428"/>
    <w:rsid w:val="00D95A19"/>
    <w:rsid w:val="00D95C0F"/>
    <w:rsid w:val="00D967EA"/>
    <w:rsid w:val="00DA21F7"/>
    <w:rsid w:val="00DA22CF"/>
    <w:rsid w:val="00DA25C3"/>
    <w:rsid w:val="00DA26FB"/>
    <w:rsid w:val="00DA2887"/>
    <w:rsid w:val="00DA3070"/>
    <w:rsid w:val="00DA3B8A"/>
    <w:rsid w:val="00DA5904"/>
    <w:rsid w:val="00DA5B83"/>
    <w:rsid w:val="00DA67D2"/>
    <w:rsid w:val="00DA69A0"/>
    <w:rsid w:val="00DA7569"/>
    <w:rsid w:val="00DB15A6"/>
    <w:rsid w:val="00DB1912"/>
    <w:rsid w:val="00DB20F7"/>
    <w:rsid w:val="00DB2624"/>
    <w:rsid w:val="00DB3B1E"/>
    <w:rsid w:val="00DB4CAD"/>
    <w:rsid w:val="00DB4FDA"/>
    <w:rsid w:val="00DB5203"/>
    <w:rsid w:val="00DB533C"/>
    <w:rsid w:val="00DB5EF4"/>
    <w:rsid w:val="00DB6119"/>
    <w:rsid w:val="00DB62F6"/>
    <w:rsid w:val="00DB722D"/>
    <w:rsid w:val="00DC1C90"/>
    <w:rsid w:val="00DC2406"/>
    <w:rsid w:val="00DC2CC3"/>
    <w:rsid w:val="00DC4574"/>
    <w:rsid w:val="00DC6D3D"/>
    <w:rsid w:val="00DC7B00"/>
    <w:rsid w:val="00DD28B3"/>
    <w:rsid w:val="00DD2E47"/>
    <w:rsid w:val="00DD32A7"/>
    <w:rsid w:val="00DD345E"/>
    <w:rsid w:val="00DD3EF1"/>
    <w:rsid w:val="00DD4DD8"/>
    <w:rsid w:val="00DD7193"/>
    <w:rsid w:val="00DD75A2"/>
    <w:rsid w:val="00DD78C6"/>
    <w:rsid w:val="00DE027F"/>
    <w:rsid w:val="00DE03CF"/>
    <w:rsid w:val="00DE1A49"/>
    <w:rsid w:val="00DE1E69"/>
    <w:rsid w:val="00DE3137"/>
    <w:rsid w:val="00DE340C"/>
    <w:rsid w:val="00DE3ED3"/>
    <w:rsid w:val="00DE444B"/>
    <w:rsid w:val="00DE4767"/>
    <w:rsid w:val="00DE4C1F"/>
    <w:rsid w:val="00DE623D"/>
    <w:rsid w:val="00DE6365"/>
    <w:rsid w:val="00DE689A"/>
    <w:rsid w:val="00DE68ED"/>
    <w:rsid w:val="00DE6F4C"/>
    <w:rsid w:val="00DF001F"/>
    <w:rsid w:val="00DF1729"/>
    <w:rsid w:val="00DF1A6C"/>
    <w:rsid w:val="00DF28AF"/>
    <w:rsid w:val="00DF3FA4"/>
    <w:rsid w:val="00DF49AF"/>
    <w:rsid w:val="00DF4A3D"/>
    <w:rsid w:val="00DF4D70"/>
    <w:rsid w:val="00DF57C8"/>
    <w:rsid w:val="00DF6297"/>
    <w:rsid w:val="00DF6305"/>
    <w:rsid w:val="00DF6873"/>
    <w:rsid w:val="00DF6B92"/>
    <w:rsid w:val="00DF7C4F"/>
    <w:rsid w:val="00E00140"/>
    <w:rsid w:val="00E00F5B"/>
    <w:rsid w:val="00E01C62"/>
    <w:rsid w:val="00E01E61"/>
    <w:rsid w:val="00E024DF"/>
    <w:rsid w:val="00E02924"/>
    <w:rsid w:val="00E03B52"/>
    <w:rsid w:val="00E0463D"/>
    <w:rsid w:val="00E04A15"/>
    <w:rsid w:val="00E06674"/>
    <w:rsid w:val="00E0717F"/>
    <w:rsid w:val="00E074CA"/>
    <w:rsid w:val="00E07A6B"/>
    <w:rsid w:val="00E106EA"/>
    <w:rsid w:val="00E1335C"/>
    <w:rsid w:val="00E134BE"/>
    <w:rsid w:val="00E138AA"/>
    <w:rsid w:val="00E20C40"/>
    <w:rsid w:val="00E20FA1"/>
    <w:rsid w:val="00E22429"/>
    <w:rsid w:val="00E24CAA"/>
    <w:rsid w:val="00E2732D"/>
    <w:rsid w:val="00E317E4"/>
    <w:rsid w:val="00E31D14"/>
    <w:rsid w:val="00E334CF"/>
    <w:rsid w:val="00E340E2"/>
    <w:rsid w:val="00E344F8"/>
    <w:rsid w:val="00E351BD"/>
    <w:rsid w:val="00E355BB"/>
    <w:rsid w:val="00E35A64"/>
    <w:rsid w:val="00E40051"/>
    <w:rsid w:val="00E402ED"/>
    <w:rsid w:val="00E41B1D"/>
    <w:rsid w:val="00E429E5"/>
    <w:rsid w:val="00E42E01"/>
    <w:rsid w:val="00E42F6F"/>
    <w:rsid w:val="00E43C1F"/>
    <w:rsid w:val="00E44440"/>
    <w:rsid w:val="00E47738"/>
    <w:rsid w:val="00E47E9E"/>
    <w:rsid w:val="00E50518"/>
    <w:rsid w:val="00E51E3E"/>
    <w:rsid w:val="00E53D3E"/>
    <w:rsid w:val="00E53E69"/>
    <w:rsid w:val="00E559E5"/>
    <w:rsid w:val="00E57038"/>
    <w:rsid w:val="00E574FE"/>
    <w:rsid w:val="00E605FA"/>
    <w:rsid w:val="00E608F6"/>
    <w:rsid w:val="00E612B1"/>
    <w:rsid w:val="00E61F4C"/>
    <w:rsid w:val="00E62160"/>
    <w:rsid w:val="00E62388"/>
    <w:rsid w:val="00E634BE"/>
    <w:rsid w:val="00E640A6"/>
    <w:rsid w:val="00E643A6"/>
    <w:rsid w:val="00E64D40"/>
    <w:rsid w:val="00E65DC5"/>
    <w:rsid w:val="00E65FB5"/>
    <w:rsid w:val="00E670F1"/>
    <w:rsid w:val="00E70323"/>
    <w:rsid w:val="00E73E6D"/>
    <w:rsid w:val="00E74C8E"/>
    <w:rsid w:val="00E74E04"/>
    <w:rsid w:val="00E75961"/>
    <w:rsid w:val="00E76551"/>
    <w:rsid w:val="00E771C4"/>
    <w:rsid w:val="00E7776B"/>
    <w:rsid w:val="00E80961"/>
    <w:rsid w:val="00E825C7"/>
    <w:rsid w:val="00E83666"/>
    <w:rsid w:val="00E83693"/>
    <w:rsid w:val="00E8400B"/>
    <w:rsid w:val="00E90742"/>
    <w:rsid w:val="00E9096E"/>
    <w:rsid w:val="00E90D5B"/>
    <w:rsid w:val="00E90FC6"/>
    <w:rsid w:val="00E92691"/>
    <w:rsid w:val="00E92A4B"/>
    <w:rsid w:val="00E947E8"/>
    <w:rsid w:val="00E9498A"/>
    <w:rsid w:val="00E95C09"/>
    <w:rsid w:val="00EA0571"/>
    <w:rsid w:val="00EA0AF3"/>
    <w:rsid w:val="00EA14F0"/>
    <w:rsid w:val="00EA29E0"/>
    <w:rsid w:val="00EA3AC1"/>
    <w:rsid w:val="00EA4FCB"/>
    <w:rsid w:val="00EA5888"/>
    <w:rsid w:val="00EA5E29"/>
    <w:rsid w:val="00EA61A2"/>
    <w:rsid w:val="00EA6594"/>
    <w:rsid w:val="00EA6E4E"/>
    <w:rsid w:val="00EB0A03"/>
    <w:rsid w:val="00EB57FC"/>
    <w:rsid w:val="00EB585C"/>
    <w:rsid w:val="00EB600E"/>
    <w:rsid w:val="00EB6CB8"/>
    <w:rsid w:val="00EB7909"/>
    <w:rsid w:val="00EC0372"/>
    <w:rsid w:val="00EC037B"/>
    <w:rsid w:val="00EC1A62"/>
    <w:rsid w:val="00EC240B"/>
    <w:rsid w:val="00EC4491"/>
    <w:rsid w:val="00EC44C1"/>
    <w:rsid w:val="00EC53A6"/>
    <w:rsid w:val="00EC58BB"/>
    <w:rsid w:val="00EC6358"/>
    <w:rsid w:val="00EC6799"/>
    <w:rsid w:val="00EC6BA2"/>
    <w:rsid w:val="00EC6E6B"/>
    <w:rsid w:val="00EC700F"/>
    <w:rsid w:val="00EC7B3F"/>
    <w:rsid w:val="00ED045A"/>
    <w:rsid w:val="00ED21DC"/>
    <w:rsid w:val="00ED31CF"/>
    <w:rsid w:val="00ED3E69"/>
    <w:rsid w:val="00ED5DD4"/>
    <w:rsid w:val="00ED5F81"/>
    <w:rsid w:val="00ED635F"/>
    <w:rsid w:val="00ED7274"/>
    <w:rsid w:val="00ED7963"/>
    <w:rsid w:val="00EE076A"/>
    <w:rsid w:val="00EE0E1E"/>
    <w:rsid w:val="00EE54FC"/>
    <w:rsid w:val="00EE61EA"/>
    <w:rsid w:val="00EE6F57"/>
    <w:rsid w:val="00EE72EF"/>
    <w:rsid w:val="00EE7705"/>
    <w:rsid w:val="00EF0F06"/>
    <w:rsid w:val="00EF1C91"/>
    <w:rsid w:val="00EF2EF3"/>
    <w:rsid w:val="00EF4314"/>
    <w:rsid w:val="00EF47E8"/>
    <w:rsid w:val="00EF4A72"/>
    <w:rsid w:val="00EF4D9E"/>
    <w:rsid w:val="00EF4FB7"/>
    <w:rsid w:val="00EF519B"/>
    <w:rsid w:val="00EF6ED0"/>
    <w:rsid w:val="00EF7943"/>
    <w:rsid w:val="00EF7A51"/>
    <w:rsid w:val="00EF7F1C"/>
    <w:rsid w:val="00F01B8F"/>
    <w:rsid w:val="00F01C34"/>
    <w:rsid w:val="00F03AA5"/>
    <w:rsid w:val="00F05DF7"/>
    <w:rsid w:val="00F06F98"/>
    <w:rsid w:val="00F072CF"/>
    <w:rsid w:val="00F075A4"/>
    <w:rsid w:val="00F07DD2"/>
    <w:rsid w:val="00F14168"/>
    <w:rsid w:val="00F14D50"/>
    <w:rsid w:val="00F15D4F"/>
    <w:rsid w:val="00F17A47"/>
    <w:rsid w:val="00F17C9C"/>
    <w:rsid w:val="00F20135"/>
    <w:rsid w:val="00F21FD6"/>
    <w:rsid w:val="00F221E2"/>
    <w:rsid w:val="00F22C78"/>
    <w:rsid w:val="00F22E1F"/>
    <w:rsid w:val="00F241D9"/>
    <w:rsid w:val="00F24971"/>
    <w:rsid w:val="00F2574A"/>
    <w:rsid w:val="00F26F39"/>
    <w:rsid w:val="00F305D9"/>
    <w:rsid w:val="00F31BC3"/>
    <w:rsid w:val="00F32069"/>
    <w:rsid w:val="00F33151"/>
    <w:rsid w:val="00F35362"/>
    <w:rsid w:val="00F358F9"/>
    <w:rsid w:val="00F36877"/>
    <w:rsid w:val="00F402F1"/>
    <w:rsid w:val="00F40770"/>
    <w:rsid w:val="00F40AD9"/>
    <w:rsid w:val="00F42B76"/>
    <w:rsid w:val="00F4307B"/>
    <w:rsid w:val="00F43761"/>
    <w:rsid w:val="00F453AF"/>
    <w:rsid w:val="00F46984"/>
    <w:rsid w:val="00F46F07"/>
    <w:rsid w:val="00F47639"/>
    <w:rsid w:val="00F476CD"/>
    <w:rsid w:val="00F47B98"/>
    <w:rsid w:val="00F506A8"/>
    <w:rsid w:val="00F5079B"/>
    <w:rsid w:val="00F50B30"/>
    <w:rsid w:val="00F517B1"/>
    <w:rsid w:val="00F51860"/>
    <w:rsid w:val="00F526AB"/>
    <w:rsid w:val="00F546F3"/>
    <w:rsid w:val="00F5520B"/>
    <w:rsid w:val="00F5525A"/>
    <w:rsid w:val="00F55E66"/>
    <w:rsid w:val="00F55F5C"/>
    <w:rsid w:val="00F601EE"/>
    <w:rsid w:val="00F604A6"/>
    <w:rsid w:val="00F62023"/>
    <w:rsid w:val="00F62726"/>
    <w:rsid w:val="00F6338E"/>
    <w:rsid w:val="00F635A2"/>
    <w:rsid w:val="00F63D43"/>
    <w:rsid w:val="00F65F2F"/>
    <w:rsid w:val="00F67C3F"/>
    <w:rsid w:val="00F7097E"/>
    <w:rsid w:val="00F71058"/>
    <w:rsid w:val="00F72FC8"/>
    <w:rsid w:val="00F733A7"/>
    <w:rsid w:val="00F733FC"/>
    <w:rsid w:val="00F7451A"/>
    <w:rsid w:val="00F76127"/>
    <w:rsid w:val="00F77759"/>
    <w:rsid w:val="00F80C44"/>
    <w:rsid w:val="00F813F0"/>
    <w:rsid w:val="00F815D0"/>
    <w:rsid w:val="00F83050"/>
    <w:rsid w:val="00F8382E"/>
    <w:rsid w:val="00F84D30"/>
    <w:rsid w:val="00F857FE"/>
    <w:rsid w:val="00F86110"/>
    <w:rsid w:val="00F908D3"/>
    <w:rsid w:val="00F91379"/>
    <w:rsid w:val="00F9249B"/>
    <w:rsid w:val="00F92A7D"/>
    <w:rsid w:val="00F92C61"/>
    <w:rsid w:val="00F969EF"/>
    <w:rsid w:val="00F975BC"/>
    <w:rsid w:val="00F97690"/>
    <w:rsid w:val="00F976F6"/>
    <w:rsid w:val="00F97821"/>
    <w:rsid w:val="00FA257A"/>
    <w:rsid w:val="00FA27B8"/>
    <w:rsid w:val="00FA5099"/>
    <w:rsid w:val="00FA5353"/>
    <w:rsid w:val="00FA5C72"/>
    <w:rsid w:val="00FA5D12"/>
    <w:rsid w:val="00FA6B4C"/>
    <w:rsid w:val="00FA6BBF"/>
    <w:rsid w:val="00FA6D2F"/>
    <w:rsid w:val="00FA7725"/>
    <w:rsid w:val="00FB01A9"/>
    <w:rsid w:val="00FB069A"/>
    <w:rsid w:val="00FB1477"/>
    <w:rsid w:val="00FB17F4"/>
    <w:rsid w:val="00FB1A63"/>
    <w:rsid w:val="00FB2479"/>
    <w:rsid w:val="00FB2677"/>
    <w:rsid w:val="00FB2F79"/>
    <w:rsid w:val="00FB3E00"/>
    <w:rsid w:val="00FB5F76"/>
    <w:rsid w:val="00FB64DD"/>
    <w:rsid w:val="00FB764B"/>
    <w:rsid w:val="00FC0555"/>
    <w:rsid w:val="00FC0D73"/>
    <w:rsid w:val="00FC21F2"/>
    <w:rsid w:val="00FC2CC4"/>
    <w:rsid w:val="00FC35E8"/>
    <w:rsid w:val="00FC45FF"/>
    <w:rsid w:val="00FC65F4"/>
    <w:rsid w:val="00FC6B2E"/>
    <w:rsid w:val="00FC70A1"/>
    <w:rsid w:val="00FC74E2"/>
    <w:rsid w:val="00FD0ECA"/>
    <w:rsid w:val="00FD1434"/>
    <w:rsid w:val="00FD226E"/>
    <w:rsid w:val="00FD546C"/>
    <w:rsid w:val="00FD5ADF"/>
    <w:rsid w:val="00FD7100"/>
    <w:rsid w:val="00FD74D5"/>
    <w:rsid w:val="00FE0160"/>
    <w:rsid w:val="00FE03BF"/>
    <w:rsid w:val="00FE066A"/>
    <w:rsid w:val="00FE0CE5"/>
    <w:rsid w:val="00FE3E1C"/>
    <w:rsid w:val="00FE40EE"/>
    <w:rsid w:val="00FE49FC"/>
    <w:rsid w:val="00FE4F31"/>
    <w:rsid w:val="00FE5258"/>
    <w:rsid w:val="00FE5870"/>
    <w:rsid w:val="00FE5924"/>
    <w:rsid w:val="00FE6426"/>
    <w:rsid w:val="00FE650F"/>
    <w:rsid w:val="00FE6514"/>
    <w:rsid w:val="00FE7641"/>
    <w:rsid w:val="00FE7FAE"/>
    <w:rsid w:val="00FF0344"/>
    <w:rsid w:val="00FF153D"/>
    <w:rsid w:val="00FF19A4"/>
    <w:rsid w:val="00FF212E"/>
    <w:rsid w:val="00FF2BE2"/>
    <w:rsid w:val="00FF501A"/>
    <w:rsid w:val="00FF5965"/>
    <w:rsid w:val="00FF690F"/>
    <w:rsid w:val="00FF7AFF"/>
    <w:rsid w:val="00FF7D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caption" w:semiHidden="0" w:unhideWhenUsed="0"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C23"/>
    <w:rPr>
      <w:sz w:val="24"/>
      <w:szCs w:val="24"/>
    </w:rPr>
  </w:style>
  <w:style w:type="paragraph" w:styleId="Heading1">
    <w:name w:val="heading 1"/>
    <w:next w:val="Heading2"/>
    <w:qFormat/>
    <w:rsid w:val="00F72FC8"/>
    <w:pPr>
      <w:keepNext/>
      <w:keepLines/>
      <w:spacing w:line="260" w:lineRule="atLeast"/>
      <w:ind w:left="1134" w:hanging="1134"/>
      <w:outlineLvl w:val="0"/>
    </w:pPr>
    <w:rPr>
      <w:b/>
      <w:bCs/>
      <w:kern w:val="28"/>
      <w:sz w:val="36"/>
      <w:szCs w:val="32"/>
    </w:rPr>
  </w:style>
  <w:style w:type="paragraph" w:styleId="Heading2">
    <w:name w:val="heading 2"/>
    <w:basedOn w:val="Heading1"/>
    <w:next w:val="Heading3"/>
    <w:qFormat/>
    <w:rsid w:val="00F72FC8"/>
    <w:pPr>
      <w:spacing w:before="280"/>
      <w:outlineLvl w:val="1"/>
    </w:pPr>
    <w:rPr>
      <w:bCs w:val="0"/>
      <w:iCs/>
      <w:sz w:val="32"/>
      <w:szCs w:val="28"/>
    </w:rPr>
  </w:style>
  <w:style w:type="paragraph" w:styleId="Heading3">
    <w:name w:val="heading 3"/>
    <w:basedOn w:val="Heading1"/>
    <w:next w:val="Heading4"/>
    <w:qFormat/>
    <w:rsid w:val="00F72FC8"/>
    <w:pPr>
      <w:spacing w:before="240"/>
      <w:outlineLvl w:val="2"/>
    </w:pPr>
    <w:rPr>
      <w:bCs w:val="0"/>
      <w:sz w:val="28"/>
      <w:szCs w:val="26"/>
    </w:rPr>
  </w:style>
  <w:style w:type="paragraph" w:styleId="Heading4">
    <w:name w:val="heading 4"/>
    <w:basedOn w:val="Heading1"/>
    <w:next w:val="Heading5"/>
    <w:qFormat/>
    <w:rsid w:val="00F72FC8"/>
    <w:pPr>
      <w:spacing w:before="220"/>
      <w:outlineLvl w:val="3"/>
    </w:pPr>
    <w:rPr>
      <w:bCs w:val="0"/>
      <w:sz w:val="26"/>
      <w:szCs w:val="28"/>
    </w:rPr>
  </w:style>
  <w:style w:type="paragraph" w:styleId="Heading5">
    <w:name w:val="heading 5"/>
    <w:basedOn w:val="Heading1"/>
    <w:next w:val="subsection"/>
    <w:qFormat/>
    <w:rsid w:val="00F72FC8"/>
    <w:pPr>
      <w:spacing w:before="280"/>
      <w:outlineLvl w:val="4"/>
    </w:pPr>
    <w:rPr>
      <w:bCs w:val="0"/>
      <w:iCs/>
      <w:sz w:val="24"/>
      <w:szCs w:val="26"/>
    </w:rPr>
  </w:style>
  <w:style w:type="paragraph" w:styleId="Heading6">
    <w:name w:val="heading 6"/>
    <w:basedOn w:val="Heading1"/>
    <w:next w:val="Heading7"/>
    <w:qFormat/>
    <w:rsid w:val="00F72FC8"/>
    <w:pPr>
      <w:outlineLvl w:val="5"/>
    </w:pPr>
    <w:rPr>
      <w:rFonts w:ascii="Arial" w:hAnsi="Arial" w:cs="Arial"/>
      <w:bCs w:val="0"/>
      <w:sz w:val="32"/>
      <w:szCs w:val="22"/>
    </w:rPr>
  </w:style>
  <w:style w:type="paragraph" w:styleId="Heading7">
    <w:name w:val="heading 7"/>
    <w:basedOn w:val="Heading6"/>
    <w:next w:val="ItemHead"/>
    <w:qFormat/>
    <w:rsid w:val="00F72FC8"/>
    <w:pPr>
      <w:spacing w:before="280"/>
      <w:outlineLvl w:val="6"/>
    </w:pPr>
    <w:rPr>
      <w:sz w:val="28"/>
    </w:rPr>
  </w:style>
  <w:style w:type="paragraph" w:styleId="Heading8">
    <w:name w:val="heading 8"/>
    <w:basedOn w:val="Heading6"/>
    <w:next w:val="Normal"/>
    <w:qFormat/>
    <w:rsid w:val="00F72FC8"/>
    <w:pPr>
      <w:spacing w:before="240"/>
      <w:outlineLvl w:val="7"/>
    </w:pPr>
    <w:rPr>
      <w:iCs/>
      <w:sz w:val="26"/>
    </w:rPr>
  </w:style>
  <w:style w:type="paragraph" w:styleId="Heading9">
    <w:name w:val="heading 9"/>
    <w:basedOn w:val="Heading1"/>
    <w:next w:val="ItemHead"/>
    <w:qFormat/>
    <w:rsid w:val="00F72FC8"/>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s">
    <w:name w:val="Blocks"/>
    <w:aliases w:val="bb"/>
    <w:qFormat/>
    <w:rsid w:val="00F72FC8"/>
    <w:rPr>
      <w:sz w:val="24"/>
      <w:szCs w:val="24"/>
    </w:rPr>
  </w:style>
  <w:style w:type="paragraph" w:customStyle="1" w:styleId="BodyNum">
    <w:name w:val="BodyNum"/>
    <w:aliases w:val="b1"/>
    <w:basedOn w:val="Body"/>
    <w:link w:val="BodyNumChar"/>
    <w:rsid w:val="00A80292"/>
    <w:pPr>
      <w:numPr>
        <w:numId w:val="4"/>
      </w:numPr>
    </w:pPr>
  </w:style>
  <w:style w:type="paragraph" w:customStyle="1" w:styleId="BodyParaBullet">
    <w:name w:val="BodyParaBullet"/>
    <w:aliases w:val="bpb"/>
    <w:basedOn w:val="Body"/>
    <w:link w:val="BodyParaBulletChar"/>
    <w:rsid w:val="006B567E"/>
    <w:pPr>
      <w:tabs>
        <w:tab w:val="left" w:pos="2160"/>
      </w:tabs>
    </w:pPr>
    <w:rPr>
      <w:rFonts w:ascii="Times New Roman" w:hAnsi="Times New Roman"/>
      <w:sz w:val="18"/>
    </w:rPr>
  </w:style>
  <w:style w:type="paragraph" w:customStyle="1" w:styleId="Head1">
    <w:name w:val="Head 1"/>
    <w:aliases w:val="1"/>
    <w:basedOn w:val="Body"/>
    <w:next w:val="BodyNum"/>
    <w:rsid w:val="00F72FC8"/>
    <w:pPr>
      <w:keepNext/>
      <w:spacing w:after="60"/>
      <w:outlineLvl w:val="0"/>
    </w:pPr>
    <w:rPr>
      <w:rFonts w:cs="Arial"/>
      <w:b/>
      <w:color w:val="0000FF"/>
      <w:kern w:val="28"/>
      <w:sz w:val="36"/>
      <w:szCs w:val="36"/>
    </w:rPr>
  </w:style>
  <w:style w:type="paragraph" w:customStyle="1" w:styleId="Head3">
    <w:name w:val="Head 3"/>
    <w:aliases w:val="3"/>
    <w:basedOn w:val="Head2"/>
    <w:next w:val="BodyNum"/>
    <w:rsid w:val="00F72FC8"/>
    <w:pPr>
      <w:spacing w:before="240" w:line="300" w:lineRule="exact"/>
      <w:outlineLvl w:val="2"/>
    </w:pPr>
    <w:rPr>
      <w:i/>
      <w:sz w:val="26"/>
    </w:rPr>
  </w:style>
  <w:style w:type="paragraph" w:customStyle="1" w:styleId="Head5">
    <w:name w:val="Head 5"/>
    <w:aliases w:val="5"/>
    <w:basedOn w:val="Head4"/>
    <w:next w:val="BodyNum"/>
    <w:rsid w:val="00F72FC8"/>
    <w:pPr>
      <w:outlineLvl w:val="4"/>
    </w:pPr>
    <w:rPr>
      <w:i/>
    </w:rPr>
  </w:style>
  <w:style w:type="paragraph" w:customStyle="1" w:styleId="Body">
    <w:name w:val="Body"/>
    <w:aliases w:val="b"/>
    <w:link w:val="BodyChar"/>
    <w:rsid w:val="00F72FC8"/>
    <w:pPr>
      <w:spacing w:before="240" w:line="300" w:lineRule="exact"/>
    </w:pPr>
    <w:rPr>
      <w:rFonts w:ascii="Arial" w:hAnsi="Arial"/>
      <w:szCs w:val="24"/>
    </w:rPr>
  </w:style>
  <w:style w:type="paragraph" w:customStyle="1" w:styleId="BodyPara">
    <w:name w:val="BodyPara"/>
    <w:aliases w:val="ba"/>
    <w:basedOn w:val="Body"/>
    <w:rsid w:val="00893AED"/>
    <w:pPr>
      <w:tabs>
        <w:tab w:val="left" w:pos="567"/>
      </w:tabs>
    </w:pPr>
  </w:style>
  <w:style w:type="paragraph" w:customStyle="1" w:styleId="Head2">
    <w:name w:val="Head 2"/>
    <w:aliases w:val="2"/>
    <w:basedOn w:val="Head1"/>
    <w:next w:val="BodyNum"/>
    <w:rsid w:val="00F72FC8"/>
    <w:pPr>
      <w:spacing w:before="60" w:line="240" w:lineRule="auto"/>
      <w:outlineLvl w:val="1"/>
    </w:pPr>
    <w:rPr>
      <w:sz w:val="28"/>
    </w:rPr>
  </w:style>
  <w:style w:type="paragraph" w:customStyle="1" w:styleId="Head4">
    <w:name w:val="Head 4"/>
    <w:aliases w:val="4"/>
    <w:basedOn w:val="Head3"/>
    <w:next w:val="BodyNum"/>
    <w:rsid w:val="00F72FC8"/>
    <w:pPr>
      <w:outlineLvl w:val="3"/>
    </w:pPr>
    <w:rPr>
      <w:i w:val="0"/>
      <w:sz w:val="22"/>
    </w:rPr>
  </w:style>
  <w:style w:type="paragraph" w:customStyle="1" w:styleId="Tabletext">
    <w:name w:val="Tabletext"/>
    <w:aliases w:val="tt"/>
    <w:rsid w:val="00F72FC8"/>
    <w:pPr>
      <w:spacing w:before="240" w:line="240" w:lineRule="atLeast"/>
    </w:pPr>
    <w:rPr>
      <w:rFonts w:ascii="Arial" w:hAnsi="Arial"/>
      <w:szCs w:val="24"/>
    </w:rPr>
  </w:style>
  <w:style w:type="paragraph" w:styleId="BalloonText">
    <w:name w:val="Balloon Text"/>
    <w:rsid w:val="00F72FC8"/>
    <w:rPr>
      <w:rFonts w:ascii="Tahoma" w:hAnsi="Tahoma" w:cs="Tahoma"/>
      <w:sz w:val="16"/>
      <w:szCs w:val="16"/>
    </w:rPr>
  </w:style>
  <w:style w:type="paragraph" w:styleId="BlockText">
    <w:name w:val="Block Text"/>
    <w:rsid w:val="00F72FC8"/>
    <w:pPr>
      <w:spacing w:after="120"/>
      <w:ind w:left="1440" w:right="1440"/>
    </w:pPr>
    <w:rPr>
      <w:sz w:val="24"/>
      <w:szCs w:val="24"/>
    </w:rPr>
  </w:style>
  <w:style w:type="paragraph" w:styleId="BodyText">
    <w:name w:val="Body Text"/>
    <w:rsid w:val="00F72FC8"/>
    <w:pPr>
      <w:spacing w:after="120"/>
    </w:pPr>
    <w:rPr>
      <w:sz w:val="24"/>
      <w:szCs w:val="24"/>
    </w:rPr>
  </w:style>
  <w:style w:type="paragraph" w:styleId="BodyText2">
    <w:name w:val="Body Text 2"/>
    <w:rsid w:val="00F72FC8"/>
    <w:pPr>
      <w:spacing w:after="120" w:line="480" w:lineRule="auto"/>
    </w:pPr>
    <w:rPr>
      <w:sz w:val="24"/>
      <w:szCs w:val="24"/>
    </w:rPr>
  </w:style>
  <w:style w:type="paragraph" w:styleId="BodyText3">
    <w:name w:val="Body Text 3"/>
    <w:rsid w:val="00F72FC8"/>
    <w:pPr>
      <w:spacing w:after="120"/>
    </w:pPr>
    <w:rPr>
      <w:sz w:val="16"/>
      <w:szCs w:val="16"/>
    </w:rPr>
  </w:style>
  <w:style w:type="paragraph" w:styleId="BodyTextFirstIndent">
    <w:name w:val="Body Text First Indent"/>
    <w:rsid w:val="00F72FC8"/>
    <w:pPr>
      <w:spacing w:after="120"/>
      <w:ind w:firstLine="210"/>
    </w:pPr>
    <w:rPr>
      <w:sz w:val="24"/>
      <w:szCs w:val="24"/>
    </w:rPr>
  </w:style>
  <w:style w:type="paragraph" w:styleId="BodyTextIndent">
    <w:name w:val="Body Text Indent"/>
    <w:rsid w:val="00F72FC8"/>
    <w:pPr>
      <w:spacing w:after="120"/>
      <w:ind w:left="283"/>
    </w:pPr>
    <w:rPr>
      <w:sz w:val="24"/>
      <w:szCs w:val="24"/>
    </w:rPr>
  </w:style>
  <w:style w:type="paragraph" w:styleId="BodyTextFirstIndent2">
    <w:name w:val="Body Text First Indent 2"/>
    <w:rsid w:val="00F72FC8"/>
    <w:pPr>
      <w:spacing w:after="120"/>
      <w:ind w:left="283" w:firstLine="210"/>
    </w:pPr>
    <w:rPr>
      <w:sz w:val="24"/>
      <w:szCs w:val="24"/>
    </w:rPr>
  </w:style>
  <w:style w:type="paragraph" w:styleId="BodyTextIndent2">
    <w:name w:val="Body Text Indent 2"/>
    <w:rsid w:val="00F72FC8"/>
    <w:pPr>
      <w:spacing w:after="120" w:line="480" w:lineRule="auto"/>
      <w:ind w:left="283"/>
    </w:pPr>
    <w:rPr>
      <w:sz w:val="24"/>
      <w:szCs w:val="24"/>
    </w:rPr>
  </w:style>
  <w:style w:type="paragraph" w:styleId="BodyTextIndent3">
    <w:name w:val="Body Text Indent 3"/>
    <w:rsid w:val="00F72FC8"/>
    <w:pPr>
      <w:spacing w:after="120"/>
      <w:ind w:left="283"/>
    </w:pPr>
    <w:rPr>
      <w:sz w:val="16"/>
      <w:szCs w:val="16"/>
    </w:rPr>
  </w:style>
  <w:style w:type="paragraph" w:styleId="Caption">
    <w:name w:val="caption"/>
    <w:next w:val="Normal"/>
    <w:qFormat/>
    <w:rsid w:val="00F72FC8"/>
    <w:pPr>
      <w:spacing w:before="120" w:after="120"/>
    </w:pPr>
    <w:rPr>
      <w:b/>
      <w:bCs/>
    </w:rPr>
  </w:style>
  <w:style w:type="paragraph" w:styleId="Closing">
    <w:name w:val="Closing"/>
    <w:rsid w:val="00F72FC8"/>
    <w:pPr>
      <w:ind w:left="4252"/>
    </w:pPr>
    <w:rPr>
      <w:sz w:val="24"/>
      <w:szCs w:val="24"/>
    </w:rPr>
  </w:style>
  <w:style w:type="paragraph" w:styleId="CommentText">
    <w:name w:val="annotation text"/>
    <w:rsid w:val="00F72FC8"/>
  </w:style>
  <w:style w:type="paragraph" w:styleId="Date">
    <w:name w:val="Date"/>
    <w:next w:val="Normal"/>
    <w:rsid w:val="00F72FC8"/>
    <w:rPr>
      <w:sz w:val="24"/>
      <w:szCs w:val="24"/>
    </w:rPr>
  </w:style>
  <w:style w:type="paragraph" w:styleId="DocumentMap">
    <w:name w:val="Document Map"/>
    <w:rsid w:val="00F72FC8"/>
    <w:pPr>
      <w:shd w:val="clear" w:color="auto" w:fill="000080"/>
    </w:pPr>
    <w:rPr>
      <w:rFonts w:ascii="Tahoma" w:hAnsi="Tahoma" w:cs="Tahoma"/>
      <w:sz w:val="24"/>
      <w:szCs w:val="24"/>
    </w:rPr>
  </w:style>
  <w:style w:type="paragraph" w:styleId="E-mailSignature">
    <w:name w:val="E-mail Signature"/>
    <w:rsid w:val="00F72FC8"/>
    <w:rPr>
      <w:sz w:val="24"/>
      <w:szCs w:val="24"/>
    </w:rPr>
  </w:style>
  <w:style w:type="paragraph" w:styleId="EndnoteText">
    <w:name w:val="endnote text"/>
    <w:rsid w:val="00F72FC8"/>
  </w:style>
  <w:style w:type="paragraph" w:styleId="EnvelopeAddress">
    <w:name w:val="envelope address"/>
    <w:rsid w:val="00F72FC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72FC8"/>
    <w:rPr>
      <w:rFonts w:ascii="Arial" w:hAnsi="Arial" w:cs="Arial"/>
    </w:rPr>
  </w:style>
  <w:style w:type="paragraph" w:styleId="Footer">
    <w:name w:val="footer"/>
    <w:link w:val="FooterChar"/>
    <w:rsid w:val="00F72FC8"/>
    <w:pPr>
      <w:tabs>
        <w:tab w:val="center" w:pos="4153"/>
        <w:tab w:val="center" w:pos="4320"/>
        <w:tab w:val="right" w:pos="8306"/>
        <w:tab w:val="right" w:pos="8640"/>
      </w:tabs>
    </w:pPr>
    <w:rPr>
      <w:sz w:val="24"/>
      <w:szCs w:val="24"/>
    </w:rPr>
  </w:style>
  <w:style w:type="paragraph" w:styleId="FootnoteText">
    <w:name w:val="footnote text"/>
    <w:rsid w:val="00F72FC8"/>
  </w:style>
  <w:style w:type="paragraph" w:styleId="Header">
    <w:name w:val="header"/>
    <w:link w:val="HeaderChar"/>
    <w:rsid w:val="00F72FC8"/>
    <w:pPr>
      <w:tabs>
        <w:tab w:val="center" w:pos="4153"/>
        <w:tab w:val="center" w:pos="4320"/>
        <w:tab w:val="right" w:pos="8306"/>
        <w:tab w:val="right" w:pos="8640"/>
      </w:tabs>
    </w:pPr>
    <w:rPr>
      <w:rFonts w:ascii="Arial" w:hAnsi="Arial"/>
      <w:color w:val="0000FF"/>
    </w:rPr>
  </w:style>
  <w:style w:type="paragraph" w:styleId="HTMLAddress">
    <w:name w:val="HTML Address"/>
    <w:rsid w:val="00F72FC8"/>
    <w:rPr>
      <w:i/>
      <w:iCs/>
      <w:sz w:val="24"/>
      <w:szCs w:val="24"/>
    </w:rPr>
  </w:style>
  <w:style w:type="paragraph" w:styleId="HTMLPreformatted">
    <w:name w:val="HTML Preformatted"/>
    <w:rsid w:val="00F72FC8"/>
    <w:rPr>
      <w:rFonts w:ascii="Courier New" w:hAnsi="Courier New" w:cs="Courier New"/>
    </w:rPr>
  </w:style>
  <w:style w:type="paragraph" w:styleId="Index1">
    <w:name w:val="index 1"/>
    <w:next w:val="Normal"/>
    <w:rsid w:val="00F72FC8"/>
    <w:pPr>
      <w:ind w:left="240" w:hanging="240"/>
    </w:pPr>
    <w:rPr>
      <w:sz w:val="24"/>
      <w:szCs w:val="24"/>
    </w:rPr>
  </w:style>
  <w:style w:type="paragraph" w:styleId="Index2">
    <w:name w:val="index 2"/>
    <w:next w:val="Normal"/>
    <w:rsid w:val="00F72FC8"/>
    <w:pPr>
      <w:ind w:left="480" w:hanging="240"/>
    </w:pPr>
    <w:rPr>
      <w:sz w:val="24"/>
      <w:szCs w:val="24"/>
    </w:rPr>
  </w:style>
  <w:style w:type="paragraph" w:styleId="Index3">
    <w:name w:val="index 3"/>
    <w:next w:val="Normal"/>
    <w:rsid w:val="00F72FC8"/>
    <w:pPr>
      <w:ind w:left="720" w:hanging="240"/>
    </w:pPr>
    <w:rPr>
      <w:sz w:val="24"/>
      <w:szCs w:val="24"/>
    </w:rPr>
  </w:style>
  <w:style w:type="paragraph" w:styleId="Index4">
    <w:name w:val="index 4"/>
    <w:next w:val="Normal"/>
    <w:rsid w:val="00F72FC8"/>
    <w:pPr>
      <w:ind w:left="960" w:hanging="240"/>
    </w:pPr>
    <w:rPr>
      <w:sz w:val="24"/>
      <w:szCs w:val="24"/>
    </w:rPr>
  </w:style>
  <w:style w:type="paragraph" w:styleId="Index5">
    <w:name w:val="index 5"/>
    <w:next w:val="Normal"/>
    <w:rsid w:val="00F72FC8"/>
    <w:pPr>
      <w:ind w:left="1200" w:hanging="240"/>
    </w:pPr>
    <w:rPr>
      <w:sz w:val="24"/>
      <w:szCs w:val="24"/>
    </w:rPr>
  </w:style>
  <w:style w:type="paragraph" w:styleId="Index6">
    <w:name w:val="index 6"/>
    <w:next w:val="Normal"/>
    <w:rsid w:val="00F72FC8"/>
    <w:pPr>
      <w:ind w:left="1440" w:hanging="240"/>
    </w:pPr>
    <w:rPr>
      <w:sz w:val="24"/>
      <w:szCs w:val="24"/>
    </w:rPr>
  </w:style>
  <w:style w:type="paragraph" w:styleId="Index7">
    <w:name w:val="index 7"/>
    <w:next w:val="Normal"/>
    <w:rsid w:val="00F72FC8"/>
    <w:pPr>
      <w:ind w:left="1680" w:hanging="240"/>
    </w:pPr>
    <w:rPr>
      <w:sz w:val="24"/>
      <w:szCs w:val="24"/>
    </w:rPr>
  </w:style>
  <w:style w:type="paragraph" w:styleId="Index8">
    <w:name w:val="index 8"/>
    <w:next w:val="Normal"/>
    <w:rsid w:val="00F72FC8"/>
    <w:pPr>
      <w:ind w:left="1920" w:hanging="240"/>
    </w:pPr>
    <w:rPr>
      <w:sz w:val="24"/>
      <w:szCs w:val="24"/>
    </w:rPr>
  </w:style>
  <w:style w:type="paragraph" w:styleId="Index9">
    <w:name w:val="index 9"/>
    <w:next w:val="Normal"/>
    <w:rsid w:val="00F72FC8"/>
    <w:pPr>
      <w:ind w:left="2160" w:hanging="240"/>
    </w:pPr>
    <w:rPr>
      <w:sz w:val="24"/>
      <w:szCs w:val="24"/>
    </w:rPr>
  </w:style>
  <w:style w:type="paragraph" w:styleId="IndexHeading">
    <w:name w:val="index heading"/>
    <w:next w:val="Index1"/>
    <w:rsid w:val="00F72FC8"/>
    <w:rPr>
      <w:rFonts w:ascii="Arial" w:hAnsi="Arial" w:cs="Arial"/>
      <w:b/>
      <w:bCs/>
      <w:sz w:val="24"/>
      <w:szCs w:val="24"/>
    </w:rPr>
  </w:style>
  <w:style w:type="paragraph" w:styleId="List">
    <w:name w:val="List"/>
    <w:rsid w:val="00F72FC8"/>
    <w:pPr>
      <w:ind w:left="283" w:hanging="283"/>
    </w:pPr>
    <w:rPr>
      <w:sz w:val="24"/>
      <w:szCs w:val="24"/>
    </w:rPr>
  </w:style>
  <w:style w:type="paragraph" w:styleId="List2">
    <w:name w:val="List 2"/>
    <w:rsid w:val="00F72FC8"/>
    <w:pPr>
      <w:ind w:left="566" w:hanging="283"/>
    </w:pPr>
    <w:rPr>
      <w:sz w:val="24"/>
      <w:szCs w:val="24"/>
    </w:rPr>
  </w:style>
  <w:style w:type="paragraph" w:styleId="List3">
    <w:name w:val="List 3"/>
    <w:rsid w:val="00F72FC8"/>
    <w:pPr>
      <w:ind w:left="849" w:hanging="283"/>
    </w:pPr>
    <w:rPr>
      <w:sz w:val="24"/>
      <w:szCs w:val="24"/>
    </w:rPr>
  </w:style>
  <w:style w:type="paragraph" w:styleId="List4">
    <w:name w:val="List 4"/>
    <w:rsid w:val="00F72FC8"/>
    <w:pPr>
      <w:ind w:left="1132" w:hanging="283"/>
    </w:pPr>
    <w:rPr>
      <w:sz w:val="24"/>
      <w:szCs w:val="24"/>
    </w:rPr>
  </w:style>
  <w:style w:type="paragraph" w:styleId="List5">
    <w:name w:val="List 5"/>
    <w:rsid w:val="00F72FC8"/>
    <w:pPr>
      <w:ind w:left="1415" w:hanging="283"/>
    </w:pPr>
    <w:rPr>
      <w:sz w:val="24"/>
      <w:szCs w:val="24"/>
    </w:rPr>
  </w:style>
  <w:style w:type="paragraph" w:styleId="ListBullet">
    <w:name w:val="List Bullet"/>
    <w:rsid w:val="00893AED"/>
    <w:rPr>
      <w:sz w:val="24"/>
      <w:szCs w:val="24"/>
    </w:rPr>
  </w:style>
  <w:style w:type="paragraph" w:styleId="ListBullet2">
    <w:name w:val="List Bullet 2"/>
    <w:rsid w:val="00893AED"/>
    <w:rPr>
      <w:sz w:val="24"/>
      <w:szCs w:val="24"/>
    </w:rPr>
  </w:style>
  <w:style w:type="paragraph" w:styleId="ListBullet3">
    <w:name w:val="List Bullet 3"/>
    <w:rsid w:val="00893AED"/>
    <w:rPr>
      <w:sz w:val="24"/>
      <w:szCs w:val="24"/>
    </w:rPr>
  </w:style>
  <w:style w:type="paragraph" w:styleId="ListBullet4">
    <w:name w:val="List Bullet 4"/>
    <w:rsid w:val="00893AED"/>
    <w:rPr>
      <w:sz w:val="24"/>
      <w:szCs w:val="24"/>
    </w:rPr>
  </w:style>
  <w:style w:type="paragraph" w:styleId="ListBullet5">
    <w:name w:val="List Bullet 5"/>
    <w:rsid w:val="00893AED"/>
    <w:rPr>
      <w:sz w:val="24"/>
      <w:szCs w:val="24"/>
    </w:rPr>
  </w:style>
  <w:style w:type="paragraph" w:styleId="ListContinue">
    <w:name w:val="List Continue"/>
    <w:rsid w:val="00F72FC8"/>
    <w:pPr>
      <w:spacing w:after="120"/>
      <w:ind w:left="283"/>
    </w:pPr>
    <w:rPr>
      <w:sz w:val="24"/>
      <w:szCs w:val="24"/>
    </w:rPr>
  </w:style>
  <w:style w:type="paragraph" w:styleId="ListContinue2">
    <w:name w:val="List Continue 2"/>
    <w:rsid w:val="00F72FC8"/>
    <w:pPr>
      <w:spacing w:after="120"/>
      <w:ind w:left="566"/>
    </w:pPr>
    <w:rPr>
      <w:sz w:val="24"/>
      <w:szCs w:val="24"/>
    </w:rPr>
  </w:style>
  <w:style w:type="paragraph" w:styleId="ListContinue3">
    <w:name w:val="List Continue 3"/>
    <w:rsid w:val="00F72FC8"/>
    <w:pPr>
      <w:spacing w:after="120"/>
      <w:ind w:left="849"/>
    </w:pPr>
    <w:rPr>
      <w:sz w:val="24"/>
      <w:szCs w:val="24"/>
    </w:rPr>
  </w:style>
  <w:style w:type="paragraph" w:styleId="ListContinue4">
    <w:name w:val="List Continue 4"/>
    <w:rsid w:val="00F72FC8"/>
    <w:pPr>
      <w:spacing w:after="120"/>
      <w:ind w:left="1132"/>
    </w:pPr>
    <w:rPr>
      <w:sz w:val="24"/>
      <w:szCs w:val="24"/>
    </w:rPr>
  </w:style>
  <w:style w:type="paragraph" w:styleId="ListContinue5">
    <w:name w:val="List Continue 5"/>
    <w:rsid w:val="00F72FC8"/>
    <w:pPr>
      <w:spacing w:after="120"/>
      <w:ind w:left="1415"/>
    </w:pPr>
    <w:rPr>
      <w:sz w:val="24"/>
      <w:szCs w:val="24"/>
    </w:rPr>
  </w:style>
  <w:style w:type="paragraph" w:styleId="ListNumber">
    <w:name w:val="List Number"/>
    <w:rsid w:val="00893AED"/>
    <w:rPr>
      <w:sz w:val="24"/>
      <w:szCs w:val="24"/>
    </w:rPr>
  </w:style>
  <w:style w:type="paragraph" w:styleId="ListNumber2">
    <w:name w:val="List Number 2"/>
    <w:rsid w:val="00893AED"/>
    <w:rPr>
      <w:sz w:val="24"/>
      <w:szCs w:val="24"/>
    </w:rPr>
  </w:style>
  <w:style w:type="paragraph" w:styleId="ListNumber3">
    <w:name w:val="List Number 3"/>
    <w:rsid w:val="00893AED"/>
    <w:rPr>
      <w:sz w:val="24"/>
      <w:szCs w:val="24"/>
    </w:rPr>
  </w:style>
  <w:style w:type="paragraph" w:styleId="ListNumber4">
    <w:name w:val="List Number 4"/>
    <w:rsid w:val="00893AED"/>
    <w:rPr>
      <w:sz w:val="24"/>
      <w:szCs w:val="24"/>
    </w:rPr>
  </w:style>
  <w:style w:type="paragraph" w:styleId="ListNumber5">
    <w:name w:val="List Number 5"/>
    <w:rsid w:val="00893AED"/>
    <w:rPr>
      <w:sz w:val="24"/>
      <w:szCs w:val="24"/>
    </w:rPr>
  </w:style>
  <w:style w:type="paragraph" w:styleId="MessageHeader">
    <w:name w:val="Message Header"/>
    <w:rsid w:val="00F72F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F72FC8"/>
    <w:rPr>
      <w:sz w:val="24"/>
      <w:szCs w:val="24"/>
    </w:rPr>
  </w:style>
  <w:style w:type="paragraph" w:styleId="NormalIndent">
    <w:name w:val="Normal Indent"/>
    <w:rsid w:val="00F72FC8"/>
    <w:pPr>
      <w:ind w:left="720"/>
    </w:pPr>
    <w:rPr>
      <w:sz w:val="24"/>
      <w:szCs w:val="24"/>
    </w:rPr>
  </w:style>
  <w:style w:type="paragraph" w:styleId="NoteHeading">
    <w:name w:val="Note Heading"/>
    <w:next w:val="Normal"/>
    <w:rsid w:val="00F72FC8"/>
    <w:rPr>
      <w:sz w:val="24"/>
      <w:szCs w:val="24"/>
    </w:rPr>
  </w:style>
  <w:style w:type="paragraph" w:styleId="PlainText">
    <w:name w:val="Plain Text"/>
    <w:rsid w:val="00F72FC8"/>
    <w:rPr>
      <w:rFonts w:ascii="Courier New" w:hAnsi="Courier New" w:cs="Courier New"/>
    </w:rPr>
  </w:style>
  <w:style w:type="paragraph" w:styleId="Salutation">
    <w:name w:val="Salutation"/>
    <w:next w:val="Normal"/>
    <w:rsid w:val="00F72FC8"/>
    <w:rPr>
      <w:sz w:val="24"/>
      <w:szCs w:val="24"/>
    </w:rPr>
  </w:style>
  <w:style w:type="paragraph" w:styleId="Signature">
    <w:name w:val="Signature"/>
    <w:rsid w:val="00F72FC8"/>
    <w:pPr>
      <w:ind w:left="4252"/>
    </w:pPr>
    <w:rPr>
      <w:sz w:val="24"/>
      <w:szCs w:val="24"/>
    </w:rPr>
  </w:style>
  <w:style w:type="paragraph" w:styleId="Subtitle">
    <w:name w:val="Subtitle"/>
    <w:qFormat/>
    <w:rsid w:val="00F72FC8"/>
    <w:pPr>
      <w:spacing w:after="60"/>
      <w:jc w:val="center"/>
      <w:outlineLvl w:val="1"/>
    </w:pPr>
    <w:rPr>
      <w:rFonts w:ascii="Arial" w:hAnsi="Arial" w:cs="Arial"/>
      <w:sz w:val="24"/>
      <w:szCs w:val="24"/>
    </w:rPr>
  </w:style>
  <w:style w:type="paragraph" w:styleId="TableofAuthorities">
    <w:name w:val="table of authorities"/>
    <w:next w:val="Normal"/>
    <w:rsid w:val="00F72FC8"/>
    <w:pPr>
      <w:ind w:left="240" w:hanging="240"/>
    </w:pPr>
    <w:rPr>
      <w:sz w:val="24"/>
      <w:szCs w:val="24"/>
    </w:rPr>
  </w:style>
  <w:style w:type="paragraph" w:styleId="TableofFigures">
    <w:name w:val="table of figures"/>
    <w:next w:val="Normal"/>
    <w:rsid w:val="00F72FC8"/>
    <w:pPr>
      <w:ind w:left="480" w:hanging="480"/>
    </w:pPr>
    <w:rPr>
      <w:sz w:val="24"/>
      <w:szCs w:val="24"/>
    </w:rPr>
  </w:style>
  <w:style w:type="paragraph" w:styleId="Title">
    <w:name w:val="Title"/>
    <w:qFormat/>
    <w:rsid w:val="00F72FC8"/>
    <w:pPr>
      <w:spacing w:before="240" w:after="60"/>
      <w:jc w:val="center"/>
      <w:outlineLvl w:val="0"/>
    </w:pPr>
    <w:rPr>
      <w:rFonts w:ascii="Arial" w:hAnsi="Arial" w:cs="Arial"/>
      <w:b/>
      <w:bCs/>
      <w:kern w:val="28"/>
      <w:sz w:val="32"/>
      <w:szCs w:val="32"/>
    </w:rPr>
  </w:style>
  <w:style w:type="paragraph" w:styleId="TOAHeading">
    <w:name w:val="toa heading"/>
    <w:next w:val="Normal"/>
    <w:rsid w:val="00F72FC8"/>
    <w:pPr>
      <w:spacing w:before="120"/>
    </w:pPr>
    <w:rPr>
      <w:rFonts w:ascii="Arial" w:hAnsi="Arial" w:cs="Arial"/>
      <w:b/>
      <w:bCs/>
      <w:sz w:val="24"/>
      <w:szCs w:val="24"/>
    </w:rPr>
  </w:style>
  <w:style w:type="paragraph" w:styleId="TOC1">
    <w:name w:val="toc 1"/>
    <w:basedOn w:val="Heading1"/>
    <w:next w:val="Normal"/>
    <w:uiPriority w:val="39"/>
    <w:rsid w:val="00F72FC8"/>
    <w:pPr>
      <w:tabs>
        <w:tab w:val="right" w:pos="9000"/>
      </w:tabs>
      <w:spacing w:before="120" w:line="240" w:lineRule="auto"/>
      <w:ind w:left="1474" w:right="867" w:hanging="1474"/>
      <w:outlineLvl w:val="9"/>
    </w:pPr>
    <w:rPr>
      <w:sz w:val="28"/>
    </w:rPr>
  </w:style>
  <w:style w:type="paragraph" w:styleId="TOC2">
    <w:name w:val="toc 2"/>
    <w:basedOn w:val="Heading2"/>
    <w:next w:val="Normal"/>
    <w:uiPriority w:val="39"/>
    <w:rsid w:val="00F72FC8"/>
    <w:pPr>
      <w:tabs>
        <w:tab w:val="right" w:leader="dot" w:pos="7080"/>
      </w:tabs>
      <w:spacing w:before="120" w:line="240" w:lineRule="auto"/>
      <w:ind w:left="600" w:right="868" w:hanging="600"/>
      <w:outlineLvl w:val="9"/>
    </w:pPr>
    <w:rPr>
      <w:rFonts w:ascii="Arial" w:hAnsi="Arial" w:cs="Arial"/>
      <w:noProof/>
      <w:sz w:val="24"/>
    </w:rPr>
  </w:style>
  <w:style w:type="paragraph" w:styleId="TOC3">
    <w:name w:val="toc 3"/>
    <w:basedOn w:val="Heading3"/>
    <w:next w:val="Normal"/>
    <w:uiPriority w:val="39"/>
    <w:rsid w:val="00F72FC8"/>
    <w:pPr>
      <w:tabs>
        <w:tab w:val="right" w:leader="dot" w:pos="7080"/>
        <w:tab w:val="right" w:leader="dot" w:pos="9000"/>
      </w:tabs>
      <w:spacing w:before="80" w:line="240" w:lineRule="auto"/>
      <w:ind w:left="1200" w:right="867" w:hanging="775"/>
      <w:outlineLvl w:val="9"/>
    </w:pPr>
    <w:rPr>
      <w:rFonts w:ascii="Arial" w:hAnsi="Arial" w:cs="Arial"/>
      <w:noProof/>
      <w:sz w:val="18"/>
    </w:rPr>
  </w:style>
  <w:style w:type="paragraph" w:styleId="TOC4">
    <w:name w:val="toc 4"/>
    <w:basedOn w:val="Heading4"/>
    <w:next w:val="Normal"/>
    <w:uiPriority w:val="39"/>
    <w:rsid w:val="00F72FC8"/>
    <w:pPr>
      <w:keepNext w:val="0"/>
      <w:tabs>
        <w:tab w:val="right" w:pos="9000"/>
      </w:tabs>
      <w:spacing w:before="80" w:line="240" w:lineRule="auto"/>
      <w:ind w:left="2183" w:right="867" w:hanging="1332"/>
      <w:outlineLvl w:val="9"/>
    </w:pPr>
    <w:rPr>
      <w:sz w:val="20"/>
    </w:rPr>
  </w:style>
  <w:style w:type="paragraph" w:styleId="TOC5">
    <w:name w:val="toc 5"/>
    <w:basedOn w:val="Heading5"/>
    <w:next w:val="Normal"/>
    <w:uiPriority w:val="39"/>
    <w:rsid w:val="00F72FC8"/>
    <w:pPr>
      <w:keepNext w:val="0"/>
      <w:tabs>
        <w:tab w:val="right" w:leader="dot" w:pos="9000"/>
      </w:tabs>
      <w:spacing w:before="40" w:line="240" w:lineRule="auto"/>
      <w:ind w:left="2280" w:right="867" w:hanging="862"/>
      <w:outlineLvl w:val="9"/>
    </w:pPr>
    <w:rPr>
      <w:b w:val="0"/>
      <w:sz w:val="18"/>
    </w:rPr>
  </w:style>
  <w:style w:type="paragraph" w:styleId="TOC6">
    <w:name w:val="toc 6"/>
    <w:basedOn w:val="TOC1"/>
    <w:next w:val="Normal"/>
    <w:rsid w:val="00F72FC8"/>
    <w:pPr>
      <w:keepNext w:val="0"/>
      <w:ind w:left="1344" w:hanging="1344"/>
    </w:pPr>
    <w:rPr>
      <w:sz w:val="24"/>
    </w:rPr>
  </w:style>
  <w:style w:type="paragraph" w:styleId="TOC7">
    <w:name w:val="toc 7"/>
    <w:basedOn w:val="TOC2"/>
    <w:next w:val="Normal"/>
    <w:rsid w:val="00F72FC8"/>
    <w:pPr>
      <w:keepNext w:val="0"/>
      <w:ind w:left="1253" w:right="867" w:hanging="828"/>
    </w:pPr>
    <w:rPr>
      <w:b w:val="0"/>
    </w:rPr>
  </w:style>
  <w:style w:type="paragraph" w:styleId="TOC8">
    <w:name w:val="toc 8"/>
    <w:basedOn w:val="TOC3"/>
    <w:next w:val="Normal"/>
    <w:rsid w:val="00F72FC8"/>
    <w:pPr>
      <w:keepNext w:val="0"/>
      <w:tabs>
        <w:tab w:val="right" w:pos="9000"/>
      </w:tabs>
      <w:ind w:left="1900" w:hanging="1049"/>
    </w:pPr>
    <w:rPr>
      <w:b w:val="0"/>
      <w:sz w:val="20"/>
    </w:rPr>
  </w:style>
  <w:style w:type="paragraph" w:styleId="TOC9">
    <w:name w:val="toc 9"/>
    <w:basedOn w:val="Heading9"/>
    <w:next w:val="Normal"/>
    <w:rsid w:val="00F72FC8"/>
    <w:pPr>
      <w:tabs>
        <w:tab w:val="right" w:pos="9000"/>
      </w:tabs>
      <w:spacing w:before="80" w:line="240" w:lineRule="auto"/>
      <w:ind w:left="851" w:right="867" w:firstLine="0"/>
      <w:outlineLvl w:val="9"/>
    </w:pPr>
    <w:rPr>
      <w:b w:val="0"/>
      <w:sz w:val="20"/>
    </w:rPr>
  </w:style>
  <w:style w:type="character" w:styleId="CommentReference">
    <w:name w:val="annotation reference"/>
    <w:basedOn w:val="DefaultParagraphFont"/>
    <w:rsid w:val="00F72FC8"/>
    <w:rPr>
      <w:sz w:val="16"/>
      <w:szCs w:val="16"/>
    </w:rPr>
  </w:style>
  <w:style w:type="paragraph" w:styleId="CommentSubject">
    <w:name w:val="annotation subject"/>
    <w:basedOn w:val="TOC6"/>
    <w:next w:val="CommentText"/>
    <w:rsid w:val="00F72FC8"/>
    <w:pPr>
      <w:ind w:left="0"/>
    </w:pPr>
    <w:rPr>
      <w:b w:val="0"/>
      <w:bCs w:val="0"/>
      <w:sz w:val="20"/>
    </w:rPr>
  </w:style>
  <w:style w:type="character" w:styleId="Emphasis">
    <w:name w:val="Emphasis"/>
    <w:basedOn w:val="DefaultParagraphFont"/>
    <w:qFormat/>
    <w:rsid w:val="00F72FC8"/>
    <w:rPr>
      <w:i/>
      <w:iCs/>
    </w:rPr>
  </w:style>
  <w:style w:type="character" w:styleId="EndnoteReference">
    <w:name w:val="endnote reference"/>
    <w:basedOn w:val="DefaultParagraphFont"/>
    <w:rsid w:val="00F72FC8"/>
    <w:rPr>
      <w:vertAlign w:val="superscript"/>
    </w:rPr>
  </w:style>
  <w:style w:type="character" w:styleId="FollowedHyperlink">
    <w:name w:val="FollowedHyperlink"/>
    <w:basedOn w:val="DefaultParagraphFont"/>
    <w:rsid w:val="00F72FC8"/>
    <w:rPr>
      <w:color w:val="800080"/>
      <w:u w:val="single"/>
    </w:rPr>
  </w:style>
  <w:style w:type="character" w:styleId="FootnoteReference">
    <w:name w:val="footnote reference"/>
    <w:basedOn w:val="DefaultParagraphFont"/>
    <w:uiPriority w:val="99"/>
    <w:rsid w:val="00F72FC8"/>
    <w:rPr>
      <w:vertAlign w:val="superscript"/>
    </w:rPr>
  </w:style>
  <w:style w:type="character" w:styleId="HTMLAcronym">
    <w:name w:val="HTML Acronym"/>
    <w:basedOn w:val="DefaultParagraphFont"/>
    <w:rsid w:val="00F72FC8"/>
  </w:style>
  <w:style w:type="character" w:styleId="HTMLCite">
    <w:name w:val="HTML Cite"/>
    <w:basedOn w:val="DefaultParagraphFont"/>
    <w:rsid w:val="00F72FC8"/>
    <w:rPr>
      <w:i/>
      <w:iCs/>
    </w:rPr>
  </w:style>
  <w:style w:type="character" w:styleId="HTMLCode">
    <w:name w:val="HTML Code"/>
    <w:basedOn w:val="DefaultParagraphFont"/>
    <w:rsid w:val="00F72FC8"/>
    <w:rPr>
      <w:rFonts w:ascii="Courier New" w:hAnsi="Courier New" w:cs="Courier New"/>
      <w:sz w:val="20"/>
      <w:szCs w:val="20"/>
    </w:rPr>
  </w:style>
  <w:style w:type="character" w:styleId="HTMLDefinition">
    <w:name w:val="HTML Definition"/>
    <w:basedOn w:val="DefaultParagraphFont"/>
    <w:rsid w:val="00F72FC8"/>
    <w:rPr>
      <w:i/>
      <w:iCs/>
    </w:rPr>
  </w:style>
  <w:style w:type="character" w:styleId="HTMLKeyboard">
    <w:name w:val="HTML Keyboard"/>
    <w:basedOn w:val="HTMLDefinition"/>
    <w:rsid w:val="00F72FC8"/>
    <w:rPr>
      <w:rFonts w:ascii="Courier New" w:hAnsi="Courier New" w:cs="Courier New"/>
      <w:i/>
      <w:iCs/>
      <w:sz w:val="20"/>
      <w:szCs w:val="20"/>
    </w:rPr>
  </w:style>
  <w:style w:type="character" w:styleId="HTMLSample">
    <w:name w:val="HTML Sample"/>
    <w:basedOn w:val="HTMLDefinition"/>
    <w:rsid w:val="00F72FC8"/>
    <w:rPr>
      <w:rFonts w:ascii="Courier New" w:hAnsi="Courier New" w:cs="Courier New"/>
      <w:i/>
      <w:iCs/>
    </w:rPr>
  </w:style>
  <w:style w:type="character" w:styleId="HTMLTypewriter">
    <w:name w:val="HTML Typewriter"/>
    <w:basedOn w:val="HTMLDefinition"/>
    <w:rsid w:val="00F72FC8"/>
    <w:rPr>
      <w:rFonts w:ascii="Courier New" w:hAnsi="Courier New" w:cs="Courier New"/>
      <w:i/>
      <w:iCs/>
      <w:sz w:val="20"/>
      <w:szCs w:val="20"/>
    </w:rPr>
  </w:style>
  <w:style w:type="character" w:styleId="HTMLVariable">
    <w:name w:val="HTML Variable"/>
    <w:basedOn w:val="HTMLDefinition"/>
    <w:rsid w:val="00F72FC8"/>
    <w:rPr>
      <w:i/>
      <w:iCs/>
    </w:rPr>
  </w:style>
  <w:style w:type="character" w:styleId="Hyperlink">
    <w:name w:val="Hyperlink"/>
    <w:rsid w:val="00F72FC8"/>
    <w:rPr>
      <w:color w:val="0000FF"/>
      <w:u w:val="single"/>
    </w:rPr>
  </w:style>
  <w:style w:type="character" w:styleId="LineNumber">
    <w:name w:val="line number"/>
    <w:basedOn w:val="DefaultParagraphFont"/>
    <w:rsid w:val="00F72FC8"/>
    <w:rPr>
      <w:sz w:val="16"/>
    </w:rPr>
  </w:style>
  <w:style w:type="paragraph" w:styleId="MacroText">
    <w:name w:val="macro"/>
    <w:rsid w:val="00F72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PageNumber">
    <w:name w:val="page number"/>
    <w:basedOn w:val="DefaultParagraphFont"/>
    <w:rsid w:val="00F72FC8"/>
  </w:style>
  <w:style w:type="character" w:styleId="Strong">
    <w:name w:val="Strong"/>
    <w:basedOn w:val="HTMLDefinition"/>
    <w:qFormat/>
    <w:rsid w:val="00F72FC8"/>
    <w:rPr>
      <w:b/>
      <w:bCs/>
      <w:i/>
      <w:iCs/>
    </w:rPr>
  </w:style>
  <w:style w:type="paragraph" w:customStyle="1" w:styleId="BodySubPara">
    <w:name w:val="BodySubPara"/>
    <w:aliases w:val="bi"/>
    <w:basedOn w:val="Body"/>
    <w:rsid w:val="00893AED"/>
  </w:style>
  <w:style w:type="paragraph" w:customStyle="1" w:styleId="ShortT">
    <w:name w:val="ShortT"/>
    <w:next w:val="Normal"/>
    <w:rsid w:val="00F72FC8"/>
    <w:rPr>
      <w:b/>
      <w:sz w:val="40"/>
      <w:szCs w:val="24"/>
    </w:rPr>
  </w:style>
  <w:style w:type="paragraph" w:customStyle="1" w:styleId="Actno">
    <w:name w:val="Actno"/>
    <w:basedOn w:val="ShortT"/>
    <w:next w:val="Normal"/>
    <w:rsid w:val="00F72FC8"/>
  </w:style>
  <w:style w:type="paragraph" w:customStyle="1" w:styleId="BoxText">
    <w:name w:val="BoxText"/>
    <w:aliases w:val="bt"/>
    <w:rsid w:val="00F72FC8"/>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F72FC8"/>
    <w:rPr>
      <w:b/>
    </w:rPr>
  </w:style>
  <w:style w:type="paragraph" w:customStyle="1" w:styleId="BoxHeadItalic">
    <w:name w:val="BoxHeadItalic"/>
    <w:aliases w:val="bhi"/>
    <w:basedOn w:val="BoxHeadBold"/>
    <w:next w:val="BoxStep"/>
    <w:rsid w:val="00F72FC8"/>
    <w:pPr>
      <w:spacing w:line="260" w:lineRule="atLeast"/>
    </w:pPr>
    <w:rPr>
      <w:b w:val="0"/>
      <w:i/>
    </w:rPr>
  </w:style>
  <w:style w:type="paragraph" w:customStyle="1" w:styleId="BoxList">
    <w:name w:val="BoxList"/>
    <w:aliases w:val="bl"/>
    <w:basedOn w:val="BoxText"/>
    <w:rsid w:val="00F72FC8"/>
    <w:pPr>
      <w:ind w:left="1559" w:hanging="425"/>
    </w:pPr>
  </w:style>
  <w:style w:type="paragraph" w:customStyle="1" w:styleId="BoxNote">
    <w:name w:val="BoxNote"/>
    <w:aliases w:val="bn"/>
    <w:basedOn w:val="BoxText"/>
    <w:rsid w:val="00F72FC8"/>
    <w:pPr>
      <w:tabs>
        <w:tab w:val="left" w:pos="1985"/>
      </w:tabs>
      <w:spacing w:before="122" w:line="198" w:lineRule="exact"/>
      <w:ind w:left="2948" w:hanging="1814"/>
    </w:pPr>
    <w:rPr>
      <w:sz w:val="18"/>
    </w:rPr>
  </w:style>
  <w:style w:type="paragraph" w:customStyle="1" w:styleId="BoxPara">
    <w:name w:val="BoxPara"/>
    <w:aliases w:val="bp"/>
    <w:basedOn w:val="BoxText"/>
    <w:rsid w:val="00F72FC8"/>
    <w:pPr>
      <w:tabs>
        <w:tab w:val="right" w:pos="2268"/>
      </w:tabs>
      <w:ind w:left="2552" w:hanging="1418"/>
    </w:pPr>
  </w:style>
  <w:style w:type="paragraph" w:customStyle="1" w:styleId="BoxStep">
    <w:name w:val="BoxStep"/>
    <w:aliases w:val="bs"/>
    <w:basedOn w:val="BoxText"/>
    <w:rsid w:val="00F72FC8"/>
    <w:pPr>
      <w:ind w:left="1985" w:hanging="851"/>
    </w:pPr>
  </w:style>
  <w:style w:type="character" w:customStyle="1" w:styleId="CharAmPartNo">
    <w:name w:val="CharAmPartNo"/>
    <w:basedOn w:val="DefaultParagraphFont"/>
    <w:rsid w:val="00F72FC8"/>
  </w:style>
  <w:style w:type="character" w:customStyle="1" w:styleId="CharAmPartText">
    <w:name w:val="CharAmPartText"/>
    <w:basedOn w:val="DefaultParagraphFont"/>
    <w:rsid w:val="00F72FC8"/>
  </w:style>
  <w:style w:type="character" w:customStyle="1" w:styleId="CharAmSchNo">
    <w:name w:val="CharAmSchNo"/>
    <w:basedOn w:val="DefaultParagraphFont"/>
    <w:rsid w:val="00F72FC8"/>
  </w:style>
  <w:style w:type="character" w:customStyle="1" w:styleId="CharAmSchText">
    <w:name w:val="CharAmSchText"/>
    <w:basedOn w:val="DefaultParagraphFont"/>
    <w:rsid w:val="00F72FC8"/>
  </w:style>
  <w:style w:type="character" w:customStyle="1" w:styleId="CharChapNo">
    <w:name w:val="CharChapNo"/>
    <w:basedOn w:val="DefaultParagraphFont"/>
    <w:rsid w:val="00F72FC8"/>
  </w:style>
  <w:style w:type="character" w:customStyle="1" w:styleId="CharChapText">
    <w:name w:val="CharChapText"/>
    <w:basedOn w:val="DefaultParagraphFont"/>
    <w:rsid w:val="00F72FC8"/>
  </w:style>
  <w:style w:type="character" w:customStyle="1" w:styleId="CharDivNo">
    <w:name w:val="CharDivNo"/>
    <w:basedOn w:val="DefaultParagraphFont"/>
    <w:rsid w:val="00F72FC8"/>
  </w:style>
  <w:style w:type="character" w:customStyle="1" w:styleId="CharDivText">
    <w:name w:val="CharDivText"/>
    <w:basedOn w:val="DefaultParagraphFont"/>
    <w:rsid w:val="00F72FC8"/>
  </w:style>
  <w:style w:type="character" w:customStyle="1" w:styleId="CharPartNo">
    <w:name w:val="CharPartNo"/>
    <w:basedOn w:val="DefaultParagraphFont"/>
    <w:rsid w:val="00F72FC8"/>
  </w:style>
  <w:style w:type="character" w:customStyle="1" w:styleId="CharPartText">
    <w:name w:val="CharPartText"/>
    <w:basedOn w:val="DefaultParagraphFont"/>
    <w:rsid w:val="00F72FC8"/>
  </w:style>
  <w:style w:type="character" w:customStyle="1" w:styleId="CharSectno">
    <w:name w:val="CharSectno"/>
    <w:basedOn w:val="DefaultParagraphFont"/>
    <w:rsid w:val="00F72FC8"/>
  </w:style>
  <w:style w:type="character" w:customStyle="1" w:styleId="CharSubdNo">
    <w:name w:val="CharSubdNo"/>
    <w:basedOn w:val="DefaultParagraphFont"/>
    <w:rsid w:val="00F72FC8"/>
  </w:style>
  <w:style w:type="character" w:customStyle="1" w:styleId="CharSubdText">
    <w:name w:val="CharSubdText"/>
    <w:basedOn w:val="DefaultParagraphFont"/>
    <w:rsid w:val="00F72FC8"/>
  </w:style>
  <w:style w:type="paragraph" w:customStyle="1" w:styleId="subsection">
    <w:name w:val="subsection"/>
    <w:aliases w:val="ss"/>
    <w:rsid w:val="00F72FC8"/>
    <w:pPr>
      <w:tabs>
        <w:tab w:val="right" w:pos="1021"/>
      </w:tabs>
      <w:spacing w:before="180"/>
      <w:ind w:left="1134" w:hanging="1134"/>
    </w:pPr>
    <w:rPr>
      <w:sz w:val="22"/>
      <w:szCs w:val="24"/>
    </w:rPr>
  </w:style>
  <w:style w:type="paragraph" w:customStyle="1" w:styleId="Definition">
    <w:name w:val="Definition"/>
    <w:aliases w:val="dd"/>
    <w:basedOn w:val="subsection"/>
    <w:rsid w:val="00F72FC8"/>
    <w:pPr>
      <w:tabs>
        <w:tab w:val="clear" w:pos="1021"/>
      </w:tabs>
      <w:ind w:firstLine="0"/>
    </w:pPr>
  </w:style>
  <w:style w:type="paragraph" w:customStyle="1" w:styleId="Formula">
    <w:name w:val="Formula"/>
    <w:rsid w:val="00F72FC8"/>
    <w:pPr>
      <w:ind w:left="1134"/>
    </w:pPr>
    <w:rPr>
      <w:szCs w:val="24"/>
    </w:rPr>
  </w:style>
  <w:style w:type="paragraph" w:customStyle="1" w:styleId="House">
    <w:name w:val="House"/>
    <w:rsid w:val="00F72FC8"/>
    <w:rPr>
      <w:sz w:val="28"/>
      <w:szCs w:val="24"/>
    </w:rPr>
  </w:style>
  <w:style w:type="paragraph" w:customStyle="1" w:styleId="Item">
    <w:name w:val="Item"/>
    <w:aliases w:val="i"/>
    <w:basedOn w:val="subsection"/>
    <w:next w:val="Normal"/>
    <w:rsid w:val="00F72FC8"/>
    <w:pPr>
      <w:keepLines/>
      <w:tabs>
        <w:tab w:val="clear" w:pos="1021"/>
      </w:tabs>
      <w:spacing w:before="80"/>
      <w:ind w:left="709" w:firstLine="0"/>
    </w:pPr>
  </w:style>
  <w:style w:type="paragraph" w:customStyle="1" w:styleId="ItemHead">
    <w:name w:val="ItemHead"/>
    <w:aliases w:val="ih"/>
    <w:basedOn w:val="Heading1"/>
    <w:next w:val="Item"/>
    <w:rsid w:val="00F72FC8"/>
    <w:pPr>
      <w:keepNext w:val="0"/>
      <w:spacing w:before="220"/>
      <w:ind w:left="709" w:hanging="709"/>
      <w:outlineLvl w:val="9"/>
    </w:pPr>
    <w:rPr>
      <w:rFonts w:ascii="Arial" w:hAnsi="Arial" w:cs="Arial"/>
      <w:sz w:val="24"/>
    </w:rPr>
  </w:style>
  <w:style w:type="paragraph" w:customStyle="1" w:styleId="LongT">
    <w:name w:val="LongT"/>
    <w:rsid w:val="00F72FC8"/>
    <w:rPr>
      <w:b/>
      <w:sz w:val="32"/>
      <w:szCs w:val="24"/>
    </w:rPr>
  </w:style>
  <w:style w:type="paragraph" w:customStyle="1" w:styleId="notedraft">
    <w:name w:val="note(draft)"/>
    <w:aliases w:val="nd"/>
    <w:rsid w:val="00F72FC8"/>
    <w:pPr>
      <w:spacing w:before="240"/>
      <w:ind w:left="284" w:hanging="284"/>
    </w:pPr>
    <w:rPr>
      <w:i/>
      <w:sz w:val="24"/>
      <w:szCs w:val="24"/>
    </w:rPr>
  </w:style>
  <w:style w:type="paragraph" w:customStyle="1" w:styleId="notetext">
    <w:name w:val="note(text)"/>
    <w:aliases w:val="n"/>
    <w:rsid w:val="00F72FC8"/>
    <w:pPr>
      <w:spacing w:before="122" w:line="198" w:lineRule="exact"/>
      <w:ind w:left="1985" w:hanging="851"/>
    </w:pPr>
    <w:rPr>
      <w:sz w:val="18"/>
      <w:szCs w:val="24"/>
    </w:rPr>
  </w:style>
  <w:style w:type="paragraph" w:customStyle="1" w:styleId="notemargin">
    <w:name w:val="note(margin)"/>
    <w:aliases w:val="nm"/>
    <w:basedOn w:val="notetext"/>
    <w:rsid w:val="00F72FC8"/>
    <w:pPr>
      <w:tabs>
        <w:tab w:val="left" w:pos="709"/>
      </w:tabs>
      <w:ind w:left="709" w:hanging="709"/>
    </w:pPr>
  </w:style>
  <w:style w:type="paragraph" w:customStyle="1" w:styleId="notepara">
    <w:name w:val="note(para)"/>
    <w:aliases w:val="na"/>
    <w:basedOn w:val="notetext"/>
    <w:rsid w:val="00F72FC8"/>
    <w:pPr>
      <w:ind w:left="2353" w:hanging="709"/>
    </w:pPr>
  </w:style>
  <w:style w:type="paragraph" w:customStyle="1" w:styleId="noteParlAmend">
    <w:name w:val="note(ParlAmend)"/>
    <w:aliases w:val="npp"/>
    <w:next w:val="Normal"/>
    <w:rsid w:val="00F72FC8"/>
    <w:pPr>
      <w:jc w:val="right"/>
    </w:pPr>
    <w:rPr>
      <w:rFonts w:ascii="Arial" w:hAnsi="Arial" w:cs="Arial"/>
      <w:b/>
      <w:i/>
      <w:sz w:val="22"/>
      <w:szCs w:val="24"/>
    </w:rPr>
  </w:style>
  <w:style w:type="paragraph" w:customStyle="1" w:styleId="Page1">
    <w:name w:val="Page1"/>
    <w:rsid w:val="00F72FC8"/>
    <w:pPr>
      <w:spacing w:before="5600"/>
    </w:pPr>
    <w:rPr>
      <w:b/>
      <w:sz w:val="32"/>
      <w:szCs w:val="24"/>
    </w:rPr>
  </w:style>
  <w:style w:type="paragraph" w:customStyle="1" w:styleId="PageBreak">
    <w:name w:val="PageBreak"/>
    <w:aliases w:val="pb"/>
    <w:next w:val="Heading2"/>
    <w:rsid w:val="00F72FC8"/>
    <w:rPr>
      <w:sz w:val="10"/>
      <w:szCs w:val="24"/>
    </w:rPr>
  </w:style>
  <w:style w:type="paragraph" w:customStyle="1" w:styleId="parabullet">
    <w:name w:val="para bullet"/>
    <w:rsid w:val="00F72FC8"/>
    <w:pPr>
      <w:spacing w:before="240" w:line="260" w:lineRule="atLeast"/>
      <w:ind w:left="1843" w:hanging="284"/>
    </w:pPr>
    <w:rPr>
      <w:sz w:val="22"/>
      <w:szCs w:val="24"/>
    </w:rPr>
  </w:style>
  <w:style w:type="paragraph" w:customStyle="1" w:styleId="paragraph">
    <w:name w:val="paragraph"/>
    <w:aliases w:val="a"/>
    <w:rsid w:val="00F72FC8"/>
    <w:pPr>
      <w:tabs>
        <w:tab w:val="right" w:pos="1531"/>
      </w:tabs>
      <w:spacing w:before="40"/>
      <w:ind w:left="1644" w:hanging="1644"/>
    </w:pPr>
    <w:rPr>
      <w:sz w:val="22"/>
      <w:szCs w:val="24"/>
    </w:rPr>
  </w:style>
  <w:style w:type="paragraph" w:customStyle="1" w:styleId="paragraphsub">
    <w:name w:val="paragraph(sub)"/>
    <w:aliases w:val="aa"/>
    <w:basedOn w:val="paragraph"/>
    <w:rsid w:val="00F72FC8"/>
    <w:pPr>
      <w:tabs>
        <w:tab w:val="clear" w:pos="1531"/>
        <w:tab w:val="right" w:pos="1985"/>
      </w:tabs>
      <w:ind w:left="2098" w:hanging="2098"/>
    </w:pPr>
  </w:style>
  <w:style w:type="paragraph" w:customStyle="1" w:styleId="paragraphsub-sub">
    <w:name w:val="paragraph(sub-sub)"/>
    <w:aliases w:val="aaa"/>
    <w:basedOn w:val="paragraph"/>
    <w:rsid w:val="00F72FC8"/>
    <w:pPr>
      <w:tabs>
        <w:tab w:val="clear" w:pos="1531"/>
        <w:tab w:val="right" w:pos="2722"/>
      </w:tabs>
      <w:ind w:left="2835" w:hanging="2835"/>
    </w:pPr>
  </w:style>
  <w:style w:type="paragraph" w:customStyle="1" w:styleId="ParlAmend">
    <w:name w:val="ParlAmend"/>
    <w:aliases w:val="pp"/>
    <w:rsid w:val="00F72FC8"/>
    <w:pPr>
      <w:spacing w:before="240" w:line="240" w:lineRule="atLeast"/>
      <w:ind w:hanging="567"/>
    </w:pPr>
    <w:rPr>
      <w:sz w:val="24"/>
      <w:szCs w:val="24"/>
    </w:rPr>
  </w:style>
  <w:style w:type="paragraph" w:customStyle="1" w:styleId="Penalty">
    <w:name w:val="Penalty"/>
    <w:rsid w:val="00F72FC8"/>
    <w:pPr>
      <w:tabs>
        <w:tab w:val="left" w:pos="2977"/>
      </w:tabs>
      <w:spacing w:before="180"/>
      <w:ind w:left="1985" w:hanging="851"/>
    </w:pPr>
    <w:rPr>
      <w:sz w:val="22"/>
      <w:szCs w:val="24"/>
    </w:rPr>
  </w:style>
  <w:style w:type="paragraph" w:customStyle="1" w:styleId="Portfolio">
    <w:name w:val="Portfolio"/>
    <w:rsid w:val="00F72FC8"/>
    <w:rPr>
      <w:i/>
      <w:szCs w:val="24"/>
    </w:rPr>
  </w:style>
  <w:style w:type="paragraph" w:customStyle="1" w:styleId="Preamble">
    <w:name w:val="Preamble"/>
    <w:basedOn w:val="Heading5"/>
    <w:next w:val="Normal"/>
    <w:rsid w:val="00F72FC8"/>
    <w:pPr>
      <w:tabs>
        <w:tab w:val="center" w:pos="4513"/>
      </w:tabs>
      <w:outlineLvl w:val="9"/>
    </w:pPr>
    <w:rPr>
      <w:sz w:val="28"/>
    </w:rPr>
  </w:style>
  <w:style w:type="paragraph" w:customStyle="1" w:styleId="Reading">
    <w:name w:val="Reading"/>
    <w:rsid w:val="00F72FC8"/>
    <w:rPr>
      <w:i/>
      <w:szCs w:val="24"/>
    </w:rPr>
  </w:style>
  <w:style w:type="paragraph" w:customStyle="1" w:styleId="Session">
    <w:name w:val="Session"/>
    <w:rsid w:val="00F72FC8"/>
    <w:rPr>
      <w:sz w:val="28"/>
      <w:szCs w:val="24"/>
    </w:rPr>
  </w:style>
  <w:style w:type="paragraph" w:customStyle="1" w:styleId="Sponsor">
    <w:name w:val="Sponsor"/>
    <w:rsid w:val="00F72FC8"/>
    <w:rPr>
      <w:i/>
      <w:sz w:val="24"/>
      <w:szCs w:val="24"/>
    </w:rPr>
  </w:style>
  <w:style w:type="paragraph" w:customStyle="1" w:styleId="Subitem">
    <w:name w:val="Subitem"/>
    <w:aliases w:val="iss"/>
    <w:rsid w:val="00F72FC8"/>
    <w:pPr>
      <w:spacing w:before="180"/>
      <w:ind w:left="709" w:hanging="709"/>
    </w:pPr>
    <w:rPr>
      <w:sz w:val="22"/>
      <w:szCs w:val="24"/>
    </w:rPr>
  </w:style>
  <w:style w:type="paragraph" w:customStyle="1" w:styleId="SubitemHead">
    <w:name w:val="SubitemHead"/>
    <w:aliases w:val="issh"/>
    <w:next w:val="Subitem"/>
    <w:rsid w:val="00F72FC8"/>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F72FC8"/>
    <w:pPr>
      <w:tabs>
        <w:tab w:val="clear" w:pos="1021"/>
      </w:tabs>
      <w:spacing w:before="40"/>
      <w:ind w:firstLine="0"/>
    </w:pPr>
  </w:style>
  <w:style w:type="paragraph" w:customStyle="1" w:styleId="SubsectionHead">
    <w:name w:val="SubsectionHead"/>
    <w:aliases w:val="ssh"/>
    <w:basedOn w:val="subsection"/>
    <w:next w:val="subsection"/>
    <w:rsid w:val="00F72FC8"/>
    <w:pPr>
      <w:keepNext/>
      <w:keepLines/>
      <w:tabs>
        <w:tab w:val="clear" w:pos="1021"/>
      </w:tabs>
      <w:spacing w:before="240"/>
      <w:ind w:firstLine="0"/>
    </w:pPr>
    <w:rPr>
      <w:i/>
    </w:rPr>
  </w:style>
  <w:style w:type="paragraph" w:customStyle="1" w:styleId="Tablea">
    <w:name w:val="Table(a)"/>
    <w:aliases w:val="ta"/>
    <w:rsid w:val="00F72FC8"/>
    <w:pPr>
      <w:spacing w:before="60"/>
      <w:ind w:left="284" w:hanging="284"/>
    </w:pPr>
    <w:rPr>
      <w:szCs w:val="24"/>
    </w:rPr>
  </w:style>
  <w:style w:type="paragraph" w:customStyle="1" w:styleId="Tablei">
    <w:name w:val="Table(i)"/>
    <w:aliases w:val="taa"/>
    <w:rsid w:val="00F72FC8"/>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F72FC8"/>
    <w:pPr>
      <w:tabs>
        <w:tab w:val="clear" w:pos="970"/>
      </w:tabs>
      <w:ind w:left="1055"/>
    </w:pPr>
  </w:style>
  <w:style w:type="paragraph" w:customStyle="1" w:styleId="TLPBoxTextnote">
    <w:name w:val="TLPBoxText(note"/>
    <w:aliases w:val="right)"/>
    <w:rsid w:val="00F72FC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F72FC8"/>
    <w:pPr>
      <w:keepLines w:val="0"/>
      <w:spacing w:before="360"/>
      <w:ind w:firstLine="0"/>
      <w:outlineLvl w:val="9"/>
    </w:pPr>
    <w:rPr>
      <w:b w:val="0"/>
      <w:kern w:val="0"/>
      <w:sz w:val="20"/>
    </w:rPr>
  </w:style>
  <w:style w:type="paragraph" w:customStyle="1" w:styleId="TLPNotebullet">
    <w:name w:val="TLPNote(bullet)"/>
    <w:rsid w:val="00893AED"/>
    <w:pPr>
      <w:spacing w:before="60" w:line="198" w:lineRule="exact"/>
    </w:pPr>
    <w:rPr>
      <w:sz w:val="18"/>
    </w:rPr>
  </w:style>
  <w:style w:type="paragraph" w:customStyle="1" w:styleId="TLPnoteright">
    <w:name w:val="TLPnote(right)"/>
    <w:aliases w:val="nr"/>
    <w:rsid w:val="00F72FC8"/>
    <w:pPr>
      <w:spacing w:before="122" w:line="198" w:lineRule="exact"/>
      <w:ind w:left="1985" w:hanging="851"/>
      <w:jc w:val="right"/>
    </w:pPr>
    <w:rPr>
      <w:sz w:val="18"/>
      <w:szCs w:val="24"/>
    </w:rPr>
  </w:style>
  <w:style w:type="paragraph" w:customStyle="1" w:styleId="TLPTableBullet">
    <w:name w:val="TLPTableBullet"/>
    <w:aliases w:val="ttb"/>
    <w:rsid w:val="00F72FC8"/>
    <w:pPr>
      <w:spacing w:line="240" w:lineRule="exact"/>
      <w:ind w:left="284" w:hanging="284"/>
    </w:pPr>
    <w:rPr>
      <w:szCs w:val="24"/>
    </w:rPr>
  </w:style>
  <w:style w:type="paragraph" w:customStyle="1" w:styleId="TofSectsGroupHeading">
    <w:name w:val="TofSects(GroupHeading)"/>
    <w:basedOn w:val="TOC4"/>
    <w:next w:val="Normal"/>
    <w:rsid w:val="00F72FC8"/>
    <w:pPr>
      <w:spacing w:before="240" w:after="120"/>
      <w:ind w:left="794"/>
    </w:pPr>
  </w:style>
  <w:style w:type="paragraph" w:customStyle="1" w:styleId="TofSectsHeading">
    <w:name w:val="TofSects(Heading)"/>
    <w:basedOn w:val="TOC5"/>
    <w:next w:val="Normal"/>
    <w:rsid w:val="00F72FC8"/>
    <w:pPr>
      <w:spacing w:before="240" w:after="120"/>
      <w:ind w:left="0"/>
    </w:pPr>
    <w:rPr>
      <w:b/>
    </w:rPr>
  </w:style>
  <w:style w:type="paragraph" w:customStyle="1" w:styleId="TofSectsSection">
    <w:name w:val="TofSects(Section)"/>
    <w:basedOn w:val="TOC5"/>
    <w:rsid w:val="00F72FC8"/>
    <w:pPr>
      <w:ind w:left="1588" w:hanging="794"/>
    </w:pPr>
  </w:style>
  <w:style w:type="paragraph" w:customStyle="1" w:styleId="TofSectsSubdiv">
    <w:name w:val="TofSects(Subdiv)"/>
    <w:basedOn w:val="TOC4"/>
    <w:rsid w:val="00F72FC8"/>
    <w:pPr>
      <w:ind w:left="1588" w:hanging="794"/>
    </w:pPr>
    <w:rPr>
      <w:b w:val="0"/>
      <w:sz w:val="22"/>
    </w:rPr>
  </w:style>
  <w:style w:type="paragraph" w:customStyle="1" w:styleId="ActHead1">
    <w:name w:val="ActHead 1"/>
    <w:aliases w:val="c"/>
    <w:next w:val="Normal"/>
    <w:rsid w:val="00F72FC8"/>
    <w:pPr>
      <w:keepNext/>
      <w:keepLines/>
      <w:ind w:left="1134" w:hanging="1134"/>
      <w:outlineLvl w:val="0"/>
    </w:pPr>
    <w:rPr>
      <w:b/>
      <w:bCs/>
      <w:kern w:val="28"/>
      <w:sz w:val="36"/>
      <w:szCs w:val="32"/>
    </w:rPr>
  </w:style>
  <w:style w:type="paragraph" w:customStyle="1" w:styleId="ActHead2">
    <w:name w:val="ActHead 2"/>
    <w:aliases w:val="p"/>
    <w:basedOn w:val="ActHead1"/>
    <w:next w:val="Normal"/>
    <w:rsid w:val="00F72FC8"/>
    <w:pPr>
      <w:spacing w:before="280"/>
      <w:outlineLvl w:val="1"/>
    </w:pPr>
    <w:rPr>
      <w:sz w:val="32"/>
    </w:rPr>
  </w:style>
  <w:style w:type="paragraph" w:customStyle="1" w:styleId="ActHead3">
    <w:name w:val="ActHead 3"/>
    <w:aliases w:val="d"/>
    <w:basedOn w:val="ActHead1"/>
    <w:next w:val="Normal"/>
    <w:rsid w:val="00F72FC8"/>
    <w:pPr>
      <w:spacing w:before="240"/>
      <w:outlineLvl w:val="2"/>
    </w:pPr>
    <w:rPr>
      <w:sz w:val="28"/>
    </w:rPr>
  </w:style>
  <w:style w:type="paragraph" w:customStyle="1" w:styleId="ActHead4">
    <w:name w:val="ActHead 4"/>
    <w:aliases w:val="sd"/>
    <w:basedOn w:val="ActHead1"/>
    <w:next w:val="Normal"/>
    <w:rsid w:val="00F72FC8"/>
    <w:pPr>
      <w:spacing w:before="220"/>
      <w:outlineLvl w:val="3"/>
    </w:pPr>
    <w:rPr>
      <w:sz w:val="26"/>
    </w:rPr>
  </w:style>
  <w:style w:type="paragraph" w:customStyle="1" w:styleId="ActHead5">
    <w:name w:val="ActHead 5"/>
    <w:aliases w:val="s"/>
    <w:basedOn w:val="ActHead1"/>
    <w:next w:val="subsection"/>
    <w:rsid w:val="00F72FC8"/>
    <w:pPr>
      <w:spacing w:before="280"/>
      <w:outlineLvl w:val="4"/>
    </w:pPr>
    <w:rPr>
      <w:sz w:val="24"/>
    </w:rPr>
  </w:style>
  <w:style w:type="paragraph" w:customStyle="1" w:styleId="ActHead6">
    <w:name w:val="ActHead 6"/>
    <w:aliases w:val="as"/>
    <w:basedOn w:val="ActHead1"/>
    <w:next w:val="Normal"/>
    <w:rsid w:val="00F72FC8"/>
    <w:pPr>
      <w:outlineLvl w:val="5"/>
    </w:pPr>
    <w:rPr>
      <w:rFonts w:ascii="Arial" w:hAnsi="Arial"/>
      <w:sz w:val="32"/>
    </w:rPr>
  </w:style>
  <w:style w:type="paragraph" w:customStyle="1" w:styleId="ActHead7">
    <w:name w:val="ActHead 7"/>
    <w:aliases w:val="ap"/>
    <w:basedOn w:val="ActHead6"/>
    <w:next w:val="ItemHead"/>
    <w:rsid w:val="00F72FC8"/>
    <w:pPr>
      <w:spacing w:before="280"/>
      <w:outlineLvl w:val="6"/>
    </w:pPr>
    <w:rPr>
      <w:sz w:val="28"/>
    </w:rPr>
  </w:style>
  <w:style w:type="paragraph" w:customStyle="1" w:styleId="ActHead8">
    <w:name w:val="ActHead 8"/>
    <w:aliases w:val="ad"/>
    <w:basedOn w:val="ActHead6"/>
    <w:next w:val="Normal"/>
    <w:qFormat/>
    <w:rsid w:val="00F72FC8"/>
    <w:pPr>
      <w:spacing w:before="240"/>
      <w:outlineLvl w:val="7"/>
    </w:pPr>
    <w:rPr>
      <w:sz w:val="26"/>
    </w:rPr>
  </w:style>
  <w:style w:type="paragraph" w:customStyle="1" w:styleId="ActHead9">
    <w:name w:val="ActHead 9"/>
    <w:aliases w:val="aat"/>
    <w:basedOn w:val="ActHead1"/>
    <w:next w:val="ItemHead"/>
    <w:rsid w:val="00F72FC8"/>
    <w:pPr>
      <w:keepNext w:val="0"/>
      <w:spacing w:before="280"/>
      <w:outlineLvl w:val="8"/>
    </w:pPr>
    <w:rPr>
      <w:i/>
      <w:sz w:val="28"/>
    </w:rPr>
  </w:style>
  <w:style w:type="paragraph" w:customStyle="1" w:styleId="AnnRepBodyParaBullet">
    <w:name w:val="AnnRepBodyParaBullet"/>
    <w:aliases w:val="arbpb"/>
    <w:basedOn w:val="BodyParaBullet"/>
    <w:rsid w:val="00F72FC8"/>
    <w:pPr>
      <w:tabs>
        <w:tab w:val="clear" w:pos="2160"/>
        <w:tab w:val="left" w:pos="480"/>
      </w:tabs>
    </w:pPr>
  </w:style>
  <w:style w:type="paragraph" w:customStyle="1" w:styleId="table">
    <w:name w:val="table"/>
    <w:aliases w:val="t,Table"/>
    <w:basedOn w:val="Normal"/>
    <w:rsid w:val="00F72FC8"/>
    <w:pPr>
      <w:spacing w:before="60" w:line="240" w:lineRule="atLeast"/>
    </w:pPr>
    <w:rPr>
      <w:sz w:val="20"/>
      <w:szCs w:val="20"/>
    </w:rPr>
  </w:style>
  <w:style w:type="table" w:styleId="TableSimple1">
    <w:name w:val="Table Simple 1"/>
    <w:basedOn w:val="TableNormal"/>
    <w:rsid w:val="00F72F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59"/>
    <w:rsid w:val="00F72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rsid w:val="00F72FC8"/>
    <w:pPr>
      <w:spacing w:before="100" w:beforeAutospacing="1" w:after="100" w:afterAutospacing="1"/>
    </w:pPr>
  </w:style>
  <w:style w:type="paragraph" w:customStyle="1" w:styleId="AnnualReportBullet">
    <w:name w:val="AnnualReportBullet"/>
    <w:aliases w:val="arb"/>
    <w:basedOn w:val="BodyParaBullet"/>
    <w:link w:val="AnnualReportBulletChar"/>
    <w:rsid w:val="00326C23"/>
    <w:pPr>
      <w:tabs>
        <w:tab w:val="clear" w:pos="2160"/>
      </w:tabs>
      <w:spacing w:before="60"/>
    </w:pPr>
    <w:rPr>
      <w:rFonts w:ascii="Arial" w:hAnsi="Arial"/>
      <w:sz w:val="20"/>
    </w:rPr>
  </w:style>
  <w:style w:type="character" w:customStyle="1" w:styleId="BodyChar">
    <w:name w:val="Body Char"/>
    <w:aliases w:val="b Char"/>
    <w:basedOn w:val="DefaultParagraphFont"/>
    <w:link w:val="Body"/>
    <w:rsid w:val="00F72FC8"/>
    <w:rPr>
      <w:rFonts w:ascii="Arial" w:hAnsi="Arial"/>
      <w:szCs w:val="24"/>
    </w:rPr>
  </w:style>
  <w:style w:type="character" w:customStyle="1" w:styleId="BodyParaBulletChar">
    <w:name w:val="BodyParaBullet Char"/>
    <w:aliases w:val="bpb Char"/>
    <w:basedOn w:val="BodyChar"/>
    <w:link w:val="BodyParaBullet"/>
    <w:rsid w:val="006B567E"/>
    <w:rPr>
      <w:rFonts w:ascii="Arial" w:hAnsi="Arial"/>
      <w:sz w:val="18"/>
      <w:szCs w:val="24"/>
    </w:rPr>
  </w:style>
  <w:style w:type="character" w:customStyle="1" w:styleId="AnnualReportBulletChar">
    <w:name w:val="AnnualReportBullet Char"/>
    <w:aliases w:val="arb Char"/>
    <w:basedOn w:val="BodyParaBulletChar"/>
    <w:link w:val="AnnualReportBullet"/>
    <w:rsid w:val="00326C23"/>
    <w:rPr>
      <w:rFonts w:ascii="Arial" w:hAnsi="Arial"/>
      <w:sz w:val="18"/>
      <w:szCs w:val="24"/>
    </w:rPr>
  </w:style>
  <w:style w:type="paragraph" w:customStyle="1" w:styleId="TableBodyText">
    <w:name w:val="TableBodyText"/>
    <w:basedOn w:val="Normal"/>
    <w:next w:val="Normal"/>
    <w:rsid w:val="00F72FC8"/>
    <w:pPr>
      <w:spacing w:before="20" w:after="20"/>
    </w:pPr>
    <w:rPr>
      <w:rFonts w:ascii="Tahoma" w:hAnsi="Tahoma"/>
      <w:sz w:val="16"/>
      <w:szCs w:val="20"/>
      <w:lang w:val="en-US"/>
    </w:rPr>
  </w:style>
  <w:style w:type="paragraph" w:customStyle="1" w:styleId="TableBodyTextIndented">
    <w:name w:val="TableBodyTextIndented"/>
    <w:basedOn w:val="TableBodyText"/>
    <w:next w:val="TableBodyText"/>
    <w:rsid w:val="00F72FC8"/>
    <w:pPr>
      <w:ind w:left="284"/>
    </w:pPr>
    <w:rPr>
      <w:snapToGrid w:val="0"/>
      <w:lang w:eastAsia="en-US"/>
    </w:rPr>
  </w:style>
  <w:style w:type="paragraph" w:customStyle="1" w:styleId="Tabletexthead">
    <w:name w:val="Tabletexthead"/>
    <w:aliases w:val="tth"/>
    <w:basedOn w:val="Tabletext"/>
    <w:rsid w:val="00F72FC8"/>
    <w:pPr>
      <w:spacing w:before="120" w:after="120" w:line="240" w:lineRule="auto"/>
    </w:pPr>
    <w:rPr>
      <w:b/>
      <w:color w:val="0000FF"/>
      <w:szCs w:val="20"/>
    </w:rPr>
  </w:style>
  <w:style w:type="paragraph" w:customStyle="1" w:styleId="Toc10">
    <w:name w:val="Toc1"/>
    <w:basedOn w:val="TOC1"/>
    <w:rsid w:val="00F72FC8"/>
    <w:pPr>
      <w:keepNext w:val="0"/>
      <w:tabs>
        <w:tab w:val="clear" w:pos="9000"/>
        <w:tab w:val="right" w:pos="7144"/>
      </w:tabs>
      <w:ind w:left="0" w:right="868" w:firstLine="0"/>
    </w:pPr>
    <w:rPr>
      <w:i/>
      <w:noProof/>
      <w:sz w:val="24"/>
    </w:rPr>
  </w:style>
  <w:style w:type="paragraph" w:customStyle="1" w:styleId="font5">
    <w:name w:val="font5"/>
    <w:basedOn w:val="Normal"/>
    <w:rsid w:val="00F72FC8"/>
    <w:pPr>
      <w:spacing w:before="100" w:beforeAutospacing="1" w:after="100" w:afterAutospacing="1"/>
    </w:pPr>
    <w:rPr>
      <w:rFonts w:ascii="Arial" w:eastAsia="Arial Unicode MS" w:hAnsi="Arial" w:cs="Arial"/>
      <w:i/>
      <w:iCs/>
      <w:sz w:val="16"/>
      <w:szCs w:val="16"/>
      <w:lang w:eastAsia="en-US"/>
    </w:rPr>
  </w:style>
  <w:style w:type="paragraph" w:customStyle="1" w:styleId="GeneralCommentaryNumberedText">
    <w:name w:val="General Commentary Numbered Text"/>
    <w:basedOn w:val="Normal"/>
    <w:autoRedefine/>
    <w:rsid w:val="00F72FC8"/>
    <w:pPr>
      <w:tabs>
        <w:tab w:val="left" w:pos="567"/>
      </w:tabs>
      <w:spacing w:before="180" w:after="40" w:line="240" w:lineRule="atLeast"/>
      <w:ind w:right="113"/>
      <w:jc w:val="both"/>
    </w:pPr>
    <w:rPr>
      <w:sz w:val="22"/>
      <w:szCs w:val="20"/>
      <w:lang w:eastAsia="en-US"/>
    </w:rPr>
  </w:style>
  <w:style w:type="paragraph" w:customStyle="1" w:styleId="GeneralCommentaryBullet1">
    <w:name w:val="General Commentary Bullet 1"/>
    <w:basedOn w:val="Normal"/>
    <w:autoRedefine/>
    <w:rsid w:val="00F72FC8"/>
    <w:pPr>
      <w:tabs>
        <w:tab w:val="left" w:pos="851"/>
      </w:tabs>
      <w:spacing w:after="40"/>
      <w:ind w:right="113"/>
      <w:jc w:val="both"/>
    </w:pPr>
    <w:rPr>
      <w:snapToGrid w:val="0"/>
      <w:sz w:val="22"/>
      <w:szCs w:val="20"/>
      <w:lang w:val="en-US" w:eastAsia="en-US"/>
    </w:rPr>
  </w:style>
  <w:style w:type="paragraph" w:customStyle="1" w:styleId="NotesBulletPoint">
    <w:name w:val="Notes Bullet Point"/>
    <w:basedOn w:val="GeneralCommentaryBullet1"/>
    <w:autoRedefine/>
    <w:rsid w:val="00F72FC8"/>
    <w:pPr>
      <w:tabs>
        <w:tab w:val="clear" w:pos="851"/>
        <w:tab w:val="left" w:pos="413"/>
      </w:tabs>
      <w:spacing w:after="0"/>
    </w:pPr>
    <w:rPr>
      <w:sz w:val="20"/>
    </w:rPr>
  </w:style>
  <w:style w:type="paragraph" w:customStyle="1" w:styleId="NoteText0">
    <w:name w:val="Note Text"/>
    <w:basedOn w:val="Normal"/>
    <w:autoRedefine/>
    <w:rsid w:val="00F72FC8"/>
    <w:pPr>
      <w:tabs>
        <w:tab w:val="left" w:pos="7797"/>
      </w:tabs>
      <w:spacing w:after="120"/>
      <w:ind w:left="1077" w:right="1009"/>
      <w:jc w:val="both"/>
    </w:pPr>
    <w:rPr>
      <w:rFonts w:ascii="Arial" w:hAnsi="Arial" w:cs="Arial"/>
      <w:snapToGrid w:val="0"/>
      <w:sz w:val="16"/>
      <w:szCs w:val="20"/>
      <w:lang w:val="en-US" w:eastAsia="en-US"/>
    </w:rPr>
  </w:style>
  <w:style w:type="paragraph" w:customStyle="1" w:styleId="NotesHeading4">
    <w:name w:val="Notes Heading 4"/>
    <w:basedOn w:val="NoteText0"/>
    <w:autoRedefine/>
    <w:rsid w:val="00F72FC8"/>
    <w:pPr>
      <w:keepNext/>
      <w:spacing w:before="200" w:after="80"/>
      <w:ind w:left="142"/>
    </w:pPr>
    <w:rPr>
      <w:i/>
    </w:rPr>
  </w:style>
  <w:style w:type="paragraph" w:customStyle="1" w:styleId="Contents">
    <w:name w:val="Contents"/>
    <w:basedOn w:val="Head2"/>
    <w:rsid w:val="00F72FC8"/>
    <w:pPr>
      <w:outlineLvl w:val="9"/>
    </w:pPr>
  </w:style>
  <w:style w:type="paragraph" w:customStyle="1" w:styleId="bodyparabullet0">
    <w:name w:val="bodyparabullet"/>
    <w:basedOn w:val="Normal"/>
    <w:rsid w:val="00F72FC8"/>
    <w:pPr>
      <w:spacing w:before="100" w:beforeAutospacing="1" w:after="100" w:afterAutospacing="1"/>
    </w:pPr>
  </w:style>
  <w:style w:type="character" w:customStyle="1" w:styleId="BodyNumChar">
    <w:name w:val="BodyNum Char"/>
    <w:aliases w:val="b1 Char"/>
    <w:basedOn w:val="BodyChar"/>
    <w:link w:val="BodyNum"/>
    <w:rsid w:val="00A80292"/>
    <w:rPr>
      <w:rFonts w:ascii="Arial" w:hAnsi="Arial"/>
      <w:szCs w:val="24"/>
    </w:rPr>
  </w:style>
  <w:style w:type="paragraph" w:customStyle="1" w:styleId="NormalIndent0">
    <w:name w:val="NormalIndent"/>
    <w:basedOn w:val="Normal"/>
    <w:rsid w:val="00893AED"/>
    <w:pPr>
      <w:tabs>
        <w:tab w:val="left" w:pos="6112"/>
      </w:tabs>
    </w:pPr>
    <w:rPr>
      <w:sz w:val="18"/>
      <w:szCs w:val="18"/>
    </w:rPr>
  </w:style>
  <w:style w:type="paragraph" w:styleId="ListParagraph">
    <w:name w:val="List Paragraph"/>
    <w:basedOn w:val="Normal"/>
    <w:uiPriority w:val="34"/>
    <w:qFormat/>
    <w:rsid w:val="00BC2482"/>
    <w:pPr>
      <w:ind w:left="720"/>
    </w:pPr>
    <w:rPr>
      <w:rFonts w:ascii="Calibri" w:eastAsiaTheme="minorHAnsi" w:hAnsi="Calibri"/>
      <w:sz w:val="22"/>
      <w:szCs w:val="22"/>
    </w:rPr>
  </w:style>
  <w:style w:type="numbering" w:customStyle="1" w:styleId="OPCBodyList">
    <w:name w:val="OPCBodyList"/>
    <w:uiPriority w:val="99"/>
    <w:rsid w:val="00246266"/>
    <w:pPr>
      <w:numPr>
        <w:numId w:val="16"/>
      </w:numPr>
    </w:pPr>
  </w:style>
  <w:style w:type="character" w:customStyle="1" w:styleId="HeaderChar">
    <w:name w:val="Header Char"/>
    <w:basedOn w:val="DefaultParagraphFont"/>
    <w:link w:val="Header"/>
    <w:rsid w:val="00DC7B00"/>
    <w:rPr>
      <w:rFonts w:ascii="Arial" w:hAnsi="Arial"/>
      <w:color w:val="0000FF"/>
    </w:rPr>
  </w:style>
  <w:style w:type="character" w:customStyle="1" w:styleId="FooterChar">
    <w:name w:val="Footer Char"/>
    <w:basedOn w:val="DefaultParagraphFont"/>
    <w:link w:val="Footer"/>
    <w:rsid w:val="00DC7B00"/>
    <w:rPr>
      <w:sz w:val="24"/>
      <w:szCs w:val="24"/>
    </w:rPr>
  </w:style>
  <w:style w:type="paragraph" w:customStyle="1" w:styleId="mhb1">
    <w:name w:val="mhb1"/>
    <w:basedOn w:val="Normal"/>
    <w:uiPriority w:val="99"/>
    <w:rsid w:val="000C5713"/>
    <w:pPr>
      <w:tabs>
        <w:tab w:val="left" w:pos="567"/>
      </w:tabs>
      <w:spacing w:before="240"/>
    </w:pPr>
    <w:rPr>
      <w:b/>
      <w:szCs w:val="20"/>
    </w:rPr>
  </w:style>
  <w:style w:type="paragraph" w:styleId="Bibliography">
    <w:name w:val="Bibliography"/>
    <w:basedOn w:val="Normal"/>
    <w:next w:val="Normal"/>
    <w:uiPriority w:val="37"/>
    <w:semiHidden/>
    <w:unhideWhenUsed/>
    <w:rsid w:val="00893AED"/>
  </w:style>
  <w:style w:type="paragraph" w:styleId="IntenseQuote">
    <w:name w:val="Intense Quote"/>
    <w:basedOn w:val="Normal"/>
    <w:next w:val="Normal"/>
    <w:link w:val="IntenseQuoteChar"/>
    <w:uiPriority w:val="30"/>
    <w:qFormat/>
    <w:rsid w:val="00893A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3AED"/>
    <w:rPr>
      <w:b/>
      <w:bCs/>
      <w:i/>
      <w:iCs/>
      <w:color w:val="4F81BD" w:themeColor="accent1"/>
      <w:sz w:val="24"/>
      <w:szCs w:val="24"/>
    </w:rPr>
  </w:style>
  <w:style w:type="paragraph" w:styleId="NoSpacing">
    <w:name w:val="No Spacing"/>
    <w:uiPriority w:val="1"/>
    <w:qFormat/>
    <w:rsid w:val="00893AED"/>
    <w:rPr>
      <w:sz w:val="24"/>
      <w:szCs w:val="24"/>
    </w:rPr>
  </w:style>
  <w:style w:type="paragraph" w:styleId="Quote">
    <w:name w:val="Quote"/>
    <w:basedOn w:val="Normal"/>
    <w:next w:val="Normal"/>
    <w:link w:val="QuoteChar"/>
    <w:uiPriority w:val="29"/>
    <w:qFormat/>
    <w:rsid w:val="00893AED"/>
    <w:rPr>
      <w:i/>
      <w:iCs/>
      <w:color w:val="000000" w:themeColor="text1"/>
    </w:rPr>
  </w:style>
  <w:style w:type="character" w:customStyle="1" w:styleId="QuoteChar">
    <w:name w:val="Quote Char"/>
    <w:basedOn w:val="DefaultParagraphFont"/>
    <w:link w:val="Quote"/>
    <w:uiPriority w:val="29"/>
    <w:rsid w:val="00893AED"/>
    <w:rPr>
      <w:i/>
      <w:iCs/>
      <w:color w:val="000000" w:themeColor="text1"/>
      <w:sz w:val="24"/>
      <w:szCs w:val="24"/>
    </w:rPr>
  </w:style>
  <w:style w:type="paragraph" w:styleId="TOCHeading">
    <w:name w:val="TOC Heading"/>
    <w:basedOn w:val="Heading1"/>
    <w:next w:val="Normal"/>
    <w:uiPriority w:val="39"/>
    <w:semiHidden/>
    <w:unhideWhenUsed/>
    <w:qFormat/>
    <w:rsid w:val="00893AED"/>
    <w:pPr>
      <w:spacing w:before="480" w:line="240" w:lineRule="auto"/>
      <w:ind w:left="0" w:firstLine="0"/>
      <w:outlineLvl w:val="9"/>
    </w:pPr>
    <w:rPr>
      <w:rFonts w:asciiTheme="majorHAnsi" w:eastAsiaTheme="majorEastAsia" w:hAnsiTheme="majorHAnsi" w:cstheme="majorBidi"/>
      <w:color w:val="365F91" w:themeColor="accent1" w:themeShade="BF"/>
      <w:kern w:val="0"/>
      <w:sz w:val="28"/>
      <w:szCs w:val="28"/>
    </w:rPr>
  </w:style>
  <w:style w:type="paragraph" w:customStyle="1" w:styleId="TableHeading">
    <w:name w:val="TableHeading"/>
    <w:aliases w:val="th"/>
    <w:basedOn w:val="Normal"/>
    <w:next w:val="Tabletext"/>
    <w:rsid w:val="00B37353"/>
    <w:pPr>
      <w:keepNext/>
      <w:spacing w:before="60" w:line="240" w:lineRule="atLeast"/>
    </w:pPr>
    <w:rPr>
      <w:b/>
      <w:sz w:val="20"/>
      <w:szCs w:val="20"/>
    </w:rPr>
  </w:style>
  <w:style w:type="paragraph" w:customStyle="1" w:styleId="Head6">
    <w:name w:val="Head 6"/>
    <w:aliases w:val="6"/>
    <w:basedOn w:val="BodyNum"/>
    <w:rsid w:val="00B37353"/>
    <w:pPr>
      <w:numPr>
        <w:numId w:val="0"/>
      </w:numPr>
    </w:pPr>
  </w:style>
  <w:style w:type="paragraph" w:customStyle="1" w:styleId="BodyParaBulletSub">
    <w:name w:val="BodyParaBulletSub"/>
    <w:basedOn w:val="Normal"/>
    <w:link w:val="BodyParaBulletSubChar"/>
    <w:qFormat/>
    <w:rsid w:val="00F07DD2"/>
    <w:pPr>
      <w:spacing w:before="120" w:line="300" w:lineRule="exact"/>
      <w:ind w:left="709" w:hanging="352"/>
    </w:pPr>
    <w:rPr>
      <w:rFonts w:ascii="Arial" w:hAnsi="Arial"/>
      <w:sz w:val="20"/>
    </w:rPr>
  </w:style>
  <w:style w:type="character" w:customStyle="1" w:styleId="BodyParaBulletSubChar">
    <w:name w:val="BodyParaBulletSub Char"/>
    <w:basedOn w:val="DefaultParagraphFont"/>
    <w:link w:val="BodyParaBulletSub"/>
    <w:rsid w:val="00F07DD2"/>
    <w:rPr>
      <w:rFonts w:ascii="Arial" w:hAnsi="Arial"/>
      <w:szCs w:val="24"/>
    </w:rPr>
  </w:style>
  <w:style w:type="paragraph" w:styleId="Revision">
    <w:name w:val="Revision"/>
    <w:hidden/>
    <w:uiPriority w:val="99"/>
    <w:semiHidden/>
    <w:rsid w:val="00A235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caption" w:semiHidden="0" w:unhideWhenUsed="0"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C23"/>
    <w:rPr>
      <w:sz w:val="24"/>
      <w:szCs w:val="24"/>
    </w:rPr>
  </w:style>
  <w:style w:type="paragraph" w:styleId="Heading1">
    <w:name w:val="heading 1"/>
    <w:next w:val="Heading2"/>
    <w:qFormat/>
    <w:rsid w:val="00F72FC8"/>
    <w:pPr>
      <w:keepNext/>
      <w:keepLines/>
      <w:spacing w:line="260" w:lineRule="atLeast"/>
      <w:ind w:left="1134" w:hanging="1134"/>
      <w:outlineLvl w:val="0"/>
    </w:pPr>
    <w:rPr>
      <w:b/>
      <w:bCs/>
      <w:kern w:val="28"/>
      <w:sz w:val="36"/>
      <w:szCs w:val="32"/>
    </w:rPr>
  </w:style>
  <w:style w:type="paragraph" w:styleId="Heading2">
    <w:name w:val="heading 2"/>
    <w:basedOn w:val="Heading1"/>
    <w:next w:val="Heading3"/>
    <w:qFormat/>
    <w:rsid w:val="00F72FC8"/>
    <w:pPr>
      <w:spacing w:before="280"/>
      <w:outlineLvl w:val="1"/>
    </w:pPr>
    <w:rPr>
      <w:bCs w:val="0"/>
      <w:iCs/>
      <w:sz w:val="32"/>
      <w:szCs w:val="28"/>
    </w:rPr>
  </w:style>
  <w:style w:type="paragraph" w:styleId="Heading3">
    <w:name w:val="heading 3"/>
    <w:basedOn w:val="Heading1"/>
    <w:next w:val="Heading4"/>
    <w:qFormat/>
    <w:rsid w:val="00F72FC8"/>
    <w:pPr>
      <w:spacing w:before="240"/>
      <w:outlineLvl w:val="2"/>
    </w:pPr>
    <w:rPr>
      <w:bCs w:val="0"/>
      <w:sz w:val="28"/>
      <w:szCs w:val="26"/>
    </w:rPr>
  </w:style>
  <w:style w:type="paragraph" w:styleId="Heading4">
    <w:name w:val="heading 4"/>
    <w:basedOn w:val="Heading1"/>
    <w:next w:val="Heading5"/>
    <w:qFormat/>
    <w:rsid w:val="00F72FC8"/>
    <w:pPr>
      <w:spacing w:before="220"/>
      <w:outlineLvl w:val="3"/>
    </w:pPr>
    <w:rPr>
      <w:bCs w:val="0"/>
      <w:sz w:val="26"/>
      <w:szCs w:val="28"/>
    </w:rPr>
  </w:style>
  <w:style w:type="paragraph" w:styleId="Heading5">
    <w:name w:val="heading 5"/>
    <w:basedOn w:val="Heading1"/>
    <w:next w:val="subsection"/>
    <w:qFormat/>
    <w:rsid w:val="00F72FC8"/>
    <w:pPr>
      <w:spacing w:before="280"/>
      <w:outlineLvl w:val="4"/>
    </w:pPr>
    <w:rPr>
      <w:bCs w:val="0"/>
      <w:iCs/>
      <w:sz w:val="24"/>
      <w:szCs w:val="26"/>
    </w:rPr>
  </w:style>
  <w:style w:type="paragraph" w:styleId="Heading6">
    <w:name w:val="heading 6"/>
    <w:basedOn w:val="Heading1"/>
    <w:next w:val="Heading7"/>
    <w:qFormat/>
    <w:rsid w:val="00F72FC8"/>
    <w:pPr>
      <w:outlineLvl w:val="5"/>
    </w:pPr>
    <w:rPr>
      <w:rFonts w:ascii="Arial" w:hAnsi="Arial" w:cs="Arial"/>
      <w:bCs w:val="0"/>
      <w:sz w:val="32"/>
      <w:szCs w:val="22"/>
    </w:rPr>
  </w:style>
  <w:style w:type="paragraph" w:styleId="Heading7">
    <w:name w:val="heading 7"/>
    <w:basedOn w:val="Heading6"/>
    <w:next w:val="ItemHead"/>
    <w:qFormat/>
    <w:rsid w:val="00F72FC8"/>
    <w:pPr>
      <w:spacing w:before="280"/>
      <w:outlineLvl w:val="6"/>
    </w:pPr>
    <w:rPr>
      <w:sz w:val="28"/>
    </w:rPr>
  </w:style>
  <w:style w:type="paragraph" w:styleId="Heading8">
    <w:name w:val="heading 8"/>
    <w:basedOn w:val="Heading6"/>
    <w:next w:val="Normal"/>
    <w:qFormat/>
    <w:rsid w:val="00F72FC8"/>
    <w:pPr>
      <w:spacing w:before="240"/>
      <w:outlineLvl w:val="7"/>
    </w:pPr>
    <w:rPr>
      <w:iCs/>
      <w:sz w:val="26"/>
    </w:rPr>
  </w:style>
  <w:style w:type="paragraph" w:styleId="Heading9">
    <w:name w:val="heading 9"/>
    <w:basedOn w:val="Heading1"/>
    <w:next w:val="ItemHead"/>
    <w:qFormat/>
    <w:rsid w:val="00F72FC8"/>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s">
    <w:name w:val="Blocks"/>
    <w:aliases w:val="bb"/>
    <w:qFormat/>
    <w:rsid w:val="00F72FC8"/>
    <w:rPr>
      <w:sz w:val="24"/>
      <w:szCs w:val="24"/>
    </w:rPr>
  </w:style>
  <w:style w:type="paragraph" w:customStyle="1" w:styleId="BodyNum">
    <w:name w:val="BodyNum"/>
    <w:aliases w:val="b1"/>
    <w:basedOn w:val="Body"/>
    <w:link w:val="BodyNumChar"/>
    <w:rsid w:val="00A80292"/>
    <w:pPr>
      <w:numPr>
        <w:numId w:val="4"/>
      </w:numPr>
    </w:pPr>
  </w:style>
  <w:style w:type="paragraph" w:customStyle="1" w:styleId="BodyParaBullet">
    <w:name w:val="BodyParaBullet"/>
    <w:aliases w:val="bpb"/>
    <w:basedOn w:val="Body"/>
    <w:link w:val="BodyParaBulletChar"/>
    <w:rsid w:val="006B567E"/>
    <w:pPr>
      <w:tabs>
        <w:tab w:val="left" w:pos="2160"/>
      </w:tabs>
    </w:pPr>
    <w:rPr>
      <w:rFonts w:ascii="Times New Roman" w:hAnsi="Times New Roman"/>
      <w:sz w:val="18"/>
    </w:rPr>
  </w:style>
  <w:style w:type="paragraph" w:customStyle="1" w:styleId="Head1">
    <w:name w:val="Head 1"/>
    <w:aliases w:val="1"/>
    <w:basedOn w:val="Body"/>
    <w:next w:val="BodyNum"/>
    <w:rsid w:val="00F72FC8"/>
    <w:pPr>
      <w:keepNext/>
      <w:spacing w:after="60"/>
      <w:outlineLvl w:val="0"/>
    </w:pPr>
    <w:rPr>
      <w:rFonts w:cs="Arial"/>
      <w:b/>
      <w:color w:val="0000FF"/>
      <w:kern w:val="28"/>
      <w:sz w:val="36"/>
      <w:szCs w:val="36"/>
    </w:rPr>
  </w:style>
  <w:style w:type="paragraph" w:customStyle="1" w:styleId="Head3">
    <w:name w:val="Head 3"/>
    <w:aliases w:val="3"/>
    <w:basedOn w:val="Head2"/>
    <w:next w:val="BodyNum"/>
    <w:rsid w:val="00F72FC8"/>
    <w:pPr>
      <w:spacing w:before="240" w:line="300" w:lineRule="exact"/>
      <w:outlineLvl w:val="2"/>
    </w:pPr>
    <w:rPr>
      <w:i/>
      <w:sz w:val="26"/>
    </w:rPr>
  </w:style>
  <w:style w:type="paragraph" w:customStyle="1" w:styleId="Head5">
    <w:name w:val="Head 5"/>
    <w:aliases w:val="5"/>
    <w:basedOn w:val="Head4"/>
    <w:next w:val="BodyNum"/>
    <w:rsid w:val="00F72FC8"/>
    <w:pPr>
      <w:outlineLvl w:val="4"/>
    </w:pPr>
    <w:rPr>
      <w:i/>
    </w:rPr>
  </w:style>
  <w:style w:type="paragraph" w:customStyle="1" w:styleId="Body">
    <w:name w:val="Body"/>
    <w:aliases w:val="b"/>
    <w:link w:val="BodyChar"/>
    <w:rsid w:val="00F72FC8"/>
    <w:pPr>
      <w:spacing w:before="240" w:line="300" w:lineRule="exact"/>
    </w:pPr>
    <w:rPr>
      <w:rFonts w:ascii="Arial" w:hAnsi="Arial"/>
      <w:szCs w:val="24"/>
    </w:rPr>
  </w:style>
  <w:style w:type="paragraph" w:customStyle="1" w:styleId="BodyPara">
    <w:name w:val="BodyPara"/>
    <w:aliases w:val="ba"/>
    <w:basedOn w:val="Body"/>
    <w:rsid w:val="00893AED"/>
    <w:pPr>
      <w:tabs>
        <w:tab w:val="left" w:pos="567"/>
      </w:tabs>
    </w:pPr>
  </w:style>
  <w:style w:type="paragraph" w:customStyle="1" w:styleId="Head2">
    <w:name w:val="Head 2"/>
    <w:aliases w:val="2"/>
    <w:basedOn w:val="Head1"/>
    <w:next w:val="BodyNum"/>
    <w:rsid w:val="00F72FC8"/>
    <w:pPr>
      <w:spacing w:before="60" w:line="240" w:lineRule="auto"/>
      <w:outlineLvl w:val="1"/>
    </w:pPr>
    <w:rPr>
      <w:sz w:val="28"/>
    </w:rPr>
  </w:style>
  <w:style w:type="paragraph" w:customStyle="1" w:styleId="Head4">
    <w:name w:val="Head 4"/>
    <w:aliases w:val="4"/>
    <w:basedOn w:val="Head3"/>
    <w:next w:val="BodyNum"/>
    <w:rsid w:val="00F72FC8"/>
    <w:pPr>
      <w:outlineLvl w:val="3"/>
    </w:pPr>
    <w:rPr>
      <w:i w:val="0"/>
      <w:sz w:val="22"/>
    </w:rPr>
  </w:style>
  <w:style w:type="paragraph" w:customStyle="1" w:styleId="Tabletext">
    <w:name w:val="Tabletext"/>
    <w:aliases w:val="tt"/>
    <w:rsid w:val="00F72FC8"/>
    <w:pPr>
      <w:spacing w:before="240" w:line="240" w:lineRule="atLeast"/>
    </w:pPr>
    <w:rPr>
      <w:rFonts w:ascii="Arial" w:hAnsi="Arial"/>
      <w:szCs w:val="24"/>
    </w:rPr>
  </w:style>
  <w:style w:type="paragraph" w:styleId="BalloonText">
    <w:name w:val="Balloon Text"/>
    <w:rsid w:val="00F72FC8"/>
    <w:rPr>
      <w:rFonts w:ascii="Tahoma" w:hAnsi="Tahoma" w:cs="Tahoma"/>
      <w:sz w:val="16"/>
      <w:szCs w:val="16"/>
    </w:rPr>
  </w:style>
  <w:style w:type="paragraph" w:styleId="BlockText">
    <w:name w:val="Block Text"/>
    <w:rsid w:val="00F72FC8"/>
    <w:pPr>
      <w:spacing w:after="120"/>
      <w:ind w:left="1440" w:right="1440"/>
    </w:pPr>
    <w:rPr>
      <w:sz w:val="24"/>
      <w:szCs w:val="24"/>
    </w:rPr>
  </w:style>
  <w:style w:type="paragraph" w:styleId="BodyText">
    <w:name w:val="Body Text"/>
    <w:rsid w:val="00F72FC8"/>
    <w:pPr>
      <w:spacing w:after="120"/>
    </w:pPr>
    <w:rPr>
      <w:sz w:val="24"/>
      <w:szCs w:val="24"/>
    </w:rPr>
  </w:style>
  <w:style w:type="paragraph" w:styleId="BodyText2">
    <w:name w:val="Body Text 2"/>
    <w:rsid w:val="00F72FC8"/>
    <w:pPr>
      <w:spacing w:after="120" w:line="480" w:lineRule="auto"/>
    </w:pPr>
    <w:rPr>
      <w:sz w:val="24"/>
      <w:szCs w:val="24"/>
    </w:rPr>
  </w:style>
  <w:style w:type="paragraph" w:styleId="BodyText3">
    <w:name w:val="Body Text 3"/>
    <w:rsid w:val="00F72FC8"/>
    <w:pPr>
      <w:spacing w:after="120"/>
    </w:pPr>
    <w:rPr>
      <w:sz w:val="16"/>
      <w:szCs w:val="16"/>
    </w:rPr>
  </w:style>
  <w:style w:type="paragraph" w:styleId="BodyTextFirstIndent">
    <w:name w:val="Body Text First Indent"/>
    <w:rsid w:val="00F72FC8"/>
    <w:pPr>
      <w:spacing w:after="120"/>
      <w:ind w:firstLine="210"/>
    </w:pPr>
    <w:rPr>
      <w:sz w:val="24"/>
      <w:szCs w:val="24"/>
    </w:rPr>
  </w:style>
  <w:style w:type="paragraph" w:styleId="BodyTextIndent">
    <w:name w:val="Body Text Indent"/>
    <w:rsid w:val="00F72FC8"/>
    <w:pPr>
      <w:spacing w:after="120"/>
      <w:ind w:left="283"/>
    </w:pPr>
    <w:rPr>
      <w:sz w:val="24"/>
      <w:szCs w:val="24"/>
    </w:rPr>
  </w:style>
  <w:style w:type="paragraph" w:styleId="BodyTextFirstIndent2">
    <w:name w:val="Body Text First Indent 2"/>
    <w:rsid w:val="00F72FC8"/>
    <w:pPr>
      <w:spacing w:after="120"/>
      <w:ind w:left="283" w:firstLine="210"/>
    </w:pPr>
    <w:rPr>
      <w:sz w:val="24"/>
      <w:szCs w:val="24"/>
    </w:rPr>
  </w:style>
  <w:style w:type="paragraph" w:styleId="BodyTextIndent2">
    <w:name w:val="Body Text Indent 2"/>
    <w:rsid w:val="00F72FC8"/>
    <w:pPr>
      <w:spacing w:after="120" w:line="480" w:lineRule="auto"/>
      <w:ind w:left="283"/>
    </w:pPr>
    <w:rPr>
      <w:sz w:val="24"/>
      <w:szCs w:val="24"/>
    </w:rPr>
  </w:style>
  <w:style w:type="paragraph" w:styleId="BodyTextIndent3">
    <w:name w:val="Body Text Indent 3"/>
    <w:rsid w:val="00F72FC8"/>
    <w:pPr>
      <w:spacing w:after="120"/>
      <w:ind w:left="283"/>
    </w:pPr>
    <w:rPr>
      <w:sz w:val="16"/>
      <w:szCs w:val="16"/>
    </w:rPr>
  </w:style>
  <w:style w:type="paragraph" w:styleId="Caption">
    <w:name w:val="caption"/>
    <w:next w:val="Normal"/>
    <w:qFormat/>
    <w:rsid w:val="00F72FC8"/>
    <w:pPr>
      <w:spacing w:before="120" w:after="120"/>
    </w:pPr>
    <w:rPr>
      <w:b/>
      <w:bCs/>
    </w:rPr>
  </w:style>
  <w:style w:type="paragraph" w:styleId="Closing">
    <w:name w:val="Closing"/>
    <w:rsid w:val="00F72FC8"/>
    <w:pPr>
      <w:ind w:left="4252"/>
    </w:pPr>
    <w:rPr>
      <w:sz w:val="24"/>
      <w:szCs w:val="24"/>
    </w:rPr>
  </w:style>
  <w:style w:type="paragraph" w:styleId="CommentText">
    <w:name w:val="annotation text"/>
    <w:rsid w:val="00F72FC8"/>
  </w:style>
  <w:style w:type="paragraph" w:styleId="Date">
    <w:name w:val="Date"/>
    <w:next w:val="Normal"/>
    <w:rsid w:val="00F72FC8"/>
    <w:rPr>
      <w:sz w:val="24"/>
      <w:szCs w:val="24"/>
    </w:rPr>
  </w:style>
  <w:style w:type="paragraph" w:styleId="DocumentMap">
    <w:name w:val="Document Map"/>
    <w:rsid w:val="00F72FC8"/>
    <w:pPr>
      <w:shd w:val="clear" w:color="auto" w:fill="000080"/>
    </w:pPr>
    <w:rPr>
      <w:rFonts w:ascii="Tahoma" w:hAnsi="Tahoma" w:cs="Tahoma"/>
      <w:sz w:val="24"/>
      <w:szCs w:val="24"/>
    </w:rPr>
  </w:style>
  <w:style w:type="paragraph" w:styleId="E-mailSignature">
    <w:name w:val="E-mail Signature"/>
    <w:rsid w:val="00F72FC8"/>
    <w:rPr>
      <w:sz w:val="24"/>
      <w:szCs w:val="24"/>
    </w:rPr>
  </w:style>
  <w:style w:type="paragraph" w:styleId="EndnoteText">
    <w:name w:val="endnote text"/>
    <w:rsid w:val="00F72FC8"/>
  </w:style>
  <w:style w:type="paragraph" w:styleId="EnvelopeAddress">
    <w:name w:val="envelope address"/>
    <w:rsid w:val="00F72FC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72FC8"/>
    <w:rPr>
      <w:rFonts w:ascii="Arial" w:hAnsi="Arial" w:cs="Arial"/>
    </w:rPr>
  </w:style>
  <w:style w:type="paragraph" w:styleId="Footer">
    <w:name w:val="footer"/>
    <w:link w:val="FooterChar"/>
    <w:rsid w:val="00F72FC8"/>
    <w:pPr>
      <w:tabs>
        <w:tab w:val="center" w:pos="4153"/>
        <w:tab w:val="center" w:pos="4320"/>
        <w:tab w:val="right" w:pos="8306"/>
        <w:tab w:val="right" w:pos="8640"/>
      </w:tabs>
    </w:pPr>
    <w:rPr>
      <w:sz w:val="24"/>
      <w:szCs w:val="24"/>
    </w:rPr>
  </w:style>
  <w:style w:type="paragraph" w:styleId="FootnoteText">
    <w:name w:val="footnote text"/>
    <w:rsid w:val="00F72FC8"/>
  </w:style>
  <w:style w:type="paragraph" w:styleId="Header">
    <w:name w:val="header"/>
    <w:link w:val="HeaderChar"/>
    <w:rsid w:val="00F72FC8"/>
    <w:pPr>
      <w:tabs>
        <w:tab w:val="center" w:pos="4153"/>
        <w:tab w:val="center" w:pos="4320"/>
        <w:tab w:val="right" w:pos="8306"/>
        <w:tab w:val="right" w:pos="8640"/>
      </w:tabs>
    </w:pPr>
    <w:rPr>
      <w:rFonts w:ascii="Arial" w:hAnsi="Arial"/>
      <w:color w:val="0000FF"/>
    </w:rPr>
  </w:style>
  <w:style w:type="paragraph" w:styleId="HTMLAddress">
    <w:name w:val="HTML Address"/>
    <w:rsid w:val="00F72FC8"/>
    <w:rPr>
      <w:i/>
      <w:iCs/>
      <w:sz w:val="24"/>
      <w:szCs w:val="24"/>
    </w:rPr>
  </w:style>
  <w:style w:type="paragraph" w:styleId="HTMLPreformatted">
    <w:name w:val="HTML Preformatted"/>
    <w:rsid w:val="00F72FC8"/>
    <w:rPr>
      <w:rFonts w:ascii="Courier New" w:hAnsi="Courier New" w:cs="Courier New"/>
    </w:rPr>
  </w:style>
  <w:style w:type="paragraph" w:styleId="Index1">
    <w:name w:val="index 1"/>
    <w:next w:val="Normal"/>
    <w:rsid w:val="00F72FC8"/>
    <w:pPr>
      <w:ind w:left="240" w:hanging="240"/>
    </w:pPr>
    <w:rPr>
      <w:sz w:val="24"/>
      <w:szCs w:val="24"/>
    </w:rPr>
  </w:style>
  <w:style w:type="paragraph" w:styleId="Index2">
    <w:name w:val="index 2"/>
    <w:next w:val="Normal"/>
    <w:rsid w:val="00F72FC8"/>
    <w:pPr>
      <w:ind w:left="480" w:hanging="240"/>
    </w:pPr>
    <w:rPr>
      <w:sz w:val="24"/>
      <w:szCs w:val="24"/>
    </w:rPr>
  </w:style>
  <w:style w:type="paragraph" w:styleId="Index3">
    <w:name w:val="index 3"/>
    <w:next w:val="Normal"/>
    <w:rsid w:val="00F72FC8"/>
    <w:pPr>
      <w:ind w:left="720" w:hanging="240"/>
    </w:pPr>
    <w:rPr>
      <w:sz w:val="24"/>
      <w:szCs w:val="24"/>
    </w:rPr>
  </w:style>
  <w:style w:type="paragraph" w:styleId="Index4">
    <w:name w:val="index 4"/>
    <w:next w:val="Normal"/>
    <w:rsid w:val="00F72FC8"/>
    <w:pPr>
      <w:ind w:left="960" w:hanging="240"/>
    </w:pPr>
    <w:rPr>
      <w:sz w:val="24"/>
      <w:szCs w:val="24"/>
    </w:rPr>
  </w:style>
  <w:style w:type="paragraph" w:styleId="Index5">
    <w:name w:val="index 5"/>
    <w:next w:val="Normal"/>
    <w:rsid w:val="00F72FC8"/>
    <w:pPr>
      <w:ind w:left="1200" w:hanging="240"/>
    </w:pPr>
    <w:rPr>
      <w:sz w:val="24"/>
      <w:szCs w:val="24"/>
    </w:rPr>
  </w:style>
  <w:style w:type="paragraph" w:styleId="Index6">
    <w:name w:val="index 6"/>
    <w:next w:val="Normal"/>
    <w:rsid w:val="00F72FC8"/>
    <w:pPr>
      <w:ind w:left="1440" w:hanging="240"/>
    </w:pPr>
    <w:rPr>
      <w:sz w:val="24"/>
      <w:szCs w:val="24"/>
    </w:rPr>
  </w:style>
  <w:style w:type="paragraph" w:styleId="Index7">
    <w:name w:val="index 7"/>
    <w:next w:val="Normal"/>
    <w:rsid w:val="00F72FC8"/>
    <w:pPr>
      <w:ind w:left="1680" w:hanging="240"/>
    </w:pPr>
    <w:rPr>
      <w:sz w:val="24"/>
      <w:szCs w:val="24"/>
    </w:rPr>
  </w:style>
  <w:style w:type="paragraph" w:styleId="Index8">
    <w:name w:val="index 8"/>
    <w:next w:val="Normal"/>
    <w:rsid w:val="00F72FC8"/>
    <w:pPr>
      <w:ind w:left="1920" w:hanging="240"/>
    </w:pPr>
    <w:rPr>
      <w:sz w:val="24"/>
      <w:szCs w:val="24"/>
    </w:rPr>
  </w:style>
  <w:style w:type="paragraph" w:styleId="Index9">
    <w:name w:val="index 9"/>
    <w:next w:val="Normal"/>
    <w:rsid w:val="00F72FC8"/>
    <w:pPr>
      <w:ind w:left="2160" w:hanging="240"/>
    </w:pPr>
    <w:rPr>
      <w:sz w:val="24"/>
      <w:szCs w:val="24"/>
    </w:rPr>
  </w:style>
  <w:style w:type="paragraph" w:styleId="IndexHeading">
    <w:name w:val="index heading"/>
    <w:next w:val="Index1"/>
    <w:rsid w:val="00F72FC8"/>
    <w:rPr>
      <w:rFonts w:ascii="Arial" w:hAnsi="Arial" w:cs="Arial"/>
      <w:b/>
      <w:bCs/>
      <w:sz w:val="24"/>
      <w:szCs w:val="24"/>
    </w:rPr>
  </w:style>
  <w:style w:type="paragraph" w:styleId="List">
    <w:name w:val="List"/>
    <w:rsid w:val="00F72FC8"/>
    <w:pPr>
      <w:ind w:left="283" w:hanging="283"/>
    </w:pPr>
    <w:rPr>
      <w:sz w:val="24"/>
      <w:szCs w:val="24"/>
    </w:rPr>
  </w:style>
  <w:style w:type="paragraph" w:styleId="List2">
    <w:name w:val="List 2"/>
    <w:rsid w:val="00F72FC8"/>
    <w:pPr>
      <w:ind w:left="566" w:hanging="283"/>
    </w:pPr>
    <w:rPr>
      <w:sz w:val="24"/>
      <w:szCs w:val="24"/>
    </w:rPr>
  </w:style>
  <w:style w:type="paragraph" w:styleId="List3">
    <w:name w:val="List 3"/>
    <w:rsid w:val="00F72FC8"/>
    <w:pPr>
      <w:ind w:left="849" w:hanging="283"/>
    </w:pPr>
    <w:rPr>
      <w:sz w:val="24"/>
      <w:szCs w:val="24"/>
    </w:rPr>
  </w:style>
  <w:style w:type="paragraph" w:styleId="List4">
    <w:name w:val="List 4"/>
    <w:rsid w:val="00F72FC8"/>
    <w:pPr>
      <w:ind w:left="1132" w:hanging="283"/>
    </w:pPr>
    <w:rPr>
      <w:sz w:val="24"/>
      <w:szCs w:val="24"/>
    </w:rPr>
  </w:style>
  <w:style w:type="paragraph" w:styleId="List5">
    <w:name w:val="List 5"/>
    <w:rsid w:val="00F72FC8"/>
    <w:pPr>
      <w:ind w:left="1415" w:hanging="283"/>
    </w:pPr>
    <w:rPr>
      <w:sz w:val="24"/>
      <w:szCs w:val="24"/>
    </w:rPr>
  </w:style>
  <w:style w:type="paragraph" w:styleId="ListBullet">
    <w:name w:val="List Bullet"/>
    <w:rsid w:val="00893AED"/>
    <w:rPr>
      <w:sz w:val="24"/>
      <w:szCs w:val="24"/>
    </w:rPr>
  </w:style>
  <w:style w:type="paragraph" w:styleId="ListBullet2">
    <w:name w:val="List Bullet 2"/>
    <w:rsid w:val="00893AED"/>
    <w:rPr>
      <w:sz w:val="24"/>
      <w:szCs w:val="24"/>
    </w:rPr>
  </w:style>
  <w:style w:type="paragraph" w:styleId="ListBullet3">
    <w:name w:val="List Bullet 3"/>
    <w:rsid w:val="00893AED"/>
    <w:rPr>
      <w:sz w:val="24"/>
      <w:szCs w:val="24"/>
    </w:rPr>
  </w:style>
  <w:style w:type="paragraph" w:styleId="ListBullet4">
    <w:name w:val="List Bullet 4"/>
    <w:rsid w:val="00893AED"/>
    <w:rPr>
      <w:sz w:val="24"/>
      <w:szCs w:val="24"/>
    </w:rPr>
  </w:style>
  <w:style w:type="paragraph" w:styleId="ListBullet5">
    <w:name w:val="List Bullet 5"/>
    <w:rsid w:val="00893AED"/>
    <w:rPr>
      <w:sz w:val="24"/>
      <w:szCs w:val="24"/>
    </w:rPr>
  </w:style>
  <w:style w:type="paragraph" w:styleId="ListContinue">
    <w:name w:val="List Continue"/>
    <w:rsid w:val="00F72FC8"/>
    <w:pPr>
      <w:spacing w:after="120"/>
      <w:ind w:left="283"/>
    </w:pPr>
    <w:rPr>
      <w:sz w:val="24"/>
      <w:szCs w:val="24"/>
    </w:rPr>
  </w:style>
  <w:style w:type="paragraph" w:styleId="ListContinue2">
    <w:name w:val="List Continue 2"/>
    <w:rsid w:val="00F72FC8"/>
    <w:pPr>
      <w:spacing w:after="120"/>
      <w:ind w:left="566"/>
    </w:pPr>
    <w:rPr>
      <w:sz w:val="24"/>
      <w:szCs w:val="24"/>
    </w:rPr>
  </w:style>
  <w:style w:type="paragraph" w:styleId="ListContinue3">
    <w:name w:val="List Continue 3"/>
    <w:rsid w:val="00F72FC8"/>
    <w:pPr>
      <w:spacing w:after="120"/>
      <w:ind w:left="849"/>
    </w:pPr>
    <w:rPr>
      <w:sz w:val="24"/>
      <w:szCs w:val="24"/>
    </w:rPr>
  </w:style>
  <w:style w:type="paragraph" w:styleId="ListContinue4">
    <w:name w:val="List Continue 4"/>
    <w:rsid w:val="00F72FC8"/>
    <w:pPr>
      <w:spacing w:after="120"/>
      <w:ind w:left="1132"/>
    </w:pPr>
    <w:rPr>
      <w:sz w:val="24"/>
      <w:szCs w:val="24"/>
    </w:rPr>
  </w:style>
  <w:style w:type="paragraph" w:styleId="ListContinue5">
    <w:name w:val="List Continue 5"/>
    <w:rsid w:val="00F72FC8"/>
    <w:pPr>
      <w:spacing w:after="120"/>
      <w:ind w:left="1415"/>
    </w:pPr>
    <w:rPr>
      <w:sz w:val="24"/>
      <w:szCs w:val="24"/>
    </w:rPr>
  </w:style>
  <w:style w:type="paragraph" w:styleId="ListNumber">
    <w:name w:val="List Number"/>
    <w:rsid w:val="00893AED"/>
    <w:rPr>
      <w:sz w:val="24"/>
      <w:szCs w:val="24"/>
    </w:rPr>
  </w:style>
  <w:style w:type="paragraph" w:styleId="ListNumber2">
    <w:name w:val="List Number 2"/>
    <w:rsid w:val="00893AED"/>
    <w:rPr>
      <w:sz w:val="24"/>
      <w:szCs w:val="24"/>
    </w:rPr>
  </w:style>
  <w:style w:type="paragraph" w:styleId="ListNumber3">
    <w:name w:val="List Number 3"/>
    <w:rsid w:val="00893AED"/>
    <w:rPr>
      <w:sz w:val="24"/>
      <w:szCs w:val="24"/>
    </w:rPr>
  </w:style>
  <w:style w:type="paragraph" w:styleId="ListNumber4">
    <w:name w:val="List Number 4"/>
    <w:rsid w:val="00893AED"/>
    <w:rPr>
      <w:sz w:val="24"/>
      <w:szCs w:val="24"/>
    </w:rPr>
  </w:style>
  <w:style w:type="paragraph" w:styleId="ListNumber5">
    <w:name w:val="List Number 5"/>
    <w:rsid w:val="00893AED"/>
    <w:rPr>
      <w:sz w:val="24"/>
      <w:szCs w:val="24"/>
    </w:rPr>
  </w:style>
  <w:style w:type="paragraph" w:styleId="MessageHeader">
    <w:name w:val="Message Header"/>
    <w:rsid w:val="00F72F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F72FC8"/>
    <w:rPr>
      <w:sz w:val="24"/>
      <w:szCs w:val="24"/>
    </w:rPr>
  </w:style>
  <w:style w:type="paragraph" w:styleId="NormalIndent">
    <w:name w:val="Normal Indent"/>
    <w:rsid w:val="00F72FC8"/>
    <w:pPr>
      <w:ind w:left="720"/>
    </w:pPr>
    <w:rPr>
      <w:sz w:val="24"/>
      <w:szCs w:val="24"/>
    </w:rPr>
  </w:style>
  <w:style w:type="paragraph" w:styleId="NoteHeading">
    <w:name w:val="Note Heading"/>
    <w:next w:val="Normal"/>
    <w:rsid w:val="00F72FC8"/>
    <w:rPr>
      <w:sz w:val="24"/>
      <w:szCs w:val="24"/>
    </w:rPr>
  </w:style>
  <w:style w:type="paragraph" w:styleId="PlainText">
    <w:name w:val="Plain Text"/>
    <w:rsid w:val="00F72FC8"/>
    <w:rPr>
      <w:rFonts w:ascii="Courier New" w:hAnsi="Courier New" w:cs="Courier New"/>
    </w:rPr>
  </w:style>
  <w:style w:type="paragraph" w:styleId="Salutation">
    <w:name w:val="Salutation"/>
    <w:next w:val="Normal"/>
    <w:rsid w:val="00F72FC8"/>
    <w:rPr>
      <w:sz w:val="24"/>
      <w:szCs w:val="24"/>
    </w:rPr>
  </w:style>
  <w:style w:type="paragraph" w:styleId="Signature">
    <w:name w:val="Signature"/>
    <w:rsid w:val="00F72FC8"/>
    <w:pPr>
      <w:ind w:left="4252"/>
    </w:pPr>
    <w:rPr>
      <w:sz w:val="24"/>
      <w:szCs w:val="24"/>
    </w:rPr>
  </w:style>
  <w:style w:type="paragraph" w:styleId="Subtitle">
    <w:name w:val="Subtitle"/>
    <w:qFormat/>
    <w:rsid w:val="00F72FC8"/>
    <w:pPr>
      <w:spacing w:after="60"/>
      <w:jc w:val="center"/>
      <w:outlineLvl w:val="1"/>
    </w:pPr>
    <w:rPr>
      <w:rFonts w:ascii="Arial" w:hAnsi="Arial" w:cs="Arial"/>
      <w:sz w:val="24"/>
      <w:szCs w:val="24"/>
    </w:rPr>
  </w:style>
  <w:style w:type="paragraph" w:styleId="TableofAuthorities">
    <w:name w:val="table of authorities"/>
    <w:next w:val="Normal"/>
    <w:rsid w:val="00F72FC8"/>
    <w:pPr>
      <w:ind w:left="240" w:hanging="240"/>
    </w:pPr>
    <w:rPr>
      <w:sz w:val="24"/>
      <w:szCs w:val="24"/>
    </w:rPr>
  </w:style>
  <w:style w:type="paragraph" w:styleId="TableofFigures">
    <w:name w:val="table of figures"/>
    <w:next w:val="Normal"/>
    <w:rsid w:val="00F72FC8"/>
    <w:pPr>
      <w:ind w:left="480" w:hanging="480"/>
    </w:pPr>
    <w:rPr>
      <w:sz w:val="24"/>
      <w:szCs w:val="24"/>
    </w:rPr>
  </w:style>
  <w:style w:type="paragraph" w:styleId="Title">
    <w:name w:val="Title"/>
    <w:qFormat/>
    <w:rsid w:val="00F72FC8"/>
    <w:pPr>
      <w:spacing w:before="240" w:after="60"/>
      <w:jc w:val="center"/>
      <w:outlineLvl w:val="0"/>
    </w:pPr>
    <w:rPr>
      <w:rFonts w:ascii="Arial" w:hAnsi="Arial" w:cs="Arial"/>
      <w:b/>
      <w:bCs/>
      <w:kern w:val="28"/>
      <w:sz w:val="32"/>
      <w:szCs w:val="32"/>
    </w:rPr>
  </w:style>
  <w:style w:type="paragraph" w:styleId="TOAHeading">
    <w:name w:val="toa heading"/>
    <w:next w:val="Normal"/>
    <w:rsid w:val="00F72FC8"/>
    <w:pPr>
      <w:spacing w:before="120"/>
    </w:pPr>
    <w:rPr>
      <w:rFonts w:ascii="Arial" w:hAnsi="Arial" w:cs="Arial"/>
      <w:b/>
      <w:bCs/>
      <w:sz w:val="24"/>
      <w:szCs w:val="24"/>
    </w:rPr>
  </w:style>
  <w:style w:type="paragraph" w:styleId="TOC1">
    <w:name w:val="toc 1"/>
    <w:basedOn w:val="Heading1"/>
    <w:next w:val="Normal"/>
    <w:uiPriority w:val="39"/>
    <w:rsid w:val="00F72FC8"/>
    <w:pPr>
      <w:tabs>
        <w:tab w:val="right" w:pos="9000"/>
      </w:tabs>
      <w:spacing w:before="120" w:line="240" w:lineRule="auto"/>
      <w:ind w:left="1474" w:right="867" w:hanging="1474"/>
      <w:outlineLvl w:val="9"/>
    </w:pPr>
    <w:rPr>
      <w:sz w:val="28"/>
    </w:rPr>
  </w:style>
  <w:style w:type="paragraph" w:styleId="TOC2">
    <w:name w:val="toc 2"/>
    <w:basedOn w:val="Heading2"/>
    <w:next w:val="Normal"/>
    <w:uiPriority w:val="39"/>
    <w:rsid w:val="00F72FC8"/>
    <w:pPr>
      <w:tabs>
        <w:tab w:val="right" w:leader="dot" w:pos="7080"/>
      </w:tabs>
      <w:spacing w:before="120" w:line="240" w:lineRule="auto"/>
      <w:ind w:left="600" w:right="868" w:hanging="600"/>
      <w:outlineLvl w:val="9"/>
    </w:pPr>
    <w:rPr>
      <w:rFonts w:ascii="Arial" w:hAnsi="Arial" w:cs="Arial"/>
      <w:noProof/>
      <w:sz w:val="24"/>
    </w:rPr>
  </w:style>
  <w:style w:type="paragraph" w:styleId="TOC3">
    <w:name w:val="toc 3"/>
    <w:basedOn w:val="Heading3"/>
    <w:next w:val="Normal"/>
    <w:uiPriority w:val="39"/>
    <w:rsid w:val="00F72FC8"/>
    <w:pPr>
      <w:tabs>
        <w:tab w:val="right" w:leader="dot" w:pos="7080"/>
        <w:tab w:val="right" w:leader="dot" w:pos="9000"/>
      </w:tabs>
      <w:spacing w:before="80" w:line="240" w:lineRule="auto"/>
      <w:ind w:left="1200" w:right="867" w:hanging="775"/>
      <w:outlineLvl w:val="9"/>
    </w:pPr>
    <w:rPr>
      <w:rFonts w:ascii="Arial" w:hAnsi="Arial" w:cs="Arial"/>
      <w:noProof/>
      <w:sz w:val="18"/>
    </w:rPr>
  </w:style>
  <w:style w:type="paragraph" w:styleId="TOC4">
    <w:name w:val="toc 4"/>
    <w:basedOn w:val="Heading4"/>
    <w:next w:val="Normal"/>
    <w:uiPriority w:val="39"/>
    <w:rsid w:val="00F72FC8"/>
    <w:pPr>
      <w:keepNext w:val="0"/>
      <w:tabs>
        <w:tab w:val="right" w:pos="9000"/>
      </w:tabs>
      <w:spacing w:before="80" w:line="240" w:lineRule="auto"/>
      <w:ind w:left="2183" w:right="867" w:hanging="1332"/>
      <w:outlineLvl w:val="9"/>
    </w:pPr>
    <w:rPr>
      <w:sz w:val="20"/>
    </w:rPr>
  </w:style>
  <w:style w:type="paragraph" w:styleId="TOC5">
    <w:name w:val="toc 5"/>
    <w:basedOn w:val="Heading5"/>
    <w:next w:val="Normal"/>
    <w:uiPriority w:val="39"/>
    <w:rsid w:val="00F72FC8"/>
    <w:pPr>
      <w:keepNext w:val="0"/>
      <w:tabs>
        <w:tab w:val="right" w:leader="dot" w:pos="9000"/>
      </w:tabs>
      <w:spacing w:before="40" w:line="240" w:lineRule="auto"/>
      <w:ind w:left="2280" w:right="867" w:hanging="862"/>
      <w:outlineLvl w:val="9"/>
    </w:pPr>
    <w:rPr>
      <w:b w:val="0"/>
      <w:sz w:val="18"/>
    </w:rPr>
  </w:style>
  <w:style w:type="paragraph" w:styleId="TOC6">
    <w:name w:val="toc 6"/>
    <w:basedOn w:val="TOC1"/>
    <w:next w:val="Normal"/>
    <w:rsid w:val="00F72FC8"/>
    <w:pPr>
      <w:keepNext w:val="0"/>
      <w:ind w:left="1344" w:hanging="1344"/>
    </w:pPr>
    <w:rPr>
      <w:sz w:val="24"/>
    </w:rPr>
  </w:style>
  <w:style w:type="paragraph" w:styleId="TOC7">
    <w:name w:val="toc 7"/>
    <w:basedOn w:val="TOC2"/>
    <w:next w:val="Normal"/>
    <w:rsid w:val="00F72FC8"/>
    <w:pPr>
      <w:keepNext w:val="0"/>
      <w:ind w:left="1253" w:right="867" w:hanging="828"/>
    </w:pPr>
    <w:rPr>
      <w:b w:val="0"/>
    </w:rPr>
  </w:style>
  <w:style w:type="paragraph" w:styleId="TOC8">
    <w:name w:val="toc 8"/>
    <w:basedOn w:val="TOC3"/>
    <w:next w:val="Normal"/>
    <w:rsid w:val="00F72FC8"/>
    <w:pPr>
      <w:keepNext w:val="0"/>
      <w:tabs>
        <w:tab w:val="right" w:pos="9000"/>
      </w:tabs>
      <w:ind w:left="1900" w:hanging="1049"/>
    </w:pPr>
    <w:rPr>
      <w:b w:val="0"/>
      <w:sz w:val="20"/>
    </w:rPr>
  </w:style>
  <w:style w:type="paragraph" w:styleId="TOC9">
    <w:name w:val="toc 9"/>
    <w:basedOn w:val="Heading9"/>
    <w:next w:val="Normal"/>
    <w:rsid w:val="00F72FC8"/>
    <w:pPr>
      <w:tabs>
        <w:tab w:val="right" w:pos="9000"/>
      </w:tabs>
      <w:spacing w:before="80" w:line="240" w:lineRule="auto"/>
      <w:ind w:left="851" w:right="867" w:firstLine="0"/>
      <w:outlineLvl w:val="9"/>
    </w:pPr>
    <w:rPr>
      <w:b w:val="0"/>
      <w:sz w:val="20"/>
    </w:rPr>
  </w:style>
  <w:style w:type="character" w:styleId="CommentReference">
    <w:name w:val="annotation reference"/>
    <w:basedOn w:val="DefaultParagraphFont"/>
    <w:rsid w:val="00F72FC8"/>
    <w:rPr>
      <w:sz w:val="16"/>
      <w:szCs w:val="16"/>
    </w:rPr>
  </w:style>
  <w:style w:type="paragraph" w:styleId="CommentSubject">
    <w:name w:val="annotation subject"/>
    <w:basedOn w:val="TOC6"/>
    <w:next w:val="CommentText"/>
    <w:rsid w:val="00F72FC8"/>
    <w:pPr>
      <w:ind w:left="0"/>
    </w:pPr>
    <w:rPr>
      <w:b w:val="0"/>
      <w:bCs w:val="0"/>
      <w:sz w:val="20"/>
    </w:rPr>
  </w:style>
  <w:style w:type="character" w:styleId="Emphasis">
    <w:name w:val="Emphasis"/>
    <w:basedOn w:val="DefaultParagraphFont"/>
    <w:qFormat/>
    <w:rsid w:val="00F72FC8"/>
    <w:rPr>
      <w:i/>
      <w:iCs/>
    </w:rPr>
  </w:style>
  <w:style w:type="character" w:styleId="EndnoteReference">
    <w:name w:val="endnote reference"/>
    <w:basedOn w:val="DefaultParagraphFont"/>
    <w:rsid w:val="00F72FC8"/>
    <w:rPr>
      <w:vertAlign w:val="superscript"/>
    </w:rPr>
  </w:style>
  <w:style w:type="character" w:styleId="FollowedHyperlink">
    <w:name w:val="FollowedHyperlink"/>
    <w:basedOn w:val="DefaultParagraphFont"/>
    <w:rsid w:val="00F72FC8"/>
    <w:rPr>
      <w:color w:val="800080"/>
      <w:u w:val="single"/>
    </w:rPr>
  </w:style>
  <w:style w:type="character" w:styleId="FootnoteReference">
    <w:name w:val="footnote reference"/>
    <w:basedOn w:val="DefaultParagraphFont"/>
    <w:uiPriority w:val="99"/>
    <w:rsid w:val="00F72FC8"/>
    <w:rPr>
      <w:vertAlign w:val="superscript"/>
    </w:rPr>
  </w:style>
  <w:style w:type="character" w:styleId="HTMLAcronym">
    <w:name w:val="HTML Acronym"/>
    <w:basedOn w:val="DefaultParagraphFont"/>
    <w:rsid w:val="00F72FC8"/>
  </w:style>
  <w:style w:type="character" w:styleId="HTMLCite">
    <w:name w:val="HTML Cite"/>
    <w:basedOn w:val="DefaultParagraphFont"/>
    <w:rsid w:val="00F72FC8"/>
    <w:rPr>
      <w:i/>
      <w:iCs/>
    </w:rPr>
  </w:style>
  <w:style w:type="character" w:styleId="HTMLCode">
    <w:name w:val="HTML Code"/>
    <w:basedOn w:val="DefaultParagraphFont"/>
    <w:rsid w:val="00F72FC8"/>
    <w:rPr>
      <w:rFonts w:ascii="Courier New" w:hAnsi="Courier New" w:cs="Courier New"/>
      <w:sz w:val="20"/>
      <w:szCs w:val="20"/>
    </w:rPr>
  </w:style>
  <w:style w:type="character" w:styleId="HTMLDefinition">
    <w:name w:val="HTML Definition"/>
    <w:basedOn w:val="DefaultParagraphFont"/>
    <w:rsid w:val="00F72FC8"/>
    <w:rPr>
      <w:i/>
      <w:iCs/>
    </w:rPr>
  </w:style>
  <w:style w:type="character" w:styleId="HTMLKeyboard">
    <w:name w:val="HTML Keyboard"/>
    <w:basedOn w:val="HTMLDefinition"/>
    <w:rsid w:val="00F72FC8"/>
    <w:rPr>
      <w:rFonts w:ascii="Courier New" w:hAnsi="Courier New" w:cs="Courier New"/>
      <w:i/>
      <w:iCs/>
      <w:sz w:val="20"/>
      <w:szCs w:val="20"/>
    </w:rPr>
  </w:style>
  <w:style w:type="character" w:styleId="HTMLSample">
    <w:name w:val="HTML Sample"/>
    <w:basedOn w:val="HTMLDefinition"/>
    <w:rsid w:val="00F72FC8"/>
    <w:rPr>
      <w:rFonts w:ascii="Courier New" w:hAnsi="Courier New" w:cs="Courier New"/>
      <w:i/>
      <w:iCs/>
    </w:rPr>
  </w:style>
  <w:style w:type="character" w:styleId="HTMLTypewriter">
    <w:name w:val="HTML Typewriter"/>
    <w:basedOn w:val="HTMLDefinition"/>
    <w:rsid w:val="00F72FC8"/>
    <w:rPr>
      <w:rFonts w:ascii="Courier New" w:hAnsi="Courier New" w:cs="Courier New"/>
      <w:i/>
      <w:iCs/>
      <w:sz w:val="20"/>
      <w:szCs w:val="20"/>
    </w:rPr>
  </w:style>
  <w:style w:type="character" w:styleId="HTMLVariable">
    <w:name w:val="HTML Variable"/>
    <w:basedOn w:val="HTMLDefinition"/>
    <w:rsid w:val="00F72FC8"/>
    <w:rPr>
      <w:i/>
      <w:iCs/>
    </w:rPr>
  </w:style>
  <w:style w:type="character" w:styleId="Hyperlink">
    <w:name w:val="Hyperlink"/>
    <w:rsid w:val="00F72FC8"/>
    <w:rPr>
      <w:color w:val="0000FF"/>
      <w:u w:val="single"/>
    </w:rPr>
  </w:style>
  <w:style w:type="character" w:styleId="LineNumber">
    <w:name w:val="line number"/>
    <w:basedOn w:val="DefaultParagraphFont"/>
    <w:rsid w:val="00F72FC8"/>
    <w:rPr>
      <w:sz w:val="16"/>
    </w:rPr>
  </w:style>
  <w:style w:type="paragraph" w:styleId="MacroText">
    <w:name w:val="macro"/>
    <w:rsid w:val="00F72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PageNumber">
    <w:name w:val="page number"/>
    <w:basedOn w:val="DefaultParagraphFont"/>
    <w:rsid w:val="00F72FC8"/>
  </w:style>
  <w:style w:type="character" w:styleId="Strong">
    <w:name w:val="Strong"/>
    <w:basedOn w:val="HTMLDefinition"/>
    <w:qFormat/>
    <w:rsid w:val="00F72FC8"/>
    <w:rPr>
      <w:b/>
      <w:bCs/>
      <w:i/>
      <w:iCs/>
    </w:rPr>
  </w:style>
  <w:style w:type="paragraph" w:customStyle="1" w:styleId="BodySubPara">
    <w:name w:val="BodySubPara"/>
    <w:aliases w:val="bi"/>
    <w:basedOn w:val="Body"/>
    <w:rsid w:val="00893AED"/>
  </w:style>
  <w:style w:type="paragraph" w:customStyle="1" w:styleId="ShortT">
    <w:name w:val="ShortT"/>
    <w:next w:val="Normal"/>
    <w:rsid w:val="00F72FC8"/>
    <w:rPr>
      <w:b/>
      <w:sz w:val="40"/>
      <w:szCs w:val="24"/>
    </w:rPr>
  </w:style>
  <w:style w:type="paragraph" w:customStyle="1" w:styleId="Actno">
    <w:name w:val="Actno"/>
    <w:basedOn w:val="ShortT"/>
    <w:next w:val="Normal"/>
    <w:rsid w:val="00F72FC8"/>
  </w:style>
  <w:style w:type="paragraph" w:customStyle="1" w:styleId="BoxText">
    <w:name w:val="BoxText"/>
    <w:aliases w:val="bt"/>
    <w:rsid w:val="00F72FC8"/>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F72FC8"/>
    <w:rPr>
      <w:b/>
    </w:rPr>
  </w:style>
  <w:style w:type="paragraph" w:customStyle="1" w:styleId="BoxHeadItalic">
    <w:name w:val="BoxHeadItalic"/>
    <w:aliases w:val="bhi"/>
    <w:basedOn w:val="BoxHeadBold"/>
    <w:next w:val="BoxStep"/>
    <w:rsid w:val="00F72FC8"/>
    <w:pPr>
      <w:spacing w:line="260" w:lineRule="atLeast"/>
    </w:pPr>
    <w:rPr>
      <w:b w:val="0"/>
      <w:i/>
    </w:rPr>
  </w:style>
  <w:style w:type="paragraph" w:customStyle="1" w:styleId="BoxList">
    <w:name w:val="BoxList"/>
    <w:aliases w:val="bl"/>
    <w:basedOn w:val="BoxText"/>
    <w:rsid w:val="00F72FC8"/>
    <w:pPr>
      <w:ind w:left="1559" w:hanging="425"/>
    </w:pPr>
  </w:style>
  <w:style w:type="paragraph" w:customStyle="1" w:styleId="BoxNote">
    <w:name w:val="BoxNote"/>
    <w:aliases w:val="bn"/>
    <w:basedOn w:val="BoxText"/>
    <w:rsid w:val="00F72FC8"/>
    <w:pPr>
      <w:tabs>
        <w:tab w:val="left" w:pos="1985"/>
      </w:tabs>
      <w:spacing w:before="122" w:line="198" w:lineRule="exact"/>
      <w:ind w:left="2948" w:hanging="1814"/>
    </w:pPr>
    <w:rPr>
      <w:sz w:val="18"/>
    </w:rPr>
  </w:style>
  <w:style w:type="paragraph" w:customStyle="1" w:styleId="BoxPara">
    <w:name w:val="BoxPara"/>
    <w:aliases w:val="bp"/>
    <w:basedOn w:val="BoxText"/>
    <w:rsid w:val="00F72FC8"/>
    <w:pPr>
      <w:tabs>
        <w:tab w:val="right" w:pos="2268"/>
      </w:tabs>
      <w:ind w:left="2552" w:hanging="1418"/>
    </w:pPr>
  </w:style>
  <w:style w:type="paragraph" w:customStyle="1" w:styleId="BoxStep">
    <w:name w:val="BoxStep"/>
    <w:aliases w:val="bs"/>
    <w:basedOn w:val="BoxText"/>
    <w:rsid w:val="00F72FC8"/>
    <w:pPr>
      <w:ind w:left="1985" w:hanging="851"/>
    </w:pPr>
  </w:style>
  <w:style w:type="character" w:customStyle="1" w:styleId="CharAmPartNo">
    <w:name w:val="CharAmPartNo"/>
    <w:basedOn w:val="DefaultParagraphFont"/>
    <w:rsid w:val="00F72FC8"/>
  </w:style>
  <w:style w:type="character" w:customStyle="1" w:styleId="CharAmPartText">
    <w:name w:val="CharAmPartText"/>
    <w:basedOn w:val="DefaultParagraphFont"/>
    <w:rsid w:val="00F72FC8"/>
  </w:style>
  <w:style w:type="character" w:customStyle="1" w:styleId="CharAmSchNo">
    <w:name w:val="CharAmSchNo"/>
    <w:basedOn w:val="DefaultParagraphFont"/>
    <w:rsid w:val="00F72FC8"/>
  </w:style>
  <w:style w:type="character" w:customStyle="1" w:styleId="CharAmSchText">
    <w:name w:val="CharAmSchText"/>
    <w:basedOn w:val="DefaultParagraphFont"/>
    <w:rsid w:val="00F72FC8"/>
  </w:style>
  <w:style w:type="character" w:customStyle="1" w:styleId="CharChapNo">
    <w:name w:val="CharChapNo"/>
    <w:basedOn w:val="DefaultParagraphFont"/>
    <w:rsid w:val="00F72FC8"/>
  </w:style>
  <w:style w:type="character" w:customStyle="1" w:styleId="CharChapText">
    <w:name w:val="CharChapText"/>
    <w:basedOn w:val="DefaultParagraphFont"/>
    <w:rsid w:val="00F72FC8"/>
  </w:style>
  <w:style w:type="character" w:customStyle="1" w:styleId="CharDivNo">
    <w:name w:val="CharDivNo"/>
    <w:basedOn w:val="DefaultParagraphFont"/>
    <w:rsid w:val="00F72FC8"/>
  </w:style>
  <w:style w:type="character" w:customStyle="1" w:styleId="CharDivText">
    <w:name w:val="CharDivText"/>
    <w:basedOn w:val="DefaultParagraphFont"/>
    <w:rsid w:val="00F72FC8"/>
  </w:style>
  <w:style w:type="character" w:customStyle="1" w:styleId="CharPartNo">
    <w:name w:val="CharPartNo"/>
    <w:basedOn w:val="DefaultParagraphFont"/>
    <w:rsid w:val="00F72FC8"/>
  </w:style>
  <w:style w:type="character" w:customStyle="1" w:styleId="CharPartText">
    <w:name w:val="CharPartText"/>
    <w:basedOn w:val="DefaultParagraphFont"/>
    <w:rsid w:val="00F72FC8"/>
  </w:style>
  <w:style w:type="character" w:customStyle="1" w:styleId="CharSectno">
    <w:name w:val="CharSectno"/>
    <w:basedOn w:val="DefaultParagraphFont"/>
    <w:rsid w:val="00F72FC8"/>
  </w:style>
  <w:style w:type="character" w:customStyle="1" w:styleId="CharSubdNo">
    <w:name w:val="CharSubdNo"/>
    <w:basedOn w:val="DefaultParagraphFont"/>
    <w:rsid w:val="00F72FC8"/>
  </w:style>
  <w:style w:type="character" w:customStyle="1" w:styleId="CharSubdText">
    <w:name w:val="CharSubdText"/>
    <w:basedOn w:val="DefaultParagraphFont"/>
    <w:rsid w:val="00F72FC8"/>
  </w:style>
  <w:style w:type="paragraph" w:customStyle="1" w:styleId="subsection">
    <w:name w:val="subsection"/>
    <w:aliases w:val="ss"/>
    <w:rsid w:val="00F72FC8"/>
    <w:pPr>
      <w:tabs>
        <w:tab w:val="right" w:pos="1021"/>
      </w:tabs>
      <w:spacing w:before="180"/>
      <w:ind w:left="1134" w:hanging="1134"/>
    </w:pPr>
    <w:rPr>
      <w:sz w:val="22"/>
      <w:szCs w:val="24"/>
    </w:rPr>
  </w:style>
  <w:style w:type="paragraph" w:customStyle="1" w:styleId="Definition">
    <w:name w:val="Definition"/>
    <w:aliases w:val="dd"/>
    <w:basedOn w:val="subsection"/>
    <w:rsid w:val="00F72FC8"/>
    <w:pPr>
      <w:tabs>
        <w:tab w:val="clear" w:pos="1021"/>
      </w:tabs>
      <w:ind w:firstLine="0"/>
    </w:pPr>
  </w:style>
  <w:style w:type="paragraph" w:customStyle="1" w:styleId="Formula">
    <w:name w:val="Formula"/>
    <w:rsid w:val="00F72FC8"/>
    <w:pPr>
      <w:ind w:left="1134"/>
    </w:pPr>
    <w:rPr>
      <w:szCs w:val="24"/>
    </w:rPr>
  </w:style>
  <w:style w:type="paragraph" w:customStyle="1" w:styleId="House">
    <w:name w:val="House"/>
    <w:rsid w:val="00F72FC8"/>
    <w:rPr>
      <w:sz w:val="28"/>
      <w:szCs w:val="24"/>
    </w:rPr>
  </w:style>
  <w:style w:type="paragraph" w:customStyle="1" w:styleId="Item">
    <w:name w:val="Item"/>
    <w:aliases w:val="i"/>
    <w:basedOn w:val="subsection"/>
    <w:next w:val="Normal"/>
    <w:rsid w:val="00F72FC8"/>
    <w:pPr>
      <w:keepLines/>
      <w:tabs>
        <w:tab w:val="clear" w:pos="1021"/>
      </w:tabs>
      <w:spacing w:before="80"/>
      <w:ind w:left="709" w:firstLine="0"/>
    </w:pPr>
  </w:style>
  <w:style w:type="paragraph" w:customStyle="1" w:styleId="ItemHead">
    <w:name w:val="ItemHead"/>
    <w:aliases w:val="ih"/>
    <w:basedOn w:val="Heading1"/>
    <w:next w:val="Item"/>
    <w:rsid w:val="00F72FC8"/>
    <w:pPr>
      <w:keepNext w:val="0"/>
      <w:spacing w:before="220"/>
      <w:ind w:left="709" w:hanging="709"/>
      <w:outlineLvl w:val="9"/>
    </w:pPr>
    <w:rPr>
      <w:rFonts w:ascii="Arial" w:hAnsi="Arial" w:cs="Arial"/>
      <w:sz w:val="24"/>
    </w:rPr>
  </w:style>
  <w:style w:type="paragraph" w:customStyle="1" w:styleId="LongT">
    <w:name w:val="LongT"/>
    <w:rsid w:val="00F72FC8"/>
    <w:rPr>
      <w:b/>
      <w:sz w:val="32"/>
      <w:szCs w:val="24"/>
    </w:rPr>
  </w:style>
  <w:style w:type="paragraph" w:customStyle="1" w:styleId="notedraft">
    <w:name w:val="note(draft)"/>
    <w:aliases w:val="nd"/>
    <w:rsid w:val="00F72FC8"/>
    <w:pPr>
      <w:spacing w:before="240"/>
      <w:ind w:left="284" w:hanging="284"/>
    </w:pPr>
    <w:rPr>
      <w:i/>
      <w:sz w:val="24"/>
      <w:szCs w:val="24"/>
    </w:rPr>
  </w:style>
  <w:style w:type="paragraph" w:customStyle="1" w:styleId="notetext">
    <w:name w:val="note(text)"/>
    <w:aliases w:val="n"/>
    <w:rsid w:val="00F72FC8"/>
    <w:pPr>
      <w:spacing w:before="122" w:line="198" w:lineRule="exact"/>
      <w:ind w:left="1985" w:hanging="851"/>
    </w:pPr>
    <w:rPr>
      <w:sz w:val="18"/>
      <w:szCs w:val="24"/>
    </w:rPr>
  </w:style>
  <w:style w:type="paragraph" w:customStyle="1" w:styleId="notemargin">
    <w:name w:val="note(margin)"/>
    <w:aliases w:val="nm"/>
    <w:basedOn w:val="notetext"/>
    <w:rsid w:val="00F72FC8"/>
    <w:pPr>
      <w:tabs>
        <w:tab w:val="left" w:pos="709"/>
      </w:tabs>
      <w:ind w:left="709" w:hanging="709"/>
    </w:pPr>
  </w:style>
  <w:style w:type="paragraph" w:customStyle="1" w:styleId="notepara">
    <w:name w:val="note(para)"/>
    <w:aliases w:val="na"/>
    <w:basedOn w:val="notetext"/>
    <w:rsid w:val="00F72FC8"/>
    <w:pPr>
      <w:ind w:left="2353" w:hanging="709"/>
    </w:pPr>
  </w:style>
  <w:style w:type="paragraph" w:customStyle="1" w:styleId="noteParlAmend">
    <w:name w:val="note(ParlAmend)"/>
    <w:aliases w:val="npp"/>
    <w:next w:val="Normal"/>
    <w:rsid w:val="00F72FC8"/>
    <w:pPr>
      <w:jc w:val="right"/>
    </w:pPr>
    <w:rPr>
      <w:rFonts w:ascii="Arial" w:hAnsi="Arial" w:cs="Arial"/>
      <w:b/>
      <w:i/>
      <w:sz w:val="22"/>
      <w:szCs w:val="24"/>
    </w:rPr>
  </w:style>
  <w:style w:type="paragraph" w:customStyle="1" w:styleId="Page1">
    <w:name w:val="Page1"/>
    <w:rsid w:val="00F72FC8"/>
    <w:pPr>
      <w:spacing w:before="5600"/>
    </w:pPr>
    <w:rPr>
      <w:b/>
      <w:sz w:val="32"/>
      <w:szCs w:val="24"/>
    </w:rPr>
  </w:style>
  <w:style w:type="paragraph" w:customStyle="1" w:styleId="PageBreak">
    <w:name w:val="PageBreak"/>
    <w:aliases w:val="pb"/>
    <w:next w:val="Heading2"/>
    <w:rsid w:val="00F72FC8"/>
    <w:rPr>
      <w:sz w:val="10"/>
      <w:szCs w:val="24"/>
    </w:rPr>
  </w:style>
  <w:style w:type="paragraph" w:customStyle="1" w:styleId="parabullet">
    <w:name w:val="para bullet"/>
    <w:rsid w:val="00F72FC8"/>
    <w:pPr>
      <w:spacing w:before="240" w:line="260" w:lineRule="atLeast"/>
      <w:ind w:left="1843" w:hanging="284"/>
    </w:pPr>
    <w:rPr>
      <w:sz w:val="22"/>
      <w:szCs w:val="24"/>
    </w:rPr>
  </w:style>
  <w:style w:type="paragraph" w:customStyle="1" w:styleId="paragraph">
    <w:name w:val="paragraph"/>
    <w:aliases w:val="a"/>
    <w:rsid w:val="00F72FC8"/>
    <w:pPr>
      <w:tabs>
        <w:tab w:val="right" w:pos="1531"/>
      </w:tabs>
      <w:spacing w:before="40"/>
      <w:ind w:left="1644" w:hanging="1644"/>
    </w:pPr>
    <w:rPr>
      <w:sz w:val="22"/>
      <w:szCs w:val="24"/>
    </w:rPr>
  </w:style>
  <w:style w:type="paragraph" w:customStyle="1" w:styleId="paragraphsub">
    <w:name w:val="paragraph(sub)"/>
    <w:aliases w:val="aa"/>
    <w:basedOn w:val="paragraph"/>
    <w:rsid w:val="00F72FC8"/>
    <w:pPr>
      <w:tabs>
        <w:tab w:val="clear" w:pos="1531"/>
        <w:tab w:val="right" w:pos="1985"/>
      </w:tabs>
      <w:ind w:left="2098" w:hanging="2098"/>
    </w:pPr>
  </w:style>
  <w:style w:type="paragraph" w:customStyle="1" w:styleId="paragraphsub-sub">
    <w:name w:val="paragraph(sub-sub)"/>
    <w:aliases w:val="aaa"/>
    <w:basedOn w:val="paragraph"/>
    <w:rsid w:val="00F72FC8"/>
    <w:pPr>
      <w:tabs>
        <w:tab w:val="clear" w:pos="1531"/>
        <w:tab w:val="right" w:pos="2722"/>
      </w:tabs>
      <w:ind w:left="2835" w:hanging="2835"/>
    </w:pPr>
  </w:style>
  <w:style w:type="paragraph" w:customStyle="1" w:styleId="ParlAmend">
    <w:name w:val="ParlAmend"/>
    <w:aliases w:val="pp"/>
    <w:rsid w:val="00F72FC8"/>
    <w:pPr>
      <w:spacing w:before="240" w:line="240" w:lineRule="atLeast"/>
      <w:ind w:hanging="567"/>
    </w:pPr>
    <w:rPr>
      <w:sz w:val="24"/>
      <w:szCs w:val="24"/>
    </w:rPr>
  </w:style>
  <w:style w:type="paragraph" w:customStyle="1" w:styleId="Penalty">
    <w:name w:val="Penalty"/>
    <w:rsid w:val="00F72FC8"/>
    <w:pPr>
      <w:tabs>
        <w:tab w:val="left" w:pos="2977"/>
      </w:tabs>
      <w:spacing w:before="180"/>
      <w:ind w:left="1985" w:hanging="851"/>
    </w:pPr>
    <w:rPr>
      <w:sz w:val="22"/>
      <w:szCs w:val="24"/>
    </w:rPr>
  </w:style>
  <w:style w:type="paragraph" w:customStyle="1" w:styleId="Portfolio">
    <w:name w:val="Portfolio"/>
    <w:rsid w:val="00F72FC8"/>
    <w:rPr>
      <w:i/>
      <w:szCs w:val="24"/>
    </w:rPr>
  </w:style>
  <w:style w:type="paragraph" w:customStyle="1" w:styleId="Preamble">
    <w:name w:val="Preamble"/>
    <w:basedOn w:val="Heading5"/>
    <w:next w:val="Normal"/>
    <w:rsid w:val="00F72FC8"/>
    <w:pPr>
      <w:tabs>
        <w:tab w:val="center" w:pos="4513"/>
      </w:tabs>
      <w:outlineLvl w:val="9"/>
    </w:pPr>
    <w:rPr>
      <w:sz w:val="28"/>
    </w:rPr>
  </w:style>
  <w:style w:type="paragraph" w:customStyle="1" w:styleId="Reading">
    <w:name w:val="Reading"/>
    <w:rsid w:val="00F72FC8"/>
    <w:rPr>
      <w:i/>
      <w:szCs w:val="24"/>
    </w:rPr>
  </w:style>
  <w:style w:type="paragraph" w:customStyle="1" w:styleId="Session">
    <w:name w:val="Session"/>
    <w:rsid w:val="00F72FC8"/>
    <w:rPr>
      <w:sz w:val="28"/>
      <w:szCs w:val="24"/>
    </w:rPr>
  </w:style>
  <w:style w:type="paragraph" w:customStyle="1" w:styleId="Sponsor">
    <w:name w:val="Sponsor"/>
    <w:rsid w:val="00F72FC8"/>
    <w:rPr>
      <w:i/>
      <w:sz w:val="24"/>
      <w:szCs w:val="24"/>
    </w:rPr>
  </w:style>
  <w:style w:type="paragraph" w:customStyle="1" w:styleId="Subitem">
    <w:name w:val="Subitem"/>
    <w:aliases w:val="iss"/>
    <w:rsid w:val="00F72FC8"/>
    <w:pPr>
      <w:spacing w:before="180"/>
      <w:ind w:left="709" w:hanging="709"/>
    </w:pPr>
    <w:rPr>
      <w:sz w:val="22"/>
      <w:szCs w:val="24"/>
    </w:rPr>
  </w:style>
  <w:style w:type="paragraph" w:customStyle="1" w:styleId="SubitemHead">
    <w:name w:val="SubitemHead"/>
    <w:aliases w:val="issh"/>
    <w:next w:val="Subitem"/>
    <w:rsid w:val="00F72FC8"/>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F72FC8"/>
    <w:pPr>
      <w:tabs>
        <w:tab w:val="clear" w:pos="1021"/>
      </w:tabs>
      <w:spacing w:before="40"/>
      <w:ind w:firstLine="0"/>
    </w:pPr>
  </w:style>
  <w:style w:type="paragraph" w:customStyle="1" w:styleId="SubsectionHead">
    <w:name w:val="SubsectionHead"/>
    <w:aliases w:val="ssh"/>
    <w:basedOn w:val="subsection"/>
    <w:next w:val="subsection"/>
    <w:rsid w:val="00F72FC8"/>
    <w:pPr>
      <w:keepNext/>
      <w:keepLines/>
      <w:tabs>
        <w:tab w:val="clear" w:pos="1021"/>
      </w:tabs>
      <w:spacing w:before="240"/>
      <w:ind w:firstLine="0"/>
    </w:pPr>
    <w:rPr>
      <w:i/>
    </w:rPr>
  </w:style>
  <w:style w:type="paragraph" w:customStyle="1" w:styleId="Tablea">
    <w:name w:val="Table(a)"/>
    <w:aliases w:val="ta"/>
    <w:rsid w:val="00F72FC8"/>
    <w:pPr>
      <w:spacing w:before="60"/>
      <w:ind w:left="284" w:hanging="284"/>
    </w:pPr>
    <w:rPr>
      <w:szCs w:val="24"/>
    </w:rPr>
  </w:style>
  <w:style w:type="paragraph" w:customStyle="1" w:styleId="Tablei">
    <w:name w:val="Table(i)"/>
    <w:aliases w:val="taa"/>
    <w:rsid w:val="00F72FC8"/>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F72FC8"/>
    <w:pPr>
      <w:tabs>
        <w:tab w:val="clear" w:pos="970"/>
      </w:tabs>
      <w:ind w:left="1055"/>
    </w:pPr>
  </w:style>
  <w:style w:type="paragraph" w:customStyle="1" w:styleId="TLPBoxTextnote">
    <w:name w:val="TLPBoxText(note"/>
    <w:aliases w:val="right)"/>
    <w:rsid w:val="00F72FC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F72FC8"/>
    <w:pPr>
      <w:keepLines w:val="0"/>
      <w:spacing w:before="360"/>
      <w:ind w:firstLine="0"/>
      <w:outlineLvl w:val="9"/>
    </w:pPr>
    <w:rPr>
      <w:b w:val="0"/>
      <w:kern w:val="0"/>
      <w:sz w:val="20"/>
    </w:rPr>
  </w:style>
  <w:style w:type="paragraph" w:customStyle="1" w:styleId="TLPNotebullet">
    <w:name w:val="TLPNote(bullet)"/>
    <w:rsid w:val="00893AED"/>
    <w:pPr>
      <w:spacing w:before="60" w:line="198" w:lineRule="exact"/>
    </w:pPr>
    <w:rPr>
      <w:sz w:val="18"/>
    </w:rPr>
  </w:style>
  <w:style w:type="paragraph" w:customStyle="1" w:styleId="TLPnoteright">
    <w:name w:val="TLPnote(right)"/>
    <w:aliases w:val="nr"/>
    <w:rsid w:val="00F72FC8"/>
    <w:pPr>
      <w:spacing w:before="122" w:line="198" w:lineRule="exact"/>
      <w:ind w:left="1985" w:hanging="851"/>
      <w:jc w:val="right"/>
    </w:pPr>
    <w:rPr>
      <w:sz w:val="18"/>
      <w:szCs w:val="24"/>
    </w:rPr>
  </w:style>
  <w:style w:type="paragraph" w:customStyle="1" w:styleId="TLPTableBullet">
    <w:name w:val="TLPTableBullet"/>
    <w:aliases w:val="ttb"/>
    <w:rsid w:val="00F72FC8"/>
    <w:pPr>
      <w:spacing w:line="240" w:lineRule="exact"/>
      <w:ind w:left="284" w:hanging="284"/>
    </w:pPr>
    <w:rPr>
      <w:szCs w:val="24"/>
    </w:rPr>
  </w:style>
  <w:style w:type="paragraph" w:customStyle="1" w:styleId="TofSectsGroupHeading">
    <w:name w:val="TofSects(GroupHeading)"/>
    <w:basedOn w:val="TOC4"/>
    <w:next w:val="Normal"/>
    <w:rsid w:val="00F72FC8"/>
    <w:pPr>
      <w:spacing w:before="240" w:after="120"/>
      <w:ind w:left="794"/>
    </w:pPr>
  </w:style>
  <w:style w:type="paragraph" w:customStyle="1" w:styleId="TofSectsHeading">
    <w:name w:val="TofSects(Heading)"/>
    <w:basedOn w:val="TOC5"/>
    <w:next w:val="Normal"/>
    <w:rsid w:val="00F72FC8"/>
    <w:pPr>
      <w:spacing w:before="240" w:after="120"/>
      <w:ind w:left="0"/>
    </w:pPr>
    <w:rPr>
      <w:b/>
    </w:rPr>
  </w:style>
  <w:style w:type="paragraph" w:customStyle="1" w:styleId="TofSectsSection">
    <w:name w:val="TofSects(Section)"/>
    <w:basedOn w:val="TOC5"/>
    <w:rsid w:val="00F72FC8"/>
    <w:pPr>
      <w:ind w:left="1588" w:hanging="794"/>
    </w:pPr>
  </w:style>
  <w:style w:type="paragraph" w:customStyle="1" w:styleId="TofSectsSubdiv">
    <w:name w:val="TofSects(Subdiv)"/>
    <w:basedOn w:val="TOC4"/>
    <w:rsid w:val="00F72FC8"/>
    <w:pPr>
      <w:ind w:left="1588" w:hanging="794"/>
    </w:pPr>
    <w:rPr>
      <w:b w:val="0"/>
      <w:sz w:val="22"/>
    </w:rPr>
  </w:style>
  <w:style w:type="paragraph" w:customStyle="1" w:styleId="ActHead1">
    <w:name w:val="ActHead 1"/>
    <w:aliases w:val="c"/>
    <w:next w:val="Normal"/>
    <w:rsid w:val="00F72FC8"/>
    <w:pPr>
      <w:keepNext/>
      <w:keepLines/>
      <w:ind w:left="1134" w:hanging="1134"/>
      <w:outlineLvl w:val="0"/>
    </w:pPr>
    <w:rPr>
      <w:b/>
      <w:bCs/>
      <w:kern w:val="28"/>
      <w:sz w:val="36"/>
      <w:szCs w:val="32"/>
    </w:rPr>
  </w:style>
  <w:style w:type="paragraph" w:customStyle="1" w:styleId="ActHead2">
    <w:name w:val="ActHead 2"/>
    <w:aliases w:val="p"/>
    <w:basedOn w:val="ActHead1"/>
    <w:next w:val="Normal"/>
    <w:rsid w:val="00F72FC8"/>
    <w:pPr>
      <w:spacing w:before="280"/>
      <w:outlineLvl w:val="1"/>
    </w:pPr>
    <w:rPr>
      <w:sz w:val="32"/>
    </w:rPr>
  </w:style>
  <w:style w:type="paragraph" w:customStyle="1" w:styleId="ActHead3">
    <w:name w:val="ActHead 3"/>
    <w:aliases w:val="d"/>
    <w:basedOn w:val="ActHead1"/>
    <w:next w:val="Normal"/>
    <w:rsid w:val="00F72FC8"/>
    <w:pPr>
      <w:spacing w:before="240"/>
      <w:outlineLvl w:val="2"/>
    </w:pPr>
    <w:rPr>
      <w:sz w:val="28"/>
    </w:rPr>
  </w:style>
  <w:style w:type="paragraph" w:customStyle="1" w:styleId="ActHead4">
    <w:name w:val="ActHead 4"/>
    <w:aliases w:val="sd"/>
    <w:basedOn w:val="ActHead1"/>
    <w:next w:val="Normal"/>
    <w:rsid w:val="00F72FC8"/>
    <w:pPr>
      <w:spacing w:before="220"/>
      <w:outlineLvl w:val="3"/>
    </w:pPr>
    <w:rPr>
      <w:sz w:val="26"/>
    </w:rPr>
  </w:style>
  <w:style w:type="paragraph" w:customStyle="1" w:styleId="ActHead5">
    <w:name w:val="ActHead 5"/>
    <w:aliases w:val="s"/>
    <w:basedOn w:val="ActHead1"/>
    <w:next w:val="subsection"/>
    <w:rsid w:val="00F72FC8"/>
    <w:pPr>
      <w:spacing w:before="280"/>
      <w:outlineLvl w:val="4"/>
    </w:pPr>
    <w:rPr>
      <w:sz w:val="24"/>
    </w:rPr>
  </w:style>
  <w:style w:type="paragraph" w:customStyle="1" w:styleId="ActHead6">
    <w:name w:val="ActHead 6"/>
    <w:aliases w:val="as"/>
    <w:basedOn w:val="ActHead1"/>
    <w:next w:val="Normal"/>
    <w:rsid w:val="00F72FC8"/>
    <w:pPr>
      <w:outlineLvl w:val="5"/>
    </w:pPr>
    <w:rPr>
      <w:rFonts w:ascii="Arial" w:hAnsi="Arial"/>
      <w:sz w:val="32"/>
    </w:rPr>
  </w:style>
  <w:style w:type="paragraph" w:customStyle="1" w:styleId="ActHead7">
    <w:name w:val="ActHead 7"/>
    <w:aliases w:val="ap"/>
    <w:basedOn w:val="ActHead6"/>
    <w:next w:val="ItemHead"/>
    <w:rsid w:val="00F72FC8"/>
    <w:pPr>
      <w:spacing w:before="280"/>
      <w:outlineLvl w:val="6"/>
    </w:pPr>
    <w:rPr>
      <w:sz w:val="28"/>
    </w:rPr>
  </w:style>
  <w:style w:type="paragraph" w:customStyle="1" w:styleId="ActHead8">
    <w:name w:val="ActHead 8"/>
    <w:aliases w:val="ad"/>
    <w:basedOn w:val="ActHead6"/>
    <w:next w:val="Normal"/>
    <w:qFormat/>
    <w:rsid w:val="00F72FC8"/>
    <w:pPr>
      <w:spacing w:before="240"/>
      <w:outlineLvl w:val="7"/>
    </w:pPr>
    <w:rPr>
      <w:sz w:val="26"/>
    </w:rPr>
  </w:style>
  <w:style w:type="paragraph" w:customStyle="1" w:styleId="ActHead9">
    <w:name w:val="ActHead 9"/>
    <w:aliases w:val="aat"/>
    <w:basedOn w:val="ActHead1"/>
    <w:next w:val="ItemHead"/>
    <w:rsid w:val="00F72FC8"/>
    <w:pPr>
      <w:keepNext w:val="0"/>
      <w:spacing w:before="280"/>
      <w:outlineLvl w:val="8"/>
    </w:pPr>
    <w:rPr>
      <w:i/>
      <w:sz w:val="28"/>
    </w:rPr>
  </w:style>
  <w:style w:type="paragraph" w:customStyle="1" w:styleId="AnnRepBodyParaBullet">
    <w:name w:val="AnnRepBodyParaBullet"/>
    <w:aliases w:val="arbpb"/>
    <w:basedOn w:val="BodyParaBullet"/>
    <w:rsid w:val="00F72FC8"/>
    <w:pPr>
      <w:tabs>
        <w:tab w:val="clear" w:pos="2160"/>
        <w:tab w:val="left" w:pos="480"/>
      </w:tabs>
    </w:pPr>
  </w:style>
  <w:style w:type="paragraph" w:customStyle="1" w:styleId="table">
    <w:name w:val="table"/>
    <w:aliases w:val="t,Table"/>
    <w:basedOn w:val="Normal"/>
    <w:rsid w:val="00F72FC8"/>
    <w:pPr>
      <w:spacing w:before="60" w:line="240" w:lineRule="atLeast"/>
    </w:pPr>
    <w:rPr>
      <w:sz w:val="20"/>
      <w:szCs w:val="20"/>
    </w:rPr>
  </w:style>
  <w:style w:type="table" w:styleId="TableSimple1">
    <w:name w:val="Table Simple 1"/>
    <w:basedOn w:val="TableNormal"/>
    <w:rsid w:val="00F72F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59"/>
    <w:rsid w:val="00F72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rsid w:val="00F72FC8"/>
    <w:pPr>
      <w:spacing w:before="100" w:beforeAutospacing="1" w:after="100" w:afterAutospacing="1"/>
    </w:pPr>
  </w:style>
  <w:style w:type="paragraph" w:customStyle="1" w:styleId="AnnualReportBullet">
    <w:name w:val="AnnualReportBullet"/>
    <w:aliases w:val="arb"/>
    <w:basedOn w:val="BodyParaBullet"/>
    <w:link w:val="AnnualReportBulletChar"/>
    <w:rsid w:val="00326C23"/>
    <w:pPr>
      <w:tabs>
        <w:tab w:val="clear" w:pos="2160"/>
      </w:tabs>
      <w:spacing w:before="60"/>
    </w:pPr>
    <w:rPr>
      <w:rFonts w:ascii="Arial" w:hAnsi="Arial"/>
      <w:sz w:val="20"/>
    </w:rPr>
  </w:style>
  <w:style w:type="character" w:customStyle="1" w:styleId="BodyChar">
    <w:name w:val="Body Char"/>
    <w:aliases w:val="b Char"/>
    <w:basedOn w:val="DefaultParagraphFont"/>
    <w:link w:val="Body"/>
    <w:rsid w:val="00F72FC8"/>
    <w:rPr>
      <w:rFonts w:ascii="Arial" w:hAnsi="Arial"/>
      <w:szCs w:val="24"/>
    </w:rPr>
  </w:style>
  <w:style w:type="character" w:customStyle="1" w:styleId="BodyParaBulletChar">
    <w:name w:val="BodyParaBullet Char"/>
    <w:aliases w:val="bpb Char"/>
    <w:basedOn w:val="BodyChar"/>
    <w:link w:val="BodyParaBullet"/>
    <w:rsid w:val="006B567E"/>
    <w:rPr>
      <w:rFonts w:ascii="Arial" w:hAnsi="Arial"/>
      <w:sz w:val="18"/>
      <w:szCs w:val="24"/>
    </w:rPr>
  </w:style>
  <w:style w:type="character" w:customStyle="1" w:styleId="AnnualReportBulletChar">
    <w:name w:val="AnnualReportBullet Char"/>
    <w:aliases w:val="arb Char"/>
    <w:basedOn w:val="BodyParaBulletChar"/>
    <w:link w:val="AnnualReportBullet"/>
    <w:rsid w:val="00326C23"/>
    <w:rPr>
      <w:rFonts w:ascii="Arial" w:hAnsi="Arial"/>
      <w:sz w:val="18"/>
      <w:szCs w:val="24"/>
    </w:rPr>
  </w:style>
  <w:style w:type="paragraph" w:customStyle="1" w:styleId="TableBodyText">
    <w:name w:val="TableBodyText"/>
    <w:basedOn w:val="Normal"/>
    <w:next w:val="Normal"/>
    <w:rsid w:val="00F72FC8"/>
    <w:pPr>
      <w:spacing w:before="20" w:after="20"/>
    </w:pPr>
    <w:rPr>
      <w:rFonts w:ascii="Tahoma" w:hAnsi="Tahoma"/>
      <w:sz w:val="16"/>
      <w:szCs w:val="20"/>
      <w:lang w:val="en-US"/>
    </w:rPr>
  </w:style>
  <w:style w:type="paragraph" w:customStyle="1" w:styleId="TableBodyTextIndented">
    <w:name w:val="TableBodyTextIndented"/>
    <w:basedOn w:val="TableBodyText"/>
    <w:next w:val="TableBodyText"/>
    <w:rsid w:val="00F72FC8"/>
    <w:pPr>
      <w:ind w:left="284"/>
    </w:pPr>
    <w:rPr>
      <w:snapToGrid w:val="0"/>
      <w:lang w:eastAsia="en-US"/>
    </w:rPr>
  </w:style>
  <w:style w:type="paragraph" w:customStyle="1" w:styleId="Tabletexthead">
    <w:name w:val="Tabletexthead"/>
    <w:aliases w:val="tth"/>
    <w:basedOn w:val="Tabletext"/>
    <w:rsid w:val="00F72FC8"/>
    <w:pPr>
      <w:spacing w:before="120" w:after="120" w:line="240" w:lineRule="auto"/>
    </w:pPr>
    <w:rPr>
      <w:b/>
      <w:color w:val="0000FF"/>
      <w:szCs w:val="20"/>
    </w:rPr>
  </w:style>
  <w:style w:type="paragraph" w:customStyle="1" w:styleId="Toc10">
    <w:name w:val="Toc1"/>
    <w:basedOn w:val="TOC1"/>
    <w:rsid w:val="00F72FC8"/>
    <w:pPr>
      <w:keepNext w:val="0"/>
      <w:tabs>
        <w:tab w:val="clear" w:pos="9000"/>
        <w:tab w:val="right" w:pos="7144"/>
      </w:tabs>
      <w:ind w:left="0" w:right="868" w:firstLine="0"/>
    </w:pPr>
    <w:rPr>
      <w:i/>
      <w:noProof/>
      <w:sz w:val="24"/>
    </w:rPr>
  </w:style>
  <w:style w:type="paragraph" w:customStyle="1" w:styleId="font5">
    <w:name w:val="font5"/>
    <w:basedOn w:val="Normal"/>
    <w:rsid w:val="00F72FC8"/>
    <w:pPr>
      <w:spacing w:before="100" w:beforeAutospacing="1" w:after="100" w:afterAutospacing="1"/>
    </w:pPr>
    <w:rPr>
      <w:rFonts w:ascii="Arial" w:eastAsia="Arial Unicode MS" w:hAnsi="Arial" w:cs="Arial"/>
      <w:i/>
      <w:iCs/>
      <w:sz w:val="16"/>
      <w:szCs w:val="16"/>
      <w:lang w:eastAsia="en-US"/>
    </w:rPr>
  </w:style>
  <w:style w:type="paragraph" w:customStyle="1" w:styleId="GeneralCommentaryNumberedText">
    <w:name w:val="General Commentary Numbered Text"/>
    <w:basedOn w:val="Normal"/>
    <w:autoRedefine/>
    <w:rsid w:val="00F72FC8"/>
    <w:pPr>
      <w:tabs>
        <w:tab w:val="left" w:pos="567"/>
      </w:tabs>
      <w:spacing w:before="180" w:after="40" w:line="240" w:lineRule="atLeast"/>
      <w:ind w:right="113"/>
      <w:jc w:val="both"/>
    </w:pPr>
    <w:rPr>
      <w:sz w:val="22"/>
      <w:szCs w:val="20"/>
      <w:lang w:eastAsia="en-US"/>
    </w:rPr>
  </w:style>
  <w:style w:type="paragraph" w:customStyle="1" w:styleId="GeneralCommentaryBullet1">
    <w:name w:val="General Commentary Bullet 1"/>
    <w:basedOn w:val="Normal"/>
    <w:autoRedefine/>
    <w:rsid w:val="00F72FC8"/>
    <w:pPr>
      <w:tabs>
        <w:tab w:val="left" w:pos="851"/>
      </w:tabs>
      <w:spacing w:after="40"/>
      <w:ind w:right="113"/>
      <w:jc w:val="both"/>
    </w:pPr>
    <w:rPr>
      <w:snapToGrid w:val="0"/>
      <w:sz w:val="22"/>
      <w:szCs w:val="20"/>
      <w:lang w:val="en-US" w:eastAsia="en-US"/>
    </w:rPr>
  </w:style>
  <w:style w:type="paragraph" w:customStyle="1" w:styleId="NotesBulletPoint">
    <w:name w:val="Notes Bullet Point"/>
    <w:basedOn w:val="GeneralCommentaryBullet1"/>
    <w:autoRedefine/>
    <w:rsid w:val="00F72FC8"/>
    <w:pPr>
      <w:tabs>
        <w:tab w:val="clear" w:pos="851"/>
        <w:tab w:val="left" w:pos="413"/>
      </w:tabs>
      <w:spacing w:after="0"/>
    </w:pPr>
    <w:rPr>
      <w:sz w:val="20"/>
    </w:rPr>
  </w:style>
  <w:style w:type="paragraph" w:customStyle="1" w:styleId="NoteText0">
    <w:name w:val="Note Text"/>
    <w:basedOn w:val="Normal"/>
    <w:autoRedefine/>
    <w:rsid w:val="00F72FC8"/>
    <w:pPr>
      <w:tabs>
        <w:tab w:val="left" w:pos="7797"/>
      </w:tabs>
      <w:spacing w:after="120"/>
      <w:ind w:left="1077" w:right="1009"/>
      <w:jc w:val="both"/>
    </w:pPr>
    <w:rPr>
      <w:rFonts w:ascii="Arial" w:hAnsi="Arial" w:cs="Arial"/>
      <w:snapToGrid w:val="0"/>
      <w:sz w:val="16"/>
      <w:szCs w:val="20"/>
      <w:lang w:val="en-US" w:eastAsia="en-US"/>
    </w:rPr>
  </w:style>
  <w:style w:type="paragraph" w:customStyle="1" w:styleId="NotesHeading4">
    <w:name w:val="Notes Heading 4"/>
    <w:basedOn w:val="NoteText0"/>
    <w:autoRedefine/>
    <w:rsid w:val="00F72FC8"/>
    <w:pPr>
      <w:keepNext/>
      <w:spacing w:before="200" w:after="80"/>
      <w:ind w:left="142"/>
    </w:pPr>
    <w:rPr>
      <w:i/>
    </w:rPr>
  </w:style>
  <w:style w:type="paragraph" w:customStyle="1" w:styleId="Contents">
    <w:name w:val="Contents"/>
    <w:basedOn w:val="Head2"/>
    <w:rsid w:val="00F72FC8"/>
    <w:pPr>
      <w:outlineLvl w:val="9"/>
    </w:pPr>
  </w:style>
  <w:style w:type="paragraph" w:customStyle="1" w:styleId="bodyparabullet0">
    <w:name w:val="bodyparabullet"/>
    <w:basedOn w:val="Normal"/>
    <w:rsid w:val="00F72FC8"/>
    <w:pPr>
      <w:spacing w:before="100" w:beforeAutospacing="1" w:after="100" w:afterAutospacing="1"/>
    </w:pPr>
  </w:style>
  <w:style w:type="character" w:customStyle="1" w:styleId="BodyNumChar">
    <w:name w:val="BodyNum Char"/>
    <w:aliases w:val="b1 Char"/>
    <w:basedOn w:val="BodyChar"/>
    <w:link w:val="BodyNum"/>
    <w:rsid w:val="00A80292"/>
    <w:rPr>
      <w:rFonts w:ascii="Arial" w:hAnsi="Arial"/>
      <w:szCs w:val="24"/>
    </w:rPr>
  </w:style>
  <w:style w:type="paragraph" w:customStyle="1" w:styleId="NormalIndent0">
    <w:name w:val="NormalIndent"/>
    <w:basedOn w:val="Normal"/>
    <w:rsid w:val="00893AED"/>
    <w:pPr>
      <w:tabs>
        <w:tab w:val="left" w:pos="6112"/>
      </w:tabs>
    </w:pPr>
    <w:rPr>
      <w:sz w:val="18"/>
      <w:szCs w:val="18"/>
    </w:rPr>
  </w:style>
  <w:style w:type="paragraph" w:styleId="ListParagraph">
    <w:name w:val="List Paragraph"/>
    <w:basedOn w:val="Normal"/>
    <w:uiPriority w:val="34"/>
    <w:qFormat/>
    <w:rsid w:val="00BC2482"/>
    <w:pPr>
      <w:ind w:left="720"/>
    </w:pPr>
    <w:rPr>
      <w:rFonts w:ascii="Calibri" w:eastAsiaTheme="minorHAnsi" w:hAnsi="Calibri"/>
      <w:sz w:val="22"/>
      <w:szCs w:val="22"/>
    </w:rPr>
  </w:style>
  <w:style w:type="numbering" w:customStyle="1" w:styleId="OPCBodyList">
    <w:name w:val="OPCBodyList"/>
    <w:uiPriority w:val="99"/>
    <w:rsid w:val="00246266"/>
    <w:pPr>
      <w:numPr>
        <w:numId w:val="16"/>
      </w:numPr>
    </w:pPr>
  </w:style>
  <w:style w:type="character" w:customStyle="1" w:styleId="HeaderChar">
    <w:name w:val="Header Char"/>
    <w:basedOn w:val="DefaultParagraphFont"/>
    <w:link w:val="Header"/>
    <w:rsid w:val="00DC7B00"/>
    <w:rPr>
      <w:rFonts w:ascii="Arial" w:hAnsi="Arial"/>
      <w:color w:val="0000FF"/>
    </w:rPr>
  </w:style>
  <w:style w:type="character" w:customStyle="1" w:styleId="FooterChar">
    <w:name w:val="Footer Char"/>
    <w:basedOn w:val="DefaultParagraphFont"/>
    <w:link w:val="Footer"/>
    <w:rsid w:val="00DC7B00"/>
    <w:rPr>
      <w:sz w:val="24"/>
      <w:szCs w:val="24"/>
    </w:rPr>
  </w:style>
  <w:style w:type="paragraph" w:customStyle="1" w:styleId="mhb1">
    <w:name w:val="mhb1"/>
    <w:basedOn w:val="Normal"/>
    <w:uiPriority w:val="99"/>
    <w:rsid w:val="000C5713"/>
    <w:pPr>
      <w:tabs>
        <w:tab w:val="left" w:pos="567"/>
      </w:tabs>
      <w:spacing w:before="240"/>
    </w:pPr>
    <w:rPr>
      <w:b/>
      <w:szCs w:val="20"/>
    </w:rPr>
  </w:style>
  <w:style w:type="paragraph" w:styleId="Bibliography">
    <w:name w:val="Bibliography"/>
    <w:basedOn w:val="Normal"/>
    <w:next w:val="Normal"/>
    <w:uiPriority w:val="37"/>
    <w:semiHidden/>
    <w:unhideWhenUsed/>
    <w:rsid w:val="00893AED"/>
  </w:style>
  <w:style w:type="paragraph" w:styleId="IntenseQuote">
    <w:name w:val="Intense Quote"/>
    <w:basedOn w:val="Normal"/>
    <w:next w:val="Normal"/>
    <w:link w:val="IntenseQuoteChar"/>
    <w:uiPriority w:val="30"/>
    <w:qFormat/>
    <w:rsid w:val="00893A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3AED"/>
    <w:rPr>
      <w:b/>
      <w:bCs/>
      <w:i/>
      <w:iCs/>
      <w:color w:val="4F81BD" w:themeColor="accent1"/>
      <w:sz w:val="24"/>
      <w:szCs w:val="24"/>
    </w:rPr>
  </w:style>
  <w:style w:type="paragraph" w:styleId="NoSpacing">
    <w:name w:val="No Spacing"/>
    <w:uiPriority w:val="1"/>
    <w:qFormat/>
    <w:rsid w:val="00893AED"/>
    <w:rPr>
      <w:sz w:val="24"/>
      <w:szCs w:val="24"/>
    </w:rPr>
  </w:style>
  <w:style w:type="paragraph" w:styleId="Quote">
    <w:name w:val="Quote"/>
    <w:basedOn w:val="Normal"/>
    <w:next w:val="Normal"/>
    <w:link w:val="QuoteChar"/>
    <w:uiPriority w:val="29"/>
    <w:qFormat/>
    <w:rsid w:val="00893AED"/>
    <w:rPr>
      <w:i/>
      <w:iCs/>
      <w:color w:val="000000" w:themeColor="text1"/>
    </w:rPr>
  </w:style>
  <w:style w:type="character" w:customStyle="1" w:styleId="QuoteChar">
    <w:name w:val="Quote Char"/>
    <w:basedOn w:val="DefaultParagraphFont"/>
    <w:link w:val="Quote"/>
    <w:uiPriority w:val="29"/>
    <w:rsid w:val="00893AED"/>
    <w:rPr>
      <w:i/>
      <w:iCs/>
      <w:color w:val="000000" w:themeColor="text1"/>
      <w:sz w:val="24"/>
      <w:szCs w:val="24"/>
    </w:rPr>
  </w:style>
  <w:style w:type="paragraph" w:styleId="TOCHeading">
    <w:name w:val="TOC Heading"/>
    <w:basedOn w:val="Heading1"/>
    <w:next w:val="Normal"/>
    <w:uiPriority w:val="39"/>
    <w:semiHidden/>
    <w:unhideWhenUsed/>
    <w:qFormat/>
    <w:rsid w:val="00893AED"/>
    <w:pPr>
      <w:spacing w:before="480" w:line="240" w:lineRule="auto"/>
      <w:ind w:left="0" w:firstLine="0"/>
      <w:outlineLvl w:val="9"/>
    </w:pPr>
    <w:rPr>
      <w:rFonts w:asciiTheme="majorHAnsi" w:eastAsiaTheme="majorEastAsia" w:hAnsiTheme="majorHAnsi" w:cstheme="majorBidi"/>
      <w:color w:val="365F91" w:themeColor="accent1" w:themeShade="BF"/>
      <w:kern w:val="0"/>
      <w:sz w:val="28"/>
      <w:szCs w:val="28"/>
    </w:rPr>
  </w:style>
  <w:style w:type="paragraph" w:customStyle="1" w:styleId="TableHeading">
    <w:name w:val="TableHeading"/>
    <w:aliases w:val="th"/>
    <w:basedOn w:val="Normal"/>
    <w:next w:val="Tabletext"/>
    <w:rsid w:val="00B37353"/>
    <w:pPr>
      <w:keepNext/>
      <w:spacing w:before="60" w:line="240" w:lineRule="atLeast"/>
    </w:pPr>
    <w:rPr>
      <w:b/>
      <w:sz w:val="20"/>
      <w:szCs w:val="20"/>
    </w:rPr>
  </w:style>
  <w:style w:type="paragraph" w:customStyle="1" w:styleId="Head6">
    <w:name w:val="Head 6"/>
    <w:aliases w:val="6"/>
    <w:basedOn w:val="BodyNum"/>
    <w:rsid w:val="00B37353"/>
    <w:pPr>
      <w:numPr>
        <w:numId w:val="0"/>
      </w:numPr>
    </w:pPr>
  </w:style>
  <w:style w:type="paragraph" w:customStyle="1" w:styleId="BodyParaBulletSub">
    <w:name w:val="BodyParaBulletSub"/>
    <w:basedOn w:val="Normal"/>
    <w:link w:val="BodyParaBulletSubChar"/>
    <w:qFormat/>
    <w:rsid w:val="00F07DD2"/>
    <w:pPr>
      <w:spacing w:before="120" w:line="300" w:lineRule="exact"/>
      <w:ind w:left="709" w:hanging="352"/>
    </w:pPr>
    <w:rPr>
      <w:rFonts w:ascii="Arial" w:hAnsi="Arial"/>
      <w:sz w:val="20"/>
    </w:rPr>
  </w:style>
  <w:style w:type="character" w:customStyle="1" w:styleId="BodyParaBulletSubChar">
    <w:name w:val="BodyParaBulletSub Char"/>
    <w:basedOn w:val="DefaultParagraphFont"/>
    <w:link w:val="BodyParaBulletSub"/>
    <w:rsid w:val="00F07DD2"/>
    <w:rPr>
      <w:rFonts w:ascii="Arial" w:hAnsi="Arial"/>
      <w:szCs w:val="24"/>
    </w:rPr>
  </w:style>
  <w:style w:type="paragraph" w:styleId="Revision">
    <w:name w:val="Revision"/>
    <w:hidden/>
    <w:uiPriority w:val="99"/>
    <w:semiHidden/>
    <w:rsid w:val="00A235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9222">
      <w:bodyDiv w:val="1"/>
      <w:marLeft w:val="0"/>
      <w:marRight w:val="0"/>
      <w:marTop w:val="0"/>
      <w:marBottom w:val="0"/>
      <w:divBdr>
        <w:top w:val="none" w:sz="0" w:space="0" w:color="auto"/>
        <w:left w:val="none" w:sz="0" w:space="0" w:color="auto"/>
        <w:bottom w:val="none" w:sz="0" w:space="0" w:color="auto"/>
        <w:right w:val="none" w:sz="0" w:space="0" w:color="auto"/>
      </w:divBdr>
    </w:div>
    <w:div w:id="154958744">
      <w:bodyDiv w:val="1"/>
      <w:marLeft w:val="0"/>
      <w:marRight w:val="0"/>
      <w:marTop w:val="0"/>
      <w:marBottom w:val="0"/>
      <w:divBdr>
        <w:top w:val="none" w:sz="0" w:space="0" w:color="auto"/>
        <w:left w:val="none" w:sz="0" w:space="0" w:color="auto"/>
        <w:bottom w:val="none" w:sz="0" w:space="0" w:color="auto"/>
        <w:right w:val="none" w:sz="0" w:space="0" w:color="auto"/>
      </w:divBdr>
    </w:div>
    <w:div w:id="173884127">
      <w:bodyDiv w:val="1"/>
      <w:marLeft w:val="0"/>
      <w:marRight w:val="0"/>
      <w:marTop w:val="0"/>
      <w:marBottom w:val="0"/>
      <w:divBdr>
        <w:top w:val="none" w:sz="0" w:space="0" w:color="auto"/>
        <w:left w:val="none" w:sz="0" w:space="0" w:color="auto"/>
        <w:bottom w:val="none" w:sz="0" w:space="0" w:color="auto"/>
        <w:right w:val="none" w:sz="0" w:space="0" w:color="auto"/>
      </w:divBdr>
    </w:div>
    <w:div w:id="203491055">
      <w:bodyDiv w:val="1"/>
      <w:marLeft w:val="0"/>
      <w:marRight w:val="0"/>
      <w:marTop w:val="0"/>
      <w:marBottom w:val="0"/>
      <w:divBdr>
        <w:top w:val="none" w:sz="0" w:space="0" w:color="auto"/>
        <w:left w:val="none" w:sz="0" w:space="0" w:color="auto"/>
        <w:bottom w:val="none" w:sz="0" w:space="0" w:color="auto"/>
        <w:right w:val="none" w:sz="0" w:space="0" w:color="auto"/>
      </w:divBdr>
    </w:div>
    <w:div w:id="205602371">
      <w:bodyDiv w:val="1"/>
      <w:marLeft w:val="0"/>
      <w:marRight w:val="0"/>
      <w:marTop w:val="0"/>
      <w:marBottom w:val="0"/>
      <w:divBdr>
        <w:top w:val="none" w:sz="0" w:space="0" w:color="auto"/>
        <w:left w:val="none" w:sz="0" w:space="0" w:color="auto"/>
        <w:bottom w:val="none" w:sz="0" w:space="0" w:color="auto"/>
        <w:right w:val="none" w:sz="0" w:space="0" w:color="auto"/>
      </w:divBdr>
    </w:div>
    <w:div w:id="256333178">
      <w:bodyDiv w:val="1"/>
      <w:marLeft w:val="0"/>
      <w:marRight w:val="0"/>
      <w:marTop w:val="0"/>
      <w:marBottom w:val="0"/>
      <w:divBdr>
        <w:top w:val="none" w:sz="0" w:space="0" w:color="auto"/>
        <w:left w:val="none" w:sz="0" w:space="0" w:color="auto"/>
        <w:bottom w:val="none" w:sz="0" w:space="0" w:color="auto"/>
        <w:right w:val="none" w:sz="0" w:space="0" w:color="auto"/>
      </w:divBdr>
    </w:div>
    <w:div w:id="284966724">
      <w:bodyDiv w:val="1"/>
      <w:marLeft w:val="0"/>
      <w:marRight w:val="0"/>
      <w:marTop w:val="0"/>
      <w:marBottom w:val="0"/>
      <w:divBdr>
        <w:top w:val="none" w:sz="0" w:space="0" w:color="auto"/>
        <w:left w:val="none" w:sz="0" w:space="0" w:color="auto"/>
        <w:bottom w:val="none" w:sz="0" w:space="0" w:color="auto"/>
        <w:right w:val="none" w:sz="0" w:space="0" w:color="auto"/>
      </w:divBdr>
    </w:div>
    <w:div w:id="376975127">
      <w:bodyDiv w:val="1"/>
      <w:marLeft w:val="0"/>
      <w:marRight w:val="0"/>
      <w:marTop w:val="0"/>
      <w:marBottom w:val="0"/>
      <w:divBdr>
        <w:top w:val="none" w:sz="0" w:space="0" w:color="auto"/>
        <w:left w:val="none" w:sz="0" w:space="0" w:color="auto"/>
        <w:bottom w:val="none" w:sz="0" w:space="0" w:color="auto"/>
        <w:right w:val="none" w:sz="0" w:space="0" w:color="auto"/>
      </w:divBdr>
    </w:div>
    <w:div w:id="377123933">
      <w:bodyDiv w:val="1"/>
      <w:marLeft w:val="0"/>
      <w:marRight w:val="0"/>
      <w:marTop w:val="0"/>
      <w:marBottom w:val="0"/>
      <w:divBdr>
        <w:top w:val="none" w:sz="0" w:space="0" w:color="auto"/>
        <w:left w:val="none" w:sz="0" w:space="0" w:color="auto"/>
        <w:bottom w:val="none" w:sz="0" w:space="0" w:color="auto"/>
        <w:right w:val="none" w:sz="0" w:space="0" w:color="auto"/>
      </w:divBdr>
    </w:div>
    <w:div w:id="402534361">
      <w:bodyDiv w:val="1"/>
      <w:marLeft w:val="0"/>
      <w:marRight w:val="0"/>
      <w:marTop w:val="0"/>
      <w:marBottom w:val="0"/>
      <w:divBdr>
        <w:top w:val="none" w:sz="0" w:space="0" w:color="auto"/>
        <w:left w:val="none" w:sz="0" w:space="0" w:color="auto"/>
        <w:bottom w:val="none" w:sz="0" w:space="0" w:color="auto"/>
        <w:right w:val="none" w:sz="0" w:space="0" w:color="auto"/>
      </w:divBdr>
    </w:div>
    <w:div w:id="414910009">
      <w:bodyDiv w:val="1"/>
      <w:marLeft w:val="0"/>
      <w:marRight w:val="0"/>
      <w:marTop w:val="0"/>
      <w:marBottom w:val="0"/>
      <w:divBdr>
        <w:top w:val="none" w:sz="0" w:space="0" w:color="auto"/>
        <w:left w:val="none" w:sz="0" w:space="0" w:color="auto"/>
        <w:bottom w:val="none" w:sz="0" w:space="0" w:color="auto"/>
        <w:right w:val="none" w:sz="0" w:space="0" w:color="auto"/>
      </w:divBdr>
    </w:div>
    <w:div w:id="448671818">
      <w:bodyDiv w:val="1"/>
      <w:marLeft w:val="0"/>
      <w:marRight w:val="0"/>
      <w:marTop w:val="0"/>
      <w:marBottom w:val="0"/>
      <w:divBdr>
        <w:top w:val="none" w:sz="0" w:space="0" w:color="auto"/>
        <w:left w:val="none" w:sz="0" w:space="0" w:color="auto"/>
        <w:bottom w:val="none" w:sz="0" w:space="0" w:color="auto"/>
        <w:right w:val="none" w:sz="0" w:space="0" w:color="auto"/>
      </w:divBdr>
    </w:div>
    <w:div w:id="451024762">
      <w:bodyDiv w:val="1"/>
      <w:marLeft w:val="0"/>
      <w:marRight w:val="0"/>
      <w:marTop w:val="0"/>
      <w:marBottom w:val="0"/>
      <w:divBdr>
        <w:top w:val="none" w:sz="0" w:space="0" w:color="auto"/>
        <w:left w:val="none" w:sz="0" w:space="0" w:color="auto"/>
        <w:bottom w:val="none" w:sz="0" w:space="0" w:color="auto"/>
        <w:right w:val="none" w:sz="0" w:space="0" w:color="auto"/>
      </w:divBdr>
    </w:div>
    <w:div w:id="520513271">
      <w:bodyDiv w:val="1"/>
      <w:marLeft w:val="0"/>
      <w:marRight w:val="0"/>
      <w:marTop w:val="0"/>
      <w:marBottom w:val="0"/>
      <w:divBdr>
        <w:top w:val="none" w:sz="0" w:space="0" w:color="auto"/>
        <w:left w:val="none" w:sz="0" w:space="0" w:color="auto"/>
        <w:bottom w:val="none" w:sz="0" w:space="0" w:color="auto"/>
        <w:right w:val="none" w:sz="0" w:space="0" w:color="auto"/>
      </w:divBdr>
    </w:div>
    <w:div w:id="529340843">
      <w:bodyDiv w:val="1"/>
      <w:marLeft w:val="0"/>
      <w:marRight w:val="0"/>
      <w:marTop w:val="0"/>
      <w:marBottom w:val="0"/>
      <w:divBdr>
        <w:top w:val="none" w:sz="0" w:space="0" w:color="auto"/>
        <w:left w:val="none" w:sz="0" w:space="0" w:color="auto"/>
        <w:bottom w:val="none" w:sz="0" w:space="0" w:color="auto"/>
        <w:right w:val="none" w:sz="0" w:space="0" w:color="auto"/>
      </w:divBdr>
    </w:div>
    <w:div w:id="649749761">
      <w:bodyDiv w:val="1"/>
      <w:marLeft w:val="0"/>
      <w:marRight w:val="0"/>
      <w:marTop w:val="0"/>
      <w:marBottom w:val="0"/>
      <w:divBdr>
        <w:top w:val="none" w:sz="0" w:space="0" w:color="auto"/>
        <w:left w:val="none" w:sz="0" w:space="0" w:color="auto"/>
        <w:bottom w:val="none" w:sz="0" w:space="0" w:color="auto"/>
        <w:right w:val="none" w:sz="0" w:space="0" w:color="auto"/>
      </w:divBdr>
    </w:div>
    <w:div w:id="672419952">
      <w:bodyDiv w:val="1"/>
      <w:marLeft w:val="0"/>
      <w:marRight w:val="0"/>
      <w:marTop w:val="0"/>
      <w:marBottom w:val="0"/>
      <w:divBdr>
        <w:top w:val="none" w:sz="0" w:space="0" w:color="auto"/>
        <w:left w:val="none" w:sz="0" w:space="0" w:color="auto"/>
        <w:bottom w:val="none" w:sz="0" w:space="0" w:color="auto"/>
        <w:right w:val="none" w:sz="0" w:space="0" w:color="auto"/>
      </w:divBdr>
    </w:div>
    <w:div w:id="706761225">
      <w:bodyDiv w:val="1"/>
      <w:marLeft w:val="0"/>
      <w:marRight w:val="0"/>
      <w:marTop w:val="0"/>
      <w:marBottom w:val="0"/>
      <w:divBdr>
        <w:top w:val="none" w:sz="0" w:space="0" w:color="auto"/>
        <w:left w:val="none" w:sz="0" w:space="0" w:color="auto"/>
        <w:bottom w:val="none" w:sz="0" w:space="0" w:color="auto"/>
        <w:right w:val="none" w:sz="0" w:space="0" w:color="auto"/>
      </w:divBdr>
    </w:div>
    <w:div w:id="789587205">
      <w:bodyDiv w:val="1"/>
      <w:marLeft w:val="0"/>
      <w:marRight w:val="0"/>
      <w:marTop w:val="0"/>
      <w:marBottom w:val="0"/>
      <w:divBdr>
        <w:top w:val="none" w:sz="0" w:space="0" w:color="auto"/>
        <w:left w:val="none" w:sz="0" w:space="0" w:color="auto"/>
        <w:bottom w:val="none" w:sz="0" w:space="0" w:color="auto"/>
        <w:right w:val="none" w:sz="0" w:space="0" w:color="auto"/>
      </w:divBdr>
    </w:div>
    <w:div w:id="799493654">
      <w:bodyDiv w:val="1"/>
      <w:marLeft w:val="0"/>
      <w:marRight w:val="0"/>
      <w:marTop w:val="0"/>
      <w:marBottom w:val="0"/>
      <w:divBdr>
        <w:top w:val="none" w:sz="0" w:space="0" w:color="auto"/>
        <w:left w:val="none" w:sz="0" w:space="0" w:color="auto"/>
        <w:bottom w:val="none" w:sz="0" w:space="0" w:color="auto"/>
        <w:right w:val="none" w:sz="0" w:space="0" w:color="auto"/>
      </w:divBdr>
    </w:div>
    <w:div w:id="925304764">
      <w:bodyDiv w:val="1"/>
      <w:marLeft w:val="0"/>
      <w:marRight w:val="0"/>
      <w:marTop w:val="0"/>
      <w:marBottom w:val="0"/>
      <w:divBdr>
        <w:top w:val="none" w:sz="0" w:space="0" w:color="auto"/>
        <w:left w:val="none" w:sz="0" w:space="0" w:color="auto"/>
        <w:bottom w:val="none" w:sz="0" w:space="0" w:color="auto"/>
        <w:right w:val="none" w:sz="0" w:space="0" w:color="auto"/>
      </w:divBdr>
    </w:div>
    <w:div w:id="994181720">
      <w:bodyDiv w:val="1"/>
      <w:marLeft w:val="0"/>
      <w:marRight w:val="0"/>
      <w:marTop w:val="0"/>
      <w:marBottom w:val="0"/>
      <w:divBdr>
        <w:top w:val="none" w:sz="0" w:space="0" w:color="auto"/>
        <w:left w:val="none" w:sz="0" w:space="0" w:color="auto"/>
        <w:bottom w:val="none" w:sz="0" w:space="0" w:color="auto"/>
        <w:right w:val="none" w:sz="0" w:space="0" w:color="auto"/>
      </w:divBdr>
    </w:div>
    <w:div w:id="997461297">
      <w:bodyDiv w:val="1"/>
      <w:marLeft w:val="0"/>
      <w:marRight w:val="0"/>
      <w:marTop w:val="0"/>
      <w:marBottom w:val="0"/>
      <w:divBdr>
        <w:top w:val="none" w:sz="0" w:space="0" w:color="auto"/>
        <w:left w:val="none" w:sz="0" w:space="0" w:color="auto"/>
        <w:bottom w:val="none" w:sz="0" w:space="0" w:color="auto"/>
        <w:right w:val="none" w:sz="0" w:space="0" w:color="auto"/>
      </w:divBdr>
    </w:div>
    <w:div w:id="1003699998">
      <w:bodyDiv w:val="1"/>
      <w:marLeft w:val="0"/>
      <w:marRight w:val="0"/>
      <w:marTop w:val="0"/>
      <w:marBottom w:val="0"/>
      <w:divBdr>
        <w:top w:val="none" w:sz="0" w:space="0" w:color="auto"/>
        <w:left w:val="none" w:sz="0" w:space="0" w:color="auto"/>
        <w:bottom w:val="none" w:sz="0" w:space="0" w:color="auto"/>
        <w:right w:val="none" w:sz="0" w:space="0" w:color="auto"/>
      </w:divBdr>
    </w:div>
    <w:div w:id="1069882527">
      <w:bodyDiv w:val="1"/>
      <w:marLeft w:val="0"/>
      <w:marRight w:val="0"/>
      <w:marTop w:val="0"/>
      <w:marBottom w:val="0"/>
      <w:divBdr>
        <w:top w:val="none" w:sz="0" w:space="0" w:color="auto"/>
        <w:left w:val="none" w:sz="0" w:space="0" w:color="auto"/>
        <w:bottom w:val="none" w:sz="0" w:space="0" w:color="auto"/>
        <w:right w:val="none" w:sz="0" w:space="0" w:color="auto"/>
      </w:divBdr>
      <w:divsChild>
        <w:div w:id="1657302339">
          <w:marLeft w:val="0"/>
          <w:marRight w:val="0"/>
          <w:marTop w:val="0"/>
          <w:marBottom w:val="0"/>
          <w:divBdr>
            <w:top w:val="none" w:sz="0" w:space="0" w:color="auto"/>
            <w:left w:val="none" w:sz="0" w:space="0" w:color="auto"/>
            <w:bottom w:val="none" w:sz="0" w:space="0" w:color="auto"/>
            <w:right w:val="none" w:sz="0" w:space="0" w:color="auto"/>
          </w:divBdr>
          <w:divsChild>
            <w:div w:id="1565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9666">
      <w:bodyDiv w:val="1"/>
      <w:marLeft w:val="0"/>
      <w:marRight w:val="0"/>
      <w:marTop w:val="0"/>
      <w:marBottom w:val="0"/>
      <w:divBdr>
        <w:top w:val="none" w:sz="0" w:space="0" w:color="auto"/>
        <w:left w:val="none" w:sz="0" w:space="0" w:color="auto"/>
        <w:bottom w:val="none" w:sz="0" w:space="0" w:color="auto"/>
        <w:right w:val="none" w:sz="0" w:space="0" w:color="auto"/>
      </w:divBdr>
    </w:div>
    <w:div w:id="1130320730">
      <w:bodyDiv w:val="1"/>
      <w:marLeft w:val="0"/>
      <w:marRight w:val="0"/>
      <w:marTop w:val="0"/>
      <w:marBottom w:val="0"/>
      <w:divBdr>
        <w:top w:val="none" w:sz="0" w:space="0" w:color="auto"/>
        <w:left w:val="none" w:sz="0" w:space="0" w:color="auto"/>
        <w:bottom w:val="none" w:sz="0" w:space="0" w:color="auto"/>
        <w:right w:val="none" w:sz="0" w:space="0" w:color="auto"/>
      </w:divBdr>
    </w:div>
    <w:div w:id="1295328720">
      <w:bodyDiv w:val="1"/>
      <w:marLeft w:val="0"/>
      <w:marRight w:val="0"/>
      <w:marTop w:val="0"/>
      <w:marBottom w:val="0"/>
      <w:divBdr>
        <w:top w:val="none" w:sz="0" w:space="0" w:color="auto"/>
        <w:left w:val="none" w:sz="0" w:space="0" w:color="auto"/>
        <w:bottom w:val="none" w:sz="0" w:space="0" w:color="auto"/>
        <w:right w:val="none" w:sz="0" w:space="0" w:color="auto"/>
      </w:divBdr>
    </w:div>
    <w:div w:id="1311204811">
      <w:bodyDiv w:val="1"/>
      <w:marLeft w:val="0"/>
      <w:marRight w:val="0"/>
      <w:marTop w:val="0"/>
      <w:marBottom w:val="0"/>
      <w:divBdr>
        <w:top w:val="none" w:sz="0" w:space="0" w:color="auto"/>
        <w:left w:val="none" w:sz="0" w:space="0" w:color="auto"/>
        <w:bottom w:val="none" w:sz="0" w:space="0" w:color="auto"/>
        <w:right w:val="none" w:sz="0" w:space="0" w:color="auto"/>
      </w:divBdr>
    </w:div>
    <w:div w:id="1352534025">
      <w:bodyDiv w:val="1"/>
      <w:marLeft w:val="0"/>
      <w:marRight w:val="0"/>
      <w:marTop w:val="0"/>
      <w:marBottom w:val="0"/>
      <w:divBdr>
        <w:top w:val="none" w:sz="0" w:space="0" w:color="auto"/>
        <w:left w:val="none" w:sz="0" w:space="0" w:color="auto"/>
        <w:bottom w:val="none" w:sz="0" w:space="0" w:color="auto"/>
        <w:right w:val="none" w:sz="0" w:space="0" w:color="auto"/>
      </w:divBdr>
    </w:div>
    <w:div w:id="1472675760">
      <w:bodyDiv w:val="1"/>
      <w:marLeft w:val="0"/>
      <w:marRight w:val="0"/>
      <w:marTop w:val="0"/>
      <w:marBottom w:val="0"/>
      <w:divBdr>
        <w:top w:val="none" w:sz="0" w:space="0" w:color="auto"/>
        <w:left w:val="none" w:sz="0" w:space="0" w:color="auto"/>
        <w:bottom w:val="none" w:sz="0" w:space="0" w:color="auto"/>
        <w:right w:val="none" w:sz="0" w:space="0" w:color="auto"/>
      </w:divBdr>
    </w:div>
    <w:div w:id="1508982656">
      <w:bodyDiv w:val="1"/>
      <w:marLeft w:val="0"/>
      <w:marRight w:val="0"/>
      <w:marTop w:val="0"/>
      <w:marBottom w:val="0"/>
      <w:divBdr>
        <w:top w:val="none" w:sz="0" w:space="0" w:color="auto"/>
        <w:left w:val="none" w:sz="0" w:space="0" w:color="auto"/>
        <w:bottom w:val="none" w:sz="0" w:space="0" w:color="auto"/>
        <w:right w:val="none" w:sz="0" w:space="0" w:color="auto"/>
      </w:divBdr>
    </w:div>
    <w:div w:id="1614166150">
      <w:bodyDiv w:val="1"/>
      <w:marLeft w:val="0"/>
      <w:marRight w:val="0"/>
      <w:marTop w:val="0"/>
      <w:marBottom w:val="0"/>
      <w:divBdr>
        <w:top w:val="none" w:sz="0" w:space="0" w:color="auto"/>
        <w:left w:val="none" w:sz="0" w:space="0" w:color="auto"/>
        <w:bottom w:val="none" w:sz="0" w:space="0" w:color="auto"/>
        <w:right w:val="none" w:sz="0" w:space="0" w:color="auto"/>
      </w:divBdr>
    </w:div>
    <w:div w:id="1720980398">
      <w:bodyDiv w:val="1"/>
      <w:marLeft w:val="0"/>
      <w:marRight w:val="0"/>
      <w:marTop w:val="0"/>
      <w:marBottom w:val="0"/>
      <w:divBdr>
        <w:top w:val="none" w:sz="0" w:space="0" w:color="auto"/>
        <w:left w:val="none" w:sz="0" w:space="0" w:color="auto"/>
        <w:bottom w:val="none" w:sz="0" w:space="0" w:color="auto"/>
        <w:right w:val="none" w:sz="0" w:space="0" w:color="auto"/>
      </w:divBdr>
    </w:div>
    <w:div w:id="1756128886">
      <w:bodyDiv w:val="1"/>
      <w:marLeft w:val="0"/>
      <w:marRight w:val="0"/>
      <w:marTop w:val="0"/>
      <w:marBottom w:val="0"/>
      <w:divBdr>
        <w:top w:val="none" w:sz="0" w:space="0" w:color="auto"/>
        <w:left w:val="none" w:sz="0" w:space="0" w:color="auto"/>
        <w:bottom w:val="none" w:sz="0" w:space="0" w:color="auto"/>
        <w:right w:val="none" w:sz="0" w:space="0" w:color="auto"/>
      </w:divBdr>
    </w:div>
    <w:div w:id="1822186097">
      <w:bodyDiv w:val="1"/>
      <w:marLeft w:val="0"/>
      <w:marRight w:val="0"/>
      <w:marTop w:val="0"/>
      <w:marBottom w:val="0"/>
      <w:divBdr>
        <w:top w:val="none" w:sz="0" w:space="0" w:color="auto"/>
        <w:left w:val="none" w:sz="0" w:space="0" w:color="auto"/>
        <w:bottom w:val="none" w:sz="0" w:space="0" w:color="auto"/>
        <w:right w:val="none" w:sz="0" w:space="0" w:color="auto"/>
      </w:divBdr>
    </w:div>
    <w:div w:id="1840269662">
      <w:bodyDiv w:val="1"/>
      <w:marLeft w:val="0"/>
      <w:marRight w:val="0"/>
      <w:marTop w:val="0"/>
      <w:marBottom w:val="0"/>
      <w:divBdr>
        <w:top w:val="none" w:sz="0" w:space="0" w:color="auto"/>
        <w:left w:val="none" w:sz="0" w:space="0" w:color="auto"/>
        <w:bottom w:val="none" w:sz="0" w:space="0" w:color="auto"/>
        <w:right w:val="none" w:sz="0" w:space="0" w:color="auto"/>
      </w:divBdr>
    </w:div>
    <w:div w:id="1871337422">
      <w:bodyDiv w:val="1"/>
      <w:marLeft w:val="0"/>
      <w:marRight w:val="0"/>
      <w:marTop w:val="0"/>
      <w:marBottom w:val="0"/>
      <w:divBdr>
        <w:top w:val="none" w:sz="0" w:space="0" w:color="auto"/>
        <w:left w:val="none" w:sz="0" w:space="0" w:color="auto"/>
        <w:bottom w:val="none" w:sz="0" w:space="0" w:color="auto"/>
        <w:right w:val="none" w:sz="0" w:space="0" w:color="auto"/>
      </w:divBdr>
    </w:div>
    <w:div w:id="1931622003">
      <w:bodyDiv w:val="1"/>
      <w:marLeft w:val="0"/>
      <w:marRight w:val="0"/>
      <w:marTop w:val="0"/>
      <w:marBottom w:val="0"/>
      <w:divBdr>
        <w:top w:val="none" w:sz="0" w:space="0" w:color="auto"/>
        <w:left w:val="none" w:sz="0" w:space="0" w:color="auto"/>
        <w:bottom w:val="none" w:sz="0" w:space="0" w:color="auto"/>
        <w:right w:val="none" w:sz="0" w:space="0" w:color="auto"/>
      </w:divBdr>
    </w:div>
    <w:div w:id="1973172652">
      <w:bodyDiv w:val="1"/>
      <w:marLeft w:val="0"/>
      <w:marRight w:val="0"/>
      <w:marTop w:val="0"/>
      <w:marBottom w:val="0"/>
      <w:divBdr>
        <w:top w:val="none" w:sz="0" w:space="0" w:color="auto"/>
        <w:left w:val="none" w:sz="0" w:space="0" w:color="auto"/>
        <w:bottom w:val="none" w:sz="0" w:space="0" w:color="auto"/>
        <w:right w:val="none" w:sz="0" w:space="0" w:color="auto"/>
      </w:divBdr>
    </w:div>
    <w:div w:id="1984385190">
      <w:bodyDiv w:val="1"/>
      <w:marLeft w:val="0"/>
      <w:marRight w:val="0"/>
      <w:marTop w:val="0"/>
      <w:marBottom w:val="0"/>
      <w:divBdr>
        <w:top w:val="none" w:sz="0" w:space="0" w:color="auto"/>
        <w:left w:val="none" w:sz="0" w:space="0" w:color="auto"/>
        <w:bottom w:val="none" w:sz="0" w:space="0" w:color="auto"/>
        <w:right w:val="none" w:sz="0" w:space="0" w:color="auto"/>
      </w:divBdr>
    </w:div>
    <w:div w:id="1984500947">
      <w:bodyDiv w:val="1"/>
      <w:marLeft w:val="0"/>
      <w:marRight w:val="0"/>
      <w:marTop w:val="0"/>
      <w:marBottom w:val="0"/>
      <w:divBdr>
        <w:top w:val="none" w:sz="0" w:space="0" w:color="auto"/>
        <w:left w:val="none" w:sz="0" w:space="0" w:color="auto"/>
        <w:bottom w:val="none" w:sz="0" w:space="0" w:color="auto"/>
        <w:right w:val="none" w:sz="0" w:space="0" w:color="auto"/>
      </w:divBdr>
    </w:div>
    <w:div w:id="2061316779">
      <w:bodyDiv w:val="1"/>
      <w:marLeft w:val="0"/>
      <w:marRight w:val="0"/>
      <w:marTop w:val="0"/>
      <w:marBottom w:val="0"/>
      <w:divBdr>
        <w:top w:val="none" w:sz="0" w:space="0" w:color="auto"/>
        <w:left w:val="none" w:sz="0" w:space="0" w:color="auto"/>
        <w:bottom w:val="none" w:sz="0" w:space="0" w:color="auto"/>
        <w:right w:val="none" w:sz="0" w:space="0" w:color="auto"/>
      </w:divBdr>
    </w:div>
    <w:div w:id="2071465867">
      <w:bodyDiv w:val="1"/>
      <w:marLeft w:val="0"/>
      <w:marRight w:val="0"/>
      <w:marTop w:val="0"/>
      <w:marBottom w:val="0"/>
      <w:divBdr>
        <w:top w:val="none" w:sz="0" w:space="0" w:color="auto"/>
        <w:left w:val="none" w:sz="0" w:space="0" w:color="auto"/>
        <w:bottom w:val="none" w:sz="0" w:space="0" w:color="auto"/>
        <w:right w:val="none" w:sz="0" w:space="0" w:color="auto"/>
      </w:divBdr>
    </w:div>
    <w:div w:id="2080904320">
      <w:bodyDiv w:val="1"/>
      <w:marLeft w:val="0"/>
      <w:marRight w:val="0"/>
      <w:marTop w:val="0"/>
      <w:marBottom w:val="0"/>
      <w:divBdr>
        <w:top w:val="none" w:sz="0" w:space="0" w:color="auto"/>
        <w:left w:val="none" w:sz="0" w:space="0" w:color="auto"/>
        <w:bottom w:val="none" w:sz="0" w:space="0" w:color="auto"/>
        <w:right w:val="none" w:sz="0" w:space="0" w:color="auto"/>
      </w:divBdr>
    </w:div>
    <w:div w:id="2084989250">
      <w:bodyDiv w:val="1"/>
      <w:marLeft w:val="0"/>
      <w:marRight w:val="0"/>
      <w:marTop w:val="0"/>
      <w:marBottom w:val="0"/>
      <w:divBdr>
        <w:top w:val="none" w:sz="0" w:space="0" w:color="auto"/>
        <w:left w:val="none" w:sz="0" w:space="0" w:color="auto"/>
        <w:bottom w:val="none" w:sz="0" w:space="0" w:color="auto"/>
        <w:right w:val="none" w:sz="0" w:space="0" w:color="auto"/>
      </w:divBdr>
    </w:div>
    <w:div w:id="2089884644">
      <w:bodyDiv w:val="1"/>
      <w:marLeft w:val="0"/>
      <w:marRight w:val="0"/>
      <w:marTop w:val="0"/>
      <w:marBottom w:val="0"/>
      <w:divBdr>
        <w:top w:val="none" w:sz="0" w:space="0" w:color="auto"/>
        <w:left w:val="none" w:sz="0" w:space="0" w:color="auto"/>
        <w:bottom w:val="none" w:sz="0" w:space="0" w:color="auto"/>
        <w:right w:val="none" w:sz="0" w:space="0" w:color="auto"/>
      </w:divBdr>
    </w:div>
    <w:div w:id="2113933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18.emf"/><Relationship Id="rId21" Type="http://schemas.openxmlformats.org/officeDocument/2006/relationships/header" Target="header6.xml"/><Relationship Id="rId42" Type="http://schemas.openxmlformats.org/officeDocument/2006/relationships/header" Target="header20.xml"/><Relationship Id="rId47" Type="http://schemas.openxmlformats.org/officeDocument/2006/relationships/header" Target="header25.xml"/><Relationship Id="rId63" Type="http://schemas.openxmlformats.org/officeDocument/2006/relationships/footer" Target="footer18.xml"/><Relationship Id="rId68" Type="http://schemas.openxmlformats.org/officeDocument/2006/relationships/footer" Target="footer21.xml"/><Relationship Id="rId84" Type="http://schemas.openxmlformats.org/officeDocument/2006/relationships/footer" Target="footer29.xml"/><Relationship Id="rId89" Type="http://schemas.openxmlformats.org/officeDocument/2006/relationships/header" Target="header47.xml"/><Relationship Id="rId112" Type="http://schemas.openxmlformats.org/officeDocument/2006/relationships/image" Target="media/image13.emf"/><Relationship Id="rId133" Type="http://schemas.openxmlformats.org/officeDocument/2006/relationships/image" Target="media/image32.emf"/><Relationship Id="rId138" Type="http://schemas.openxmlformats.org/officeDocument/2006/relationships/footer" Target="footer40.xml"/><Relationship Id="rId16" Type="http://schemas.openxmlformats.org/officeDocument/2006/relationships/footer" Target="footer3.xml"/><Relationship Id="rId107" Type="http://schemas.openxmlformats.org/officeDocument/2006/relationships/image" Target="media/image8.emf"/><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footer" Target="footer10.xml"/><Relationship Id="rId53" Type="http://schemas.openxmlformats.org/officeDocument/2006/relationships/header" Target="header29.xml"/><Relationship Id="rId58" Type="http://schemas.openxmlformats.org/officeDocument/2006/relationships/header" Target="header32.xml"/><Relationship Id="rId74" Type="http://schemas.openxmlformats.org/officeDocument/2006/relationships/header" Target="header40.xml"/><Relationship Id="rId79" Type="http://schemas.openxmlformats.org/officeDocument/2006/relationships/footer" Target="footer26.xml"/><Relationship Id="rId102" Type="http://schemas.openxmlformats.org/officeDocument/2006/relationships/footer" Target="footer38.xml"/><Relationship Id="rId123" Type="http://schemas.openxmlformats.org/officeDocument/2006/relationships/image" Target="media/image22.emf"/><Relationship Id="rId128" Type="http://schemas.openxmlformats.org/officeDocument/2006/relationships/image" Target="media/image27.emf"/><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32.xml"/><Relationship Id="rId95" Type="http://schemas.openxmlformats.org/officeDocument/2006/relationships/header" Target="header50.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header" Target="header21.xml"/><Relationship Id="rId48" Type="http://schemas.openxmlformats.org/officeDocument/2006/relationships/header" Target="header26.xml"/><Relationship Id="rId64" Type="http://schemas.openxmlformats.org/officeDocument/2006/relationships/footer" Target="footer19.xml"/><Relationship Id="rId69" Type="http://schemas.openxmlformats.org/officeDocument/2006/relationships/header" Target="header37.xml"/><Relationship Id="rId113" Type="http://schemas.openxmlformats.org/officeDocument/2006/relationships/image" Target="media/image14.emf"/><Relationship Id="rId118" Type="http://schemas.openxmlformats.org/officeDocument/2006/relationships/image" Target="media/image19.emf"/><Relationship Id="rId134" Type="http://schemas.openxmlformats.org/officeDocument/2006/relationships/image" Target="media/image33.emf"/><Relationship Id="rId139" Type="http://schemas.openxmlformats.org/officeDocument/2006/relationships/header" Target="header56.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footer" Target="footer23.xml"/><Relationship Id="rId80" Type="http://schemas.openxmlformats.org/officeDocument/2006/relationships/footer" Target="footer27.xml"/><Relationship Id="rId85" Type="http://schemas.openxmlformats.org/officeDocument/2006/relationships/header" Target="header45.xml"/><Relationship Id="rId93" Type="http://schemas.openxmlformats.org/officeDocument/2006/relationships/footer" Target="footer33.xml"/><Relationship Id="rId98" Type="http://schemas.openxmlformats.org/officeDocument/2006/relationships/footer" Target="footer36.xml"/><Relationship Id="rId121" Type="http://schemas.openxmlformats.org/officeDocument/2006/relationships/header" Target="header55.xml"/><Relationship Id="rId142" Type="http://schemas.openxmlformats.org/officeDocument/2006/relationships/header" Target="header5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3.jpg"/><Relationship Id="rId33" Type="http://schemas.openxmlformats.org/officeDocument/2006/relationships/footer" Target="footer8.xml"/><Relationship Id="rId38" Type="http://schemas.openxmlformats.org/officeDocument/2006/relationships/footer" Target="footer11.xml"/><Relationship Id="rId46" Type="http://schemas.openxmlformats.org/officeDocument/2006/relationships/header" Target="header24.xml"/><Relationship Id="rId59" Type="http://schemas.openxmlformats.org/officeDocument/2006/relationships/footer" Target="footer16.xml"/><Relationship Id="rId67" Type="http://schemas.openxmlformats.org/officeDocument/2006/relationships/footer" Target="footer20.xml"/><Relationship Id="rId103" Type="http://schemas.openxmlformats.org/officeDocument/2006/relationships/image" Target="media/image4.jpeg"/><Relationship Id="rId108" Type="http://schemas.openxmlformats.org/officeDocument/2006/relationships/image" Target="media/image9.png"/><Relationship Id="rId116" Type="http://schemas.openxmlformats.org/officeDocument/2006/relationships/image" Target="media/image17.emf"/><Relationship Id="rId124" Type="http://schemas.openxmlformats.org/officeDocument/2006/relationships/image" Target="media/image23.emf"/><Relationship Id="rId129" Type="http://schemas.openxmlformats.org/officeDocument/2006/relationships/image" Target="media/image28.emf"/><Relationship Id="rId137" Type="http://schemas.openxmlformats.org/officeDocument/2006/relationships/footer" Target="footer39.xml"/><Relationship Id="rId20" Type="http://schemas.openxmlformats.org/officeDocument/2006/relationships/footer" Target="footer5.xml"/><Relationship Id="rId41" Type="http://schemas.openxmlformats.org/officeDocument/2006/relationships/header" Target="header19.xml"/><Relationship Id="rId54" Type="http://schemas.openxmlformats.org/officeDocument/2006/relationships/header" Target="header30.xml"/><Relationship Id="rId62" Type="http://schemas.openxmlformats.org/officeDocument/2006/relationships/header" Target="header34.xml"/><Relationship Id="rId70" Type="http://schemas.openxmlformats.org/officeDocument/2006/relationships/header" Target="header38.xml"/><Relationship Id="rId75" Type="http://schemas.openxmlformats.org/officeDocument/2006/relationships/footer" Target="footer24.xml"/><Relationship Id="rId83" Type="http://schemas.openxmlformats.org/officeDocument/2006/relationships/footer" Target="footer28.xml"/><Relationship Id="rId88" Type="http://schemas.openxmlformats.org/officeDocument/2006/relationships/footer" Target="footer31.xml"/><Relationship Id="rId91" Type="http://schemas.openxmlformats.org/officeDocument/2006/relationships/header" Target="header48.xml"/><Relationship Id="rId96" Type="http://schemas.openxmlformats.org/officeDocument/2006/relationships/header" Target="header51.xml"/><Relationship Id="rId111" Type="http://schemas.openxmlformats.org/officeDocument/2006/relationships/image" Target="media/image12.emf"/><Relationship Id="rId132" Type="http://schemas.openxmlformats.org/officeDocument/2006/relationships/image" Target="media/image31.emf"/><Relationship Id="rId140" Type="http://schemas.openxmlformats.org/officeDocument/2006/relationships/header" Target="header5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7.xml"/><Relationship Id="rId57" Type="http://schemas.openxmlformats.org/officeDocument/2006/relationships/header" Target="header31.xml"/><Relationship Id="rId106" Type="http://schemas.openxmlformats.org/officeDocument/2006/relationships/image" Target="media/image7.emf"/><Relationship Id="rId114" Type="http://schemas.openxmlformats.org/officeDocument/2006/relationships/image" Target="media/image15.emf"/><Relationship Id="rId119" Type="http://schemas.openxmlformats.org/officeDocument/2006/relationships/image" Target="media/image20.emf"/><Relationship Id="rId127" Type="http://schemas.openxmlformats.org/officeDocument/2006/relationships/image" Target="media/image26.emf"/><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header" Target="header22.xml"/><Relationship Id="rId52" Type="http://schemas.openxmlformats.org/officeDocument/2006/relationships/footer" Target="footer13.xml"/><Relationship Id="rId60" Type="http://schemas.openxmlformats.org/officeDocument/2006/relationships/footer" Target="footer17.xml"/><Relationship Id="rId65" Type="http://schemas.openxmlformats.org/officeDocument/2006/relationships/header" Target="header35.xml"/><Relationship Id="rId73" Type="http://schemas.openxmlformats.org/officeDocument/2006/relationships/header" Target="header39.xml"/><Relationship Id="rId78" Type="http://schemas.openxmlformats.org/officeDocument/2006/relationships/header" Target="header42.xml"/><Relationship Id="rId81" Type="http://schemas.openxmlformats.org/officeDocument/2006/relationships/header" Target="header43.xml"/><Relationship Id="rId86" Type="http://schemas.openxmlformats.org/officeDocument/2006/relationships/header" Target="header46.xml"/><Relationship Id="rId94" Type="http://schemas.openxmlformats.org/officeDocument/2006/relationships/footer" Target="footer34.xml"/><Relationship Id="rId99" Type="http://schemas.openxmlformats.org/officeDocument/2006/relationships/header" Target="header52.xml"/><Relationship Id="rId101" Type="http://schemas.openxmlformats.org/officeDocument/2006/relationships/footer" Target="footer37.xml"/><Relationship Id="rId122" Type="http://schemas.openxmlformats.org/officeDocument/2006/relationships/image" Target="media/image21.emf"/><Relationship Id="rId130" Type="http://schemas.openxmlformats.org/officeDocument/2006/relationships/image" Target="media/image29.emf"/><Relationship Id="rId135" Type="http://schemas.openxmlformats.org/officeDocument/2006/relationships/image" Target="media/image34.emf"/><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7.xml"/><Relationship Id="rId109" Type="http://schemas.openxmlformats.org/officeDocument/2006/relationships/image" Target="media/image10.emf"/><Relationship Id="rId34" Type="http://schemas.openxmlformats.org/officeDocument/2006/relationships/footer" Target="footer9.xml"/><Relationship Id="rId50" Type="http://schemas.openxmlformats.org/officeDocument/2006/relationships/header" Target="header28.xml"/><Relationship Id="rId55" Type="http://schemas.openxmlformats.org/officeDocument/2006/relationships/footer" Target="footer14.xml"/><Relationship Id="rId76" Type="http://schemas.openxmlformats.org/officeDocument/2006/relationships/footer" Target="footer25.xml"/><Relationship Id="rId97" Type="http://schemas.openxmlformats.org/officeDocument/2006/relationships/footer" Target="footer35.xml"/><Relationship Id="rId104" Type="http://schemas.openxmlformats.org/officeDocument/2006/relationships/image" Target="media/image5.jpeg"/><Relationship Id="rId120" Type="http://schemas.openxmlformats.org/officeDocument/2006/relationships/header" Target="header54.xml"/><Relationship Id="rId125" Type="http://schemas.openxmlformats.org/officeDocument/2006/relationships/image" Target="media/image24.emf"/><Relationship Id="rId141" Type="http://schemas.openxmlformats.org/officeDocument/2006/relationships/header" Target="header58.xml"/><Relationship Id="rId7" Type="http://schemas.openxmlformats.org/officeDocument/2006/relationships/footnotes" Target="footnotes.xml"/><Relationship Id="rId71" Type="http://schemas.openxmlformats.org/officeDocument/2006/relationships/footer" Target="footer22.xml"/><Relationship Id="rId92"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18.xml"/><Relationship Id="rId45" Type="http://schemas.openxmlformats.org/officeDocument/2006/relationships/header" Target="header23.xml"/><Relationship Id="rId66" Type="http://schemas.openxmlformats.org/officeDocument/2006/relationships/header" Target="header36.xml"/><Relationship Id="rId87" Type="http://schemas.openxmlformats.org/officeDocument/2006/relationships/footer" Target="footer30.xml"/><Relationship Id="rId110" Type="http://schemas.openxmlformats.org/officeDocument/2006/relationships/image" Target="media/image11.emf"/><Relationship Id="rId115" Type="http://schemas.openxmlformats.org/officeDocument/2006/relationships/image" Target="media/image16.emf"/><Relationship Id="rId131" Type="http://schemas.openxmlformats.org/officeDocument/2006/relationships/image" Target="media/image30.emf"/><Relationship Id="rId136" Type="http://schemas.openxmlformats.org/officeDocument/2006/relationships/image" Target="media/image35.wmf"/><Relationship Id="rId61" Type="http://schemas.openxmlformats.org/officeDocument/2006/relationships/header" Target="header33.xml"/><Relationship Id="rId82" Type="http://schemas.openxmlformats.org/officeDocument/2006/relationships/header" Target="header44.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eader" Target="header12.xml"/><Relationship Id="rId35" Type="http://schemas.openxmlformats.org/officeDocument/2006/relationships/header" Target="header15.xml"/><Relationship Id="rId56" Type="http://schemas.openxmlformats.org/officeDocument/2006/relationships/footer" Target="footer15.xml"/><Relationship Id="rId77" Type="http://schemas.openxmlformats.org/officeDocument/2006/relationships/header" Target="header41.xml"/><Relationship Id="rId100" Type="http://schemas.openxmlformats.org/officeDocument/2006/relationships/header" Target="header53.xml"/><Relationship Id="rId105" Type="http://schemas.openxmlformats.org/officeDocument/2006/relationships/image" Target="media/image6.jpg"/><Relationship Id="rId126"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Office%20Documents\Annual%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D458E-FFFA-4289-8B41-6B6685B6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Report.dotx</Template>
  <TotalTime>0</TotalTime>
  <Pages>12</Pages>
  <Words>24512</Words>
  <Characters>137023</Characters>
  <Application>Microsoft Office Word</Application>
  <DocSecurity>0</DocSecurity>
  <PresentationFormat/>
  <Lines>6228</Lines>
  <Paragraphs>2564</Paragraphs>
  <ScaleCrop>false</ScaleCrop>
  <HeadingPairs>
    <vt:vector size="2" baseType="variant">
      <vt:variant>
        <vt:lpstr>Title</vt:lpstr>
      </vt:variant>
      <vt:variant>
        <vt:i4>1</vt:i4>
      </vt:variant>
    </vt:vector>
  </HeadingPairs>
  <TitlesOfParts>
    <vt:vector size="1" baseType="lpstr">
      <vt:lpstr>Annual Report 2015_x001e_2016</vt:lpstr>
    </vt:vector>
  </TitlesOfParts>
  <Company>Office of Parliamentary Counsel</Company>
  <LinksUpToDate>false</LinksUpToDate>
  <CharactersWithSpaces>158971</CharactersWithSpaces>
  <SharedDoc>false</SharedDoc>
  <HyperlinkBase/>
  <HLinks>
    <vt:vector size="6" baseType="variant">
      <vt:variant>
        <vt:i4>5373963</vt:i4>
      </vt:variant>
      <vt:variant>
        <vt:i4>0</vt:i4>
      </vt:variant>
      <vt:variant>
        <vt:i4>0</vt:i4>
      </vt:variant>
      <vt:variant>
        <vt:i4>5</vt:i4>
      </vt:variant>
      <vt:variant>
        <vt:lpwstr>http://www.ag.gov.au/cca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2015_x001e_2016</dc:title>
  <dc:creator>RobertsS</dc:creator>
  <cp:lastModifiedBy>robinsonl</cp:lastModifiedBy>
  <cp:revision>2</cp:revision>
  <cp:lastPrinted>2016-10-07T04:12:00Z</cp:lastPrinted>
  <dcterms:created xsi:type="dcterms:W3CDTF">2016-10-31T03:12:00Z</dcterms:created>
  <dcterms:modified xsi:type="dcterms:W3CDTF">2016-10-31T03:12:00Z</dcterms:modified>
  <cp:category>Other - Final published version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TrimID">
    <vt:lpwstr>PC:</vt:lpwstr>
  </property>
  <property fmtid="{D5CDD505-2E9C-101B-9397-08002B2CF9AE}" pid="4" name="DoNotAsk">
    <vt:lpwstr>0</vt:lpwstr>
  </property>
  <property fmtid="{D5CDD505-2E9C-101B-9397-08002B2CF9AE}" pid="5" name="ChangedTitle">
    <vt:lpwstr/>
  </property>
  <property fmtid="{D5CDD505-2E9C-101B-9397-08002B2CF9AE}" pid="6" name="DLM">
    <vt:lpwstr>No DLM</vt:lpwstr>
  </property>
</Properties>
</file>